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16E6D" w14:textId="6A7EF051" w:rsidR="000C18AE" w:rsidRPr="000C18AE" w:rsidRDefault="0028614A" w:rsidP="000C18AE">
      <w:pPr>
        <w:tabs>
          <w:tab w:val="left" w:pos="2235"/>
        </w:tabs>
        <w:spacing w:before="120" w:after="120" w:line="312" w:lineRule="auto"/>
        <w:ind w:left="2238" w:right="105" w:hanging="2127"/>
        <w:jc w:val="both"/>
        <w:rPr>
          <w:rFonts w:ascii="Arial" w:eastAsia="Arial" w:hAnsi="Arial" w:cs="Arial"/>
          <w:b/>
          <w:bCs/>
          <w:color w:val="000000"/>
          <w:sz w:val="20"/>
          <w:lang w:val="cs-CZ"/>
        </w:rPr>
      </w:pPr>
      <w:r w:rsidRPr="000C18AE">
        <w:rPr>
          <w:noProof/>
          <w:lang w:val="cs-CZ" w:eastAsia="cs-CZ"/>
        </w:rPr>
        <mc:AlternateContent>
          <mc:Choice Requires="wps">
            <w:drawing>
              <wp:anchor distT="0" distB="0" distL="114300" distR="114300" simplePos="0" relativeHeight="251657216" behindDoc="1" locked="0" layoutInCell="1" allowOverlap="1" wp14:anchorId="628D0F21" wp14:editId="22D64C23">
                <wp:simplePos x="0" y="0"/>
                <wp:positionH relativeFrom="page">
                  <wp:align>left</wp:align>
                </wp:positionH>
                <wp:positionV relativeFrom="page">
                  <wp:align>bottom</wp:align>
                </wp:positionV>
                <wp:extent cx="7560310" cy="13584327"/>
                <wp:effectExtent l="0" t="0" r="2540" b="0"/>
                <wp:wrapNone/>
                <wp:docPr id="65" name="Obdélník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13584327"/>
                        </a:xfrm>
                        <a:prstGeom prst="rect">
                          <a:avLst/>
                        </a:prstGeom>
                        <a:solidFill>
                          <a:srgbClr val="AFDDFA"/>
                        </a:solidFill>
                        <a:ln w="25400" cap="flat" cmpd="sng" algn="ctr">
                          <a:noFill/>
                          <a:prstDash val="solid"/>
                        </a:ln>
                        <a:effectLst/>
                      </wps:spPr>
                      <wps:txbx>
                        <w:txbxContent>
                          <w:p w14:paraId="09BC6340" w14:textId="77777777" w:rsidR="00250F9F" w:rsidRDefault="00250F9F" w:rsidP="000C18AE">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8D0F21" id="Obdélník 65" o:spid="_x0000_s1026" style="position:absolute;left:0;text-align:left;margin-left:0;margin-top:0;width:595.3pt;height:1069.65pt;z-index:-251659264;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" fillcolor="#afddfa" stroked="f" strokeweight="2pt">
                <v:path arrowok="t"/>
                <v:textbox>
                  <w:txbxContent>
                    <w:p w14:paraId="09BC6340" w14:textId="77777777" w:rsidR="00250F9F" w:rsidRDefault="00250F9F" w:rsidP="000C18AE">
                      <w:bookmarkStart w:id="1" w:name="_GoBack"/>
                      <w:bookmarkEnd w:id="1"/>
                    </w:p>
                  </w:txbxContent>
                </v:textbox>
                <w10:wrap anchorx="page" anchory="page"/>
              </v:rect>
            </w:pict>
          </mc:Fallback>
        </mc:AlternateContent>
      </w:r>
      <w:r w:rsidR="000C18AE" w:rsidRPr="000C18AE">
        <w:rPr>
          <w:noProof/>
          <w:lang w:val="cs-CZ" w:eastAsia="cs-CZ"/>
        </w:rPr>
        <w:drawing>
          <wp:anchor distT="0" distB="0" distL="114300" distR="114300" simplePos="0" relativeHeight="251658241" behindDoc="0" locked="0" layoutInCell="1" allowOverlap="1" wp14:anchorId="4BB866D8" wp14:editId="02D00B77">
            <wp:simplePos x="0" y="0"/>
            <wp:positionH relativeFrom="page">
              <wp:posOffset>0</wp:posOffset>
            </wp:positionH>
            <wp:positionV relativeFrom="page">
              <wp:posOffset>0</wp:posOffset>
            </wp:positionV>
            <wp:extent cx="7560310" cy="2343150"/>
            <wp:effectExtent l="0" t="0" r="254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72603" cy="2346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18AE" w:rsidRPr="000C18AE">
        <w:rPr>
          <w:rFonts w:ascii="Arial" w:eastAsia="Arial" w:hAnsi="Arial" w:cs="Arial"/>
          <w:b/>
          <w:bCs/>
          <w:color w:val="000000"/>
          <w:sz w:val="20"/>
          <w:lang w:val="cs-CZ"/>
        </w:rPr>
        <w:t>82</w:t>
      </w:r>
    </w:p>
    <w:p w14:paraId="60F63B04" w14:textId="77777777" w:rsidR="000C18AE" w:rsidRPr="000C18AE" w:rsidRDefault="000C18AE" w:rsidP="000C18AE">
      <w:pPr>
        <w:tabs>
          <w:tab w:val="left" w:pos="2235"/>
        </w:tabs>
        <w:spacing w:before="120" w:after="120" w:line="312" w:lineRule="auto"/>
        <w:ind w:left="2238" w:right="105" w:hanging="2127"/>
        <w:jc w:val="both"/>
        <w:rPr>
          <w:rFonts w:ascii="Arial" w:eastAsia="Arial" w:hAnsi="Arial" w:cs="Arial"/>
          <w:b/>
          <w:bCs/>
          <w:color w:val="000000"/>
          <w:sz w:val="20"/>
          <w:lang w:val="cs-CZ"/>
        </w:rPr>
      </w:pPr>
    </w:p>
    <w:p w14:paraId="6142E61D" w14:textId="77777777" w:rsidR="000C18AE" w:rsidRPr="000C18AE" w:rsidRDefault="000C18AE" w:rsidP="000C18AE">
      <w:pPr>
        <w:pBdr>
          <w:bottom w:val="single" w:sz="8" w:space="4" w:color="4F81BD" w:themeColor="accent1"/>
        </w:pBdr>
        <w:spacing w:after="300"/>
        <w:contextualSpacing/>
        <w:rPr>
          <w:rFonts w:asciiTheme="majorHAnsi" w:eastAsiaTheme="majorEastAsia" w:hAnsiTheme="majorHAnsi" w:cstheme="majorBidi"/>
          <w:color w:val="17365D" w:themeColor="text2" w:themeShade="BF"/>
          <w:spacing w:val="5"/>
          <w:kern w:val="28"/>
          <w:sz w:val="52"/>
          <w:szCs w:val="52"/>
          <w:lang w:val="cs-CZ" w:eastAsia="en-US"/>
        </w:rPr>
      </w:pPr>
    </w:p>
    <w:p w14:paraId="5E82C252" w14:textId="77777777" w:rsidR="000C18AE" w:rsidRPr="000C18AE" w:rsidRDefault="000C18AE" w:rsidP="000C18AE">
      <w:pPr>
        <w:spacing w:before="120" w:after="120" w:line="312" w:lineRule="auto"/>
        <w:jc w:val="both"/>
        <w:rPr>
          <w:noProof/>
          <w:lang w:val="cs-CZ"/>
        </w:rPr>
      </w:pPr>
    </w:p>
    <w:tbl>
      <w:tblPr>
        <w:tblpPr w:vertAnchor="page" w:horzAnchor="page" w:tblpX="710" w:tblpY="4537"/>
        <w:tblOverlap w:val="never"/>
        <w:tblW w:w="10614" w:type="dxa"/>
        <w:tblLayout w:type="fixed"/>
        <w:tblCellMar>
          <w:top w:w="57" w:type="dxa"/>
          <w:left w:w="57" w:type="dxa"/>
          <w:bottom w:w="57" w:type="dxa"/>
          <w:right w:w="57" w:type="dxa"/>
        </w:tblCellMar>
        <w:tblLook w:val="04A0" w:firstRow="1" w:lastRow="0" w:firstColumn="1" w:lastColumn="0" w:noHBand="0" w:noVBand="1"/>
      </w:tblPr>
      <w:tblGrid>
        <w:gridCol w:w="2751"/>
        <w:gridCol w:w="7863"/>
      </w:tblGrid>
      <w:tr w:rsidR="000C18AE" w:rsidRPr="000C18AE" w14:paraId="4CCFDCAB" w14:textId="77777777" w:rsidTr="00FD6AEA">
        <w:trPr>
          <w:trHeight w:hRule="exact" w:val="9696"/>
        </w:trPr>
        <w:tc>
          <w:tcPr>
            <w:tcW w:w="10614" w:type="dxa"/>
            <w:gridSpan w:val="2"/>
            <w:shd w:val="clear" w:color="auto" w:fill="auto"/>
          </w:tcPr>
          <w:p w14:paraId="5965B12F" w14:textId="77777777" w:rsidR="000C18AE" w:rsidRPr="000C18AE" w:rsidRDefault="000C18AE" w:rsidP="000C18AE">
            <w:pPr>
              <w:spacing w:line="312" w:lineRule="auto"/>
              <w:contextualSpacing/>
              <w:rPr>
                <w:rFonts w:ascii="Arial" w:eastAsia="Arial" w:hAnsi="Arial" w:cs="Arial"/>
                <w:b/>
                <w:caps/>
                <w:color w:val="084A8B"/>
                <w:kern w:val="28"/>
                <w:sz w:val="64"/>
                <w:szCs w:val="52"/>
                <w:lang w:val="cs-CZ"/>
              </w:rPr>
            </w:pPr>
            <w:r w:rsidRPr="000C18AE">
              <w:rPr>
                <w:rFonts w:ascii="Arial" w:eastAsia="Arial" w:hAnsi="Arial" w:cs="Arial"/>
                <w:b/>
                <w:caps/>
                <w:color w:val="084A8B"/>
                <w:kern w:val="28"/>
                <w:sz w:val="64"/>
                <w:szCs w:val="52"/>
                <w:lang w:val="cs-CZ"/>
              </w:rPr>
              <w:t xml:space="preserve">Výroční zpráva </w:t>
            </w:r>
          </w:p>
          <w:p w14:paraId="2D4B3968" w14:textId="4184FB87" w:rsidR="000C18AE" w:rsidRPr="000C18AE" w:rsidRDefault="000C18AE" w:rsidP="000C18AE">
            <w:pPr>
              <w:spacing w:line="312" w:lineRule="auto"/>
              <w:contextualSpacing/>
              <w:rPr>
                <w:rFonts w:ascii="Arial" w:eastAsia="Arial" w:hAnsi="Arial" w:cs="Arial"/>
                <w:b/>
                <w:caps/>
                <w:color w:val="084A8B"/>
                <w:kern w:val="28"/>
                <w:sz w:val="64"/>
                <w:szCs w:val="52"/>
                <w:lang w:val="cs-CZ"/>
              </w:rPr>
            </w:pPr>
            <w:r w:rsidRPr="000C18AE">
              <w:rPr>
                <w:rFonts w:ascii="Arial" w:eastAsia="Arial" w:hAnsi="Arial" w:cs="Arial"/>
                <w:b/>
                <w:caps/>
                <w:color w:val="084A8B"/>
                <w:kern w:val="28"/>
                <w:sz w:val="64"/>
                <w:szCs w:val="52"/>
                <w:lang w:val="cs-CZ"/>
              </w:rPr>
              <w:t>o implementaci p</w:t>
            </w:r>
            <w:r w:rsidR="00473C57">
              <w:rPr>
                <w:rFonts w:ascii="Arial" w:eastAsia="Arial" w:hAnsi="Arial" w:cs="Arial"/>
                <w:b/>
                <w:caps/>
                <w:color w:val="084A8B"/>
                <w:kern w:val="28"/>
                <w:sz w:val="64"/>
                <w:szCs w:val="52"/>
                <w:lang w:val="cs-CZ"/>
              </w:rPr>
              <w:t>rogramu Zaměstnanost za rok 2019</w:t>
            </w:r>
            <w:r w:rsidRPr="000C18AE">
              <w:rPr>
                <w:rFonts w:ascii="Arial" w:eastAsia="Arial" w:hAnsi="Arial" w:cs="Arial"/>
                <w:b/>
                <w:caps/>
                <w:color w:val="084A8B"/>
                <w:kern w:val="28"/>
                <w:sz w:val="64"/>
                <w:szCs w:val="52"/>
                <w:lang w:val="cs-CZ"/>
              </w:rPr>
              <w:t xml:space="preserve"> </w:t>
            </w:r>
          </w:p>
          <w:p w14:paraId="39E622BF" w14:textId="77777777" w:rsidR="000C18AE" w:rsidRPr="000C18AE" w:rsidRDefault="000C18AE" w:rsidP="000C18AE">
            <w:pPr>
              <w:spacing w:line="312" w:lineRule="auto"/>
              <w:contextualSpacing/>
              <w:rPr>
                <w:rFonts w:ascii="Arial" w:eastAsia="Arial" w:hAnsi="Arial"/>
                <w:caps/>
                <w:color w:val="084A8B"/>
                <w:kern w:val="28"/>
                <w:sz w:val="64"/>
                <w:szCs w:val="52"/>
                <w:lang w:val="cs-CZ"/>
              </w:rPr>
            </w:pPr>
          </w:p>
        </w:tc>
      </w:tr>
      <w:tr w:rsidR="000C18AE" w:rsidRPr="000C18AE" w14:paraId="2B66178B" w14:textId="77777777" w:rsidTr="00FD6AEA">
        <w:trPr>
          <w:trHeight w:hRule="exact" w:val="340"/>
        </w:trPr>
        <w:tc>
          <w:tcPr>
            <w:tcW w:w="2751" w:type="dxa"/>
            <w:shd w:val="clear" w:color="auto" w:fill="auto"/>
            <w:vAlign w:val="center"/>
          </w:tcPr>
          <w:p w14:paraId="5D515972" w14:textId="77777777" w:rsidR="000C18AE" w:rsidRPr="000C18AE" w:rsidRDefault="000C18AE" w:rsidP="000C18AE">
            <w:pPr>
              <w:rPr>
                <w:rFonts w:ascii="Arial" w:eastAsia="Arial" w:hAnsi="Arial"/>
                <w:color w:val="002060"/>
                <w:lang w:val="cs-CZ"/>
              </w:rPr>
            </w:pPr>
            <w:r w:rsidRPr="000C18AE">
              <w:rPr>
                <w:rFonts w:ascii="Arial" w:eastAsia="Arial" w:hAnsi="Arial"/>
                <w:color w:val="002060"/>
                <w:lang w:val="cs-CZ"/>
              </w:rPr>
              <w:t xml:space="preserve">Typ dokumentu: </w:t>
            </w:r>
          </w:p>
        </w:tc>
        <w:tc>
          <w:tcPr>
            <w:tcW w:w="7863" w:type="dxa"/>
            <w:shd w:val="clear" w:color="auto" w:fill="auto"/>
            <w:vAlign w:val="center"/>
          </w:tcPr>
          <w:p w14:paraId="14E155A4" w14:textId="7CF2F92D" w:rsidR="000C18AE" w:rsidRPr="000C18AE" w:rsidRDefault="00821ED8" w:rsidP="000C18AE">
            <w:pPr>
              <w:rPr>
                <w:rFonts w:ascii="Arial" w:eastAsia="Arial" w:hAnsi="Arial"/>
                <w:color w:val="002060"/>
                <w:lang w:val="cs-CZ"/>
              </w:rPr>
            </w:pPr>
            <w:r>
              <w:rPr>
                <w:rFonts w:ascii="Arial" w:eastAsia="Arial" w:hAnsi="Arial"/>
                <w:color w:val="002060"/>
                <w:lang w:val="cs-CZ"/>
              </w:rPr>
              <w:t xml:space="preserve">Materiál </w:t>
            </w:r>
            <w:r w:rsidR="00E037BC">
              <w:rPr>
                <w:rFonts w:ascii="Arial" w:eastAsia="Arial" w:hAnsi="Arial"/>
                <w:color w:val="002060"/>
                <w:lang w:val="cs-CZ"/>
              </w:rPr>
              <w:t>schválený</w:t>
            </w:r>
            <w:r>
              <w:rPr>
                <w:rFonts w:ascii="Arial" w:eastAsia="Arial" w:hAnsi="Arial"/>
                <w:color w:val="002060"/>
                <w:lang w:val="cs-CZ"/>
              </w:rPr>
              <w:t xml:space="preserve"> MV OPZ (3. per rollam)</w:t>
            </w:r>
          </w:p>
          <w:p w14:paraId="239F2549" w14:textId="77777777" w:rsidR="000C18AE" w:rsidRPr="000C18AE" w:rsidRDefault="000C18AE" w:rsidP="000C18AE">
            <w:pPr>
              <w:rPr>
                <w:rFonts w:ascii="Arial" w:eastAsia="Arial" w:hAnsi="Arial"/>
                <w:color w:val="002060"/>
                <w:lang w:val="cs-CZ"/>
              </w:rPr>
            </w:pPr>
          </w:p>
        </w:tc>
      </w:tr>
      <w:tr w:rsidR="000C18AE" w:rsidRPr="000C18AE" w14:paraId="242F8BE6" w14:textId="77777777" w:rsidTr="00FD6AEA">
        <w:trPr>
          <w:trHeight w:hRule="exact" w:val="340"/>
        </w:trPr>
        <w:tc>
          <w:tcPr>
            <w:tcW w:w="2751" w:type="dxa"/>
            <w:shd w:val="clear" w:color="auto" w:fill="auto"/>
            <w:vAlign w:val="center"/>
          </w:tcPr>
          <w:p w14:paraId="06A207EA" w14:textId="77777777" w:rsidR="000C18AE" w:rsidRPr="000C18AE" w:rsidRDefault="000C18AE" w:rsidP="000C18AE">
            <w:pPr>
              <w:rPr>
                <w:rFonts w:ascii="Arial" w:eastAsia="Arial" w:hAnsi="Arial"/>
                <w:color w:val="002060"/>
                <w:lang w:val="cs-CZ"/>
              </w:rPr>
            </w:pPr>
            <w:r w:rsidRPr="000C18AE">
              <w:rPr>
                <w:rFonts w:ascii="Arial" w:eastAsia="Arial" w:hAnsi="Arial"/>
                <w:color w:val="002060"/>
                <w:lang w:val="cs-CZ"/>
              </w:rPr>
              <w:t>Sledované období:</w:t>
            </w:r>
          </w:p>
        </w:tc>
        <w:tc>
          <w:tcPr>
            <w:tcW w:w="7863" w:type="dxa"/>
            <w:shd w:val="clear" w:color="auto" w:fill="auto"/>
            <w:vAlign w:val="center"/>
          </w:tcPr>
          <w:p w14:paraId="11165C60" w14:textId="6C448929" w:rsidR="000C18AE" w:rsidRDefault="00473C57" w:rsidP="000C18AE">
            <w:pPr>
              <w:rPr>
                <w:rFonts w:ascii="Arial" w:eastAsia="Arial" w:hAnsi="Arial"/>
                <w:color w:val="002060"/>
                <w:lang w:val="cs-CZ"/>
              </w:rPr>
            </w:pPr>
            <w:r>
              <w:rPr>
                <w:rFonts w:ascii="Arial" w:eastAsia="Arial" w:hAnsi="Arial"/>
                <w:color w:val="002060"/>
                <w:lang w:val="cs-CZ"/>
              </w:rPr>
              <w:t>1. 1. 2014 – 31. 12. 2019</w:t>
            </w:r>
          </w:p>
          <w:p w14:paraId="1C4EC8FB" w14:textId="77777777" w:rsidR="00821ED8" w:rsidRPr="000C18AE" w:rsidRDefault="00821ED8" w:rsidP="000C18AE">
            <w:pPr>
              <w:rPr>
                <w:rFonts w:ascii="Arial" w:eastAsia="Arial" w:hAnsi="Arial"/>
                <w:color w:val="002060"/>
                <w:lang w:val="cs-CZ"/>
              </w:rPr>
            </w:pPr>
          </w:p>
          <w:p w14:paraId="21E2837A" w14:textId="77777777" w:rsidR="000C18AE" w:rsidRPr="000C18AE" w:rsidRDefault="000C18AE" w:rsidP="000C18AE">
            <w:pPr>
              <w:rPr>
                <w:rFonts w:ascii="Arial" w:eastAsia="Arial" w:hAnsi="Arial"/>
                <w:color w:val="002060"/>
                <w:lang w:val="cs-CZ"/>
              </w:rPr>
            </w:pPr>
          </w:p>
          <w:p w14:paraId="09DAA66E" w14:textId="77777777" w:rsidR="000C18AE" w:rsidRPr="000C18AE" w:rsidRDefault="000C18AE" w:rsidP="000C18AE">
            <w:pPr>
              <w:rPr>
                <w:rFonts w:ascii="Arial" w:eastAsia="Arial" w:hAnsi="Arial"/>
                <w:color w:val="002060"/>
                <w:lang w:val="cs-CZ"/>
              </w:rPr>
            </w:pPr>
          </w:p>
        </w:tc>
      </w:tr>
      <w:tr w:rsidR="000C18AE" w:rsidRPr="000C18AE" w14:paraId="44F2A5EC" w14:textId="77777777" w:rsidTr="00FD6AEA">
        <w:trPr>
          <w:trHeight w:hRule="exact" w:val="340"/>
        </w:trPr>
        <w:tc>
          <w:tcPr>
            <w:tcW w:w="2751" w:type="dxa"/>
            <w:shd w:val="clear" w:color="auto" w:fill="auto"/>
            <w:vAlign w:val="center"/>
          </w:tcPr>
          <w:p w14:paraId="4F16CA66" w14:textId="77777777" w:rsidR="000C18AE" w:rsidRPr="000C18AE" w:rsidRDefault="000C18AE" w:rsidP="000C18AE">
            <w:pPr>
              <w:rPr>
                <w:rFonts w:ascii="Arial" w:hAnsi="Arial" w:cs="Arial"/>
                <w:color w:val="002060"/>
                <w:lang w:val="cs-CZ"/>
              </w:rPr>
            </w:pPr>
            <w:r w:rsidRPr="000C18AE">
              <w:rPr>
                <w:rFonts w:ascii="Arial" w:hAnsi="Arial" w:cs="Arial"/>
                <w:color w:val="002060"/>
                <w:lang w:val="cs-CZ"/>
              </w:rPr>
              <w:t>Počet stran</w:t>
            </w:r>
          </w:p>
        </w:tc>
        <w:tc>
          <w:tcPr>
            <w:tcW w:w="7863" w:type="dxa"/>
            <w:shd w:val="clear" w:color="auto" w:fill="auto"/>
            <w:vAlign w:val="center"/>
          </w:tcPr>
          <w:p w14:paraId="385F8EB6" w14:textId="47BAA85A" w:rsidR="000C18AE" w:rsidRPr="000C18AE" w:rsidRDefault="002534F9" w:rsidP="00B45844">
            <w:pPr>
              <w:rPr>
                <w:rFonts w:ascii="Arial" w:hAnsi="Arial" w:cs="Arial"/>
                <w:color w:val="002060"/>
                <w:lang w:val="cs-CZ"/>
              </w:rPr>
            </w:pPr>
            <w:r>
              <w:rPr>
                <w:rFonts w:ascii="Arial" w:hAnsi="Arial" w:cs="Arial"/>
                <w:color w:val="002060"/>
                <w:lang w:val="cs-CZ"/>
              </w:rPr>
              <w:t>6</w:t>
            </w:r>
            <w:r w:rsidR="00B45844">
              <w:rPr>
                <w:rFonts w:ascii="Arial" w:hAnsi="Arial" w:cs="Arial"/>
                <w:color w:val="002060"/>
                <w:lang w:val="cs-CZ"/>
              </w:rPr>
              <w:t>7</w:t>
            </w:r>
          </w:p>
        </w:tc>
      </w:tr>
    </w:tbl>
    <w:p w14:paraId="385C65C1" w14:textId="652C2B1D" w:rsidR="000C18AE" w:rsidRPr="000C18AE" w:rsidRDefault="000C18AE" w:rsidP="000C18AE">
      <w:pPr>
        <w:spacing w:before="120" w:after="120" w:line="312" w:lineRule="auto"/>
        <w:jc w:val="both"/>
        <w:rPr>
          <w:rFonts w:ascii="Arial" w:eastAsia="Times New Roman" w:hAnsi="Arial"/>
          <w:b/>
          <w:sz w:val="20"/>
          <w:szCs w:val="20"/>
          <w:lang w:val="cs-CZ" w:bidi="en-US"/>
        </w:rPr>
        <w:sectPr w:rsidR="000C18AE" w:rsidRPr="000C18AE" w:rsidSect="00FD6AEA">
          <w:headerReference w:type="default" r:id="rId12"/>
          <w:footerReference w:type="default" r:id="rId13"/>
          <w:pgSz w:w="11906" w:h="16838" w:code="9"/>
          <w:pgMar w:top="1134" w:right="1531" w:bottom="1021" w:left="1531" w:header="601" w:footer="680" w:gutter="0"/>
          <w:cols w:space="720"/>
          <w:titlePg/>
          <w:docGrid w:linePitch="326"/>
        </w:sectPr>
      </w:pPr>
    </w:p>
    <w:p w14:paraId="1DD01BE5" w14:textId="2269B665" w:rsidR="000C18AE" w:rsidRDefault="000C18AE">
      <w:pPr>
        <w:rPr>
          <w:rFonts w:ascii="Arial" w:eastAsia="Arial" w:hAnsi="Arial" w:cs="Arial"/>
          <w:b/>
          <w:bCs/>
          <w:color w:val="000000"/>
          <w:sz w:val="20"/>
        </w:rPr>
      </w:pPr>
    </w:p>
    <w:p w14:paraId="37E5A760" w14:textId="6D2D0528" w:rsidR="00A2351A" w:rsidRDefault="002D5C25">
      <w:pPr>
        <w:tabs>
          <w:tab w:val="left" w:pos="2235"/>
        </w:tabs>
        <w:spacing w:before="120" w:after="120" w:line="312" w:lineRule="auto"/>
        <w:ind w:left="2238" w:right="105" w:hanging="2127"/>
        <w:jc w:val="both"/>
        <w:rPr>
          <w:rFonts w:ascii="Arial" w:eastAsia="Arial" w:hAnsi="Arial" w:cs="Arial"/>
          <w:color w:val="000000"/>
          <w:sz w:val="20"/>
        </w:rPr>
      </w:pPr>
      <w:r>
        <w:rPr>
          <w:rFonts w:ascii="Arial" w:eastAsia="Arial" w:hAnsi="Arial" w:cs="Arial"/>
          <w:b/>
          <w:bCs/>
          <w:color w:val="000000"/>
          <w:sz w:val="20"/>
        </w:rPr>
        <w:t>Název dokumentu</w:t>
      </w:r>
      <w:r>
        <w:rPr>
          <w:rFonts w:ascii="Calibri" w:eastAsia="Calibri" w:hAnsi="Calibri" w:cs="Calibri"/>
          <w:color w:val="000000"/>
          <w:sz w:val="20"/>
        </w:rPr>
        <w:tab/>
      </w:r>
      <w:r>
        <w:rPr>
          <w:rFonts w:ascii="Arial" w:eastAsia="Arial" w:hAnsi="Arial" w:cs="Arial"/>
          <w:color w:val="000000"/>
          <w:sz w:val="20"/>
        </w:rPr>
        <w:t>Výroční zpráva o i</w:t>
      </w:r>
      <w:r w:rsidR="00473C57">
        <w:rPr>
          <w:rFonts w:ascii="Arial" w:eastAsia="Arial" w:hAnsi="Arial" w:cs="Arial"/>
          <w:color w:val="000000"/>
          <w:sz w:val="20"/>
        </w:rPr>
        <w:t>mplementaci programu za rok 2019</w:t>
      </w:r>
    </w:p>
    <w:p w14:paraId="0052D164" w14:textId="1B215388" w:rsidR="00A2351A" w:rsidRDefault="002D5C25">
      <w:pPr>
        <w:tabs>
          <w:tab w:val="left" w:pos="2235"/>
        </w:tabs>
        <w:spacing w:after="120" w:line="312" w:lineRule="auto"/>
        <w:ind w:left="2238" w:right="105" w:hanging="2127"/>
        <w:jc w:val="both"/>
        <w:rPr>
          <w:rFonts w:ascii="Arial" w:eastAsia="Arial" w:hAnsi="Arial" w:cs="Arial"/>
          <w:color w:val="000000"/>
          <w:sz w:val="20"/>
        </w:rPr>
      </w:pPr>
      <w:r>
        <w:rPr>
          <w:rFonts w:ascii="Arial" w:eastAsia="Arial" w:hAnsi="Arial" w:cs="Arial"/>
          <w:b/>
          <w:bCs/>
          <w:color w:val="000000"/>
          <w:sz w:val="20"/>
        </w:rPr>
        <w:t>Program / DoP</w:t>
      </w:r>
      <w:r>
        <w:rPr>
          <w:rFonts w:ascii="Calibri" w:eastAsia="Calibri" w:hAnsi="Calibri" w:cs="Calibri"/>
          <w:b/>
          <w:bCs/>
          <w:color w:val="000000"/>
          <w:sz w:val="20"/>
        </w:rPr>
        <w:tab/>
      </w:r>
      <w:r w:rsidR="0028614A">
        <w:rPr>
          <w:rFonts w:ascii="Arial" w:eastAsia="Arial" w:hAnsi="Arial" w:cs="Arial"/>
          <w:color w:val="000000"/>
          <w:sz w:val="20"/>
        </w:rPr>
        <w:t xml:space="preserve">03 </w:t>
      </w:r>
      <w:r>
        <w:rPr>
          <w:rFonts w:ascii="Arial" w:eastAsia="Arial" w:hAnsi="Arial" w:cs="Arial"/>
          <w:color w:val="000000"/>
          <w:sz w:val="20"/>
        </w:rPr>
        <w:t>Operační program Zaměstnanost</w:t>
      </w:r>
    </w:p>
    <w:p w14:paraId="04378FB2" w14:textId="637BB7BC" w:rsidR="00A2351A" w:rsidRDefault="002D5C25">
      <w:pPr>
        <w:tabs>
          <w:tab w:val="left" w:pos="2235"/>
        </w:tabs>
        <w:spacing w:after="120" w:line="312" w:lineRule="auto"/>
        <w:ind w:left="2238" w:right="105" w:hanging="2127"/>
        <w:jc w:val="both"/>
        <w:rPr>
          <w:rFonts w:ascii="Arial" w:eastAsia="Arial" w:hAnsi="Arial" w:cs="Arial"/>
          <w:color w:val="000000"/>
          <w:sz w:val="20"/>
        </w:rPr>
      </w:pPr>
      <w:r>
        <w:rPr>
          <w:rFonts w:ascii="Arial" w:eastAsia="Arial" w:hAnsi="Arial" w:cs="Arial"/>
          <w:b/>
          <w:bCs/>
          <w:color w:val="000000"/>
          <w:sz w:val="20"/>
        </w:rPr>
        <w:t>Verze dokumentu</w:t>
      </w:r>
      <w:r>
        <w:rPr>
          <w:rFonts w:ascii="Arial" w:eastAsia="Arial" w:hAnsi="Arial" w:cs="Arial"/>
          <w:color w:val="000000"/>
          <w:sz w:val="20"/>
        </w:rPr>
        <w:tab/>
      </w:r>
      <w:r w:rsidR="00E037BC">
        <w:rPr>
          <w:rFonts w:ascii="Arial" w:eastAsia="Arial" w:hAnsi="Arial" w:cs="Arial"/>
          <w:color w:val="000000"/>
          <w:sz w:val="20"/>
        </w:rPr>
        <w:t>Draft</w:t>
      </w:r>
    </w:p>
    <w:p w14:paraId="62905324" w14:textId="1DD8E747" w:rsidR="00A2351A" w:rsidRDefault="002D5C25">
      <w:pPr>
        <w:tabs>
          <w:tab w:val="left" w:pos="2235"/>
          <w:tab w:val="left" w:pos="7974"/>
        </w:tabs>
        <w:spacing w:after="120" w:line="312" w:lineRule="auto"/>
        <w:ind w:left="2238" w:right="105" w:hanging="2124"/>
        <w:jc w:val="both"/>
        <w:rPr>
          <w:rFonts w:ascii="Arial" w:eastAsia="Arial" w:hAnsi="Arial" w:cs="Arial"/>
          <w:color w:val="000000"/>
          <w:sz w:val="20"/>
        </w:rPr>
      </w:pPr>
      <w:r>
        <w:rPr>
          <w:rFonts w:ascii="Arial" w:eastAsia="Arial" w:hAnsi="Arial" w:cs="Arial"/>
          <w:b/>
          <w:bCs/>
          <w:color w:val="000000"/>
          <w:sz w:val="20"/>
        </w:rPr>
        <w:t>Číslo draftu</w:t>
      </w:r>
      <w:r>
        <w:rPr>
          <w:rFonts w:ascii="Arial" w:eastAsia="Arial" w:hAnsi="Arial" w:cs="Arial"/>
          <w:b/>
          <w:bCs/>
          <w:color w:val="000000"/>
          <w:sz w:val="20"/>
        </w:rPr>
        <w:tab/>
      </w:r>
      <w:r w:rsidR="006352AA">
        <w:rPr>
          <w:rFonts w:ascii="Arial" w:eastAsia="Arial" w:hAnsi="Arial" w:cs="Arial"/>
          <w:color w:val="000000"/>
          <w:sz w:val="20"/>
        </w:rPr>
        <w:t>2</w:t>
      </w:r>
    </w:p>
    <w:p w14:paraId="55D26C1F" w14:textId="77777777" w:rsidR="00A2351A" w:rsidRDefault="00A2351A">
      <w:pPr>
        <w:keepNext/>
        <w:keepLines/>
        <w:tabs>
          <w:tab w:val="left" w:pos="675"/>
        </w:tabs>
        <w:spacing w:after="120" w:line="264" w:lineRule="auto"/>
        <w:ind w:left="111" w:right="105"/>
        <w:jc w:val="both"/>
        <w:rPr>
          <w:rFonts w:ascii="Arial" w:eastAsia="Arial" w:hAnsi="Arial" w:cs="Arial"/>
          <w:color w:val="000000"/>
          <w:sz w:val="20"/>
        </w:rPr>
      </w:pPr>
    </w:p>
    <w:p w14:paraId="048AC55F" w14:textId="77777777" w:rsidR="00A2351A" w:rsidRDefault="002D5C25">
      <w:r>
        <w:br w:type="page"/>
      </w:r>
    </w:p>
    <w:p w14:paraId="5AC27466" w14:textId="77777777" w:rsidR="00A2351A" w:rsidRDefault="002D5C25">
      <w:pPr>
        <w:keepNext/>
        <w:keepLines/>
        <w:pBdr>
          <w:bottom w:val="single" w:sz="4" w:space="1" w:color="000099"/>
        </w:pBdr>
        <w:tabs>
          <w:tab w:val="left" w:pos="675"/>
        </w:tabs>
        <w:spacing w:after="120" w:line="264" w:lineRule="auto"/>
        <w:ind w:left="111" w:right="105"/>
        <w:jc w:val="both"/>
        <w:rPr>
          <w:rFonts w:ascii="Arial" w:eastAsia="Arial" w:hAnsi="Arial" w:cs="Arial"/>
          <w:b/>
          <w:bCs/>
          <w:color w:val="000099"/>
          <w:sz w:val="36"/>
        </w:rPr>
      </w:pPr>
      <w:bookmarkStart w:id="2" w:name="_Toc529514946"/>
      <w:r>
        <w:rPr>
          <w:rFonts w:ascii="Arial" w:eastAsia="Arial" w:hAnsi="Arial" w:cs="Arial"/>
          <w:b/>
          <w:bCs/>
          <w:color w:val="000099"/>
          <w:sz w:val="36"/>
        </w:rPr>
        <w:lastRenderedPageBreak/>
        <w:t>Obsah</w:t>
      </w:r>
      <w:bookmarkEnd w:id="2"/>
    </w:p>
    <w:sdt>
      <w:sdtPr>
        <w:rPr>
          <w:rFonts w:asciiTheme="minorHAnsi" w:eastAsiaTheme="minorEastAsia" w:hAnsiTheme="minorHAnsi" w:cstheme="minorBidi"/>
          <w:b w:val="0"/>
          <w:bCs w:val="0"/>
          <w:color w:val="auto"/>
          <w:sz w:val="22"/>
          <w:szCs w:val="22"/>
          <w:lang w:val="en-US" w:eastAsia="ja-JP"/>
        </w:rPr>
        <w:id w:val="942349741"/>
        <w:docPartObj>
          <w:docPartGallery w:val="Table of Contents"/>
          <w:docPartUnique/>
        </w:docPartObj>
      </w:sdtPr>
      <w:sdtEndPr/>
      <w:sdtContent>
        <w:p w14:paraId="460670B4" w14:textId="0E8607B4" w:rsidR="000B77CA" w:rsidRPr="000B77CA" w:rsidRDefault="000B77CA" w:rsidP="00822BEA">
          <w:pPr>
            <w:pStyle w:val="Nadpisobsahu"/>
            <w:spacing w:before="120"/>
            <w:rPr>
              <w:rFonts w:ascii="Arial" w:hAnsi="Arial" w:cs="Arial"/>
              <w:sz w:val="22"/>
              <w:szCs w:val="22"/>
            </w:rPr>
          </w:pPr>
        </w:p>
        <w:p w14:paraId="390A7FAA" w14:textId="2654ACDC" w:rsidR="008E6604" w:rsidRDefault="000B77CA">
          <w:pPr>
            <w:pStyle w:val="Obsah1"/>
            <w:tabs>
              <w:tab w:val="right" w:leader="dot" w:pos="10054"/>
            </w:tabs>
            <w:rPr>
              <w:noProof/>
              <w:lang w:val="cs-CZ" w:eastAsia="cs-CZ"/>
            </w:rPr>
          </w:pPr>
          <w:r w:rsidRPr="000B77CA">
            <w:rPr>
              <w:rFonts w:ascii="Arial" w:hAnsi="Arial" w:cs="Arial"/>
            </w:rPr>
            <w:fldChar w:fldCharType="begin"/>
          </w:r>
          <w:r w:rsidRPr="000B77CA">
            <w:rPr>
              <w:rFonts w:ascii="Arial" w:hAnsi="Arial" w:cs="Arial"/>
            </w:rPr>
            <w:instrText xml:space="preserve"> TOC \o "1-3" \h \z \u </w:instrText>
          </w:r>
          <w:r w:rsidRPr="000B77CA">
            <w:rPr>
              <w:rFonts w:ascii="Arial" w:hAnsi="Arial" w:cs="Arial"/>
            </w:rPr>
            <w:fldChar w:fldCharType="separate"/>
          </w:r>
          <w:hyperlink w:anchor="_Toc39495061" w:history="1">
            <w:r w:rsidR="008E6604" w:rsidRPr="00F90D7F">
              <w:rPr>
                <w:rStyle w:val="Hypertextovodkaz"/>
                <w:noProof/>
              </w:rPr>
              <w:t>ÚVOD</w:t>
            </w:r>
            <w:r w:rsidR="008E6604">
              <w:rPr>
                <w:noProof/>
                <w:webHidden/>
              </w:rPr>
              <w:tab/>
            </w:r>
            <w:r w:rsidR="008E6604">
              <w:rPr>
                <w:noProof/>
                <w:webHidden/>
              </w:rPr>
              <w:fldChar w:fldCharType="begin"/>
            </w:r>
            <w:r w:rsidR="008E6604">
              <w:rPr>
                <w:noProof/>
                <w:webHidden/>
              </w:rPr>
              <w:instrText xml:space="preserve"> PAGEREF _Toc39495061 \h </w:instrText>
            </w:r>
            <w:r w:rsidR="008E6604">
              <w:rPr>
                <w:noProof/>
                <w:webHidden/>
              </w:rPr>
            </w:r>
            <w:r w:rsidR="008E6604">
              <w:rPr>
                <w:noProof/>
                <w:webHidden/>
              </w:rPr>
              <w:fldChar w:fldCharType="separate"/>
            </w:r>
            <w:r w:rsidR="008E6604">
              <w:rPr>
                <w:noProof/>
                <w:webHidden/>
              </w:rPr>
              <w:t>4</w:t>
            </w:r>
            <w:r w:rsidR="008E6604">
              <w:rPr>
                <w:noProof/>
                <w:webHidden/>
              </w:rPr>
              <w:fldChar w:fldCharType="end"/>
            </w:r>
          </w:hyperlink>
        </w:p>
        <w:p w14:paraId="62D064D6" w14:textId="4616F69D" w:rsidR="008E6604" w:rsidRDefault="0028614A">
          <w:pPr>
            <w:pStyle w:val="Obsah1"/>
            <w:tabs>
              <w:tab w:val="left" w:pos="440"/>
              <w:tab w:val="right" w:leader="dot" w:pos="10054"/>
            </w:tabs>
            <w:rPr>
              <w:noProof/>
              <w:lang w:val="cs-CZ" w:eastAsia="cs-CZ"/>
            </w:rPr>
          </w:pPr>
          <w:hyperlink w:anchor="_Toc39495062" w:history="1">
            <w:r w:rsidR="008E6604" w:rsidRPr="00F90D7F">
              <w:rPr>
                <w:rStyle w:val="Hypertextovodkaz"/>
                <w:noProof/>
              </w:rPr>
              <w:t>1.</w:t>
            </w:r>
            <w:r w:rsidR="008E6604">
              <w:rPr>
                <w:noProof/>
                <w:lang w:val="cs-CZ" w:eastAsia="cs-CZ"/>
              </w:rPr>
              <w:tab/>
            </w:r>
            <w:r w:rsidR="008E6604" w:rsidRPr="00F90D7F">
              <w:rPr>
                <w:rStyle w:val="Hypertextovodkaz"/>
                <w:noProof/>
              </w:rPr>
              <w:t>IDENTIFIKACE VÝROČNÍ/ZÁVĚREČNÉ ZPRÁVY O IMPLEMENTACI</w:t>
            </w:r>
            <w:r w:rsidR="008E6604">
              <w:rPr>
                <w:noProof/>
                <w:webHidden/>
              </w:rPr>
              <w:tab/>
            </w:r>
            <w:r w:rsidR="008E6604">
              <w:rPr>
                <w:noProof/>
                <w:webHidden/>
              </w:rPr>
              <w:fldChar w:fldCharType="begin"/>
            </w:r>
            <w:r w:rsidR="008E6604">
              <w:rPr>
                <w:noProof/>
                <w:webHidden/>
              </w:rPr>
              <w:instrText xml:space="preserve"> PAGEREF _Toc39495062 \h </w:instrText>
            </w:r>
            <w:r w:rsidR="008E6604">
              <w:rPr>
                <w:noProof/>
                <w:webHidden/>
              </w:rPr>
            </w:r>
            <w:r w:rsidR="008E6604">
              <w:rPr>
                <w:noProof/>
                <w:webHidden/>
              </w:rPr>
              <w:fldChar w:fldCharType="separate"/>
            </w:r>
            <w:r w:rsidR="008E6604">
              <w:rPr>
                <w:noProof/>
                <w:webHidden/>
              </w:rPr>
              <w:t>5</w:t>
            </w:r>
            <w:r w:rsidR="008E6604">
              <w:rPr>
                <w:noProof/>
                <w:webHidden/>
              </w:rPr>
              <w:fldChar w:fldCharType="end"/>
            </w:r>
          </w:hyperlink>
        </w:p>
        <w:p w14:paraId="6FB95BE7" w14:textId="0406BDAC" w:rsidR="008E6604" w:rsidRDefault="0028614A">
          <w:pPr>
            <w:pStyle w:val="Obsah1"/>
            <w:tabs>
              <w:tab w:val="left" w:pos="440"/>
              <w:tab w:val="right" w:leader="dot" w:pos="10054"/>
            </w:tabs>
            <w:rPr>
              <w:noProof/>
              <w:lang w:val="cs-CZ" w:eastAsia="cs-CZ"/>
            </w:rPr>
          </w:pPr>
          <w:hyperlink w:anchor="_Toc39495063" w:history="1">
            <w:r w:rsidR="008E6604" w:rsidRPr="00F90D7F">
              <w:rPr>
                <w:rStyle w:val="Hypertextovodkaz"/>
                <w:noProof/>
              </w:rPr>
              <w:t>2.</w:t>
            </w:r>
            <w:r w:rsidR="008E6604">
              <w:rPr>
                <w:noProof/>
                <w:lang w:val="cs-CZ" w:eastAsia="cs-CZ"/>
              </w:rPr>
              <w:tab/>
            </w:r>
            <w:r w:rsidR="008E6604" w:rsidRPr="00F90D7F">
              <w:rPr>
                <w:rStyle w:val="Hypertextovodkaz"/>
                <w:noProof/>
              </w:rPr>
              <w:t>PŘEHLED IMPLEMENTACE OPERAČNÍHO PROGRAMU (čl. 50 odst. 2 a čl. 111 odst. 3 písm. a) nařízení (EU) č. 1303/2013)</w:t>
            </w:r>
            <w:r w:rsidR="008E6604">
              <w:rPr>
                <w:noProof/>
                <w:webHidden/>
              </w:rPr>
              <w:tab/>
            </w:r>
            <w:r w:rsidR="008E6604">
              <w:rPr>
                <w:noProof/>
                <w:webHidden/>
              </w:rPr>
              <w:fldChar w:fldCharType="begin"/>
            </w:r>
            <w:r w:rsidR="008E6604">
              <w:rPr>
                <w:noProof/>
                <w:webHidden/>
              </w:rPr>
              <w:instrText xml:space="preserve"> PAGEREF _Toc39495063 \h </w:instrText>
            </w:r>
            <w:r w:rsidR="008E6604">
              <w:rPr>
                <w:noProof/>
                <w:webHidden/>
              </w:rPr>
            </w:r>
            <w:r w:rsidR="008E6604">
              <w:rPr>
                <w:noProof/>
                <w:webHidden/>
              </w:rPr>
              <w:fldChar w:fldCharType="separate"/>
            </w:r>
            <w:r w:rsidR="008E6604">
              <w:rPr>
                <w:noProof/>
                <w:webHidden/>
              </w:rPr>
              <w:t>5</w:t>
            </w:r>
            <w:r w:rsidR="008E6604">
              <w:rPr>
                <w:noProof/>
                <w:webHidden/>
              </w:rPr>
              <w:fldChar w:fldCharType="end"/>
            </w:r>
          </w:hyperlink>
        </w:p>
        <w:p w14:paraId="350797EB" w14:textId="4DD9D2CB" w:rsidR="008E6604" w:rsidRDefault="0028614A">
          <w:pPr>
            <w:pStyle w:val="Obsah1"/>
            <w:tabs>
              <w:tab w:val="left" w:pos="440"/>
              <w:tab w:val="right" w:leader="dot" w:pos="10054"/>
            </w:tabs>
            <w:rPr>
              <w:noProof/>
              <w:lang w:val="cs-CZ" w:eastAsia="cs-CZ"/>
            </w:rPr>
          </w:pPr>
          <w:hyperlink w:anchor="_Toc39495064" w:history="1">
            <w:r w:rsidR="008E6604" w:rsidRPr="00F90D7F">
              <w:rPr>
                <w:rStyle w:val="Hypertextovodkaz"/>
                <w:noProof/>
              </w:rPr>
              <w:t>3.</w:t>
            </w:r>
            <w:r w:rsidR="008E6604">
              <w:rPr>
                <w:noProof/>
                <w:lang w:val="cs-CZ" w:eastAsia="cs-CZ"/>
              </w:rPr>
              <w:tab/>
            </w:r>
            <w:r w:rsidR="008E6604" w:rsidRPr="00F90D7F">
              <w:rPr>
                <w:rStyle w:val="Hypertextovodkaz"/>
                <w:noProof/>
              </w:rPr>
              <w:t>IMPLEMENTACE PRIORITNÍ OSY (čl. 50 odst. 2 nařízení (EU) č. 1303/2013)</w:t>
            </w:r>
            <w:r w:rsidR="008E6604">
              <w:rPr>
                <w:noProof/>
                <w:webHidden/>
              </w:rPr>
              <w:tab/>
            </w:r>
            <w:r w:rsidR="008E6604">
              <w:rPr>
                <w:noProof/>
                <w:webHidden/>
              </w:rPr>
              <w:fldChar w:fldCharType="begin"/>
            </w:r>
            <w:r w:rsidR="008E6604">
              <w:rPr>
                <w:noProof/>
                <w:webHidden/>
              </w:rPr>
              <w:instrText xml:space="preserve"> PAGEREF _Toc39495064 \h </w:instrText>
            </w:r>
            <w:r w:rsidR="008E6604">
              <w:rPr>
                <w:noProof/>
                <w:webHidden/>
              </w:rPr>
            </w:r>
            <w:r w:rsidR="008E6604">
              <w:rPr>
                <w:noProof/>
                <w:webHidden/>
              </w:rPr>
              <w:fldChar w:fldCharType="separate"/>
            </w:r>
            <w:r w:rsidR="008E6604">
              <w:rPr>
                <w:noProof/>
                <w:webHidden/>
              </w:rPr>
              <w:t>6</w:t>
            </w:r>
            <w:r w:rsidR="008E6604">
              <w:rPr>
                <w:noProof/>
                <w:webHidden/>
              </w:rPr>
              <w:fldChar w:fldCharType="end"/>
            </w:r>
          </w:hyperlink>
        </w:p>
        <w:p w14:paraId="7F5BD487" w14:textId="0F4880F2" w:rsidR="008E6604" w:rsidRDefault="0028614A">
          <w:pPr>
            <w:pStyle w:val="Obsah2"/>
            <w:tabs>
              <w:tab w:val="left" w:pos="880"/>
              <w:tab w:val="right" w:leader="dot" w:pos="10054"/>
            </w:tabs>
            <w:rPr>
              <w:noProof/>
              <w:lang w:val="cs-CZ" w:eastAsia="cs-CZ"/>
            </w:rPr>
          </w:pPr>
          <w:hyperlink w:anchor="_Toc39495065" w:history="1">
            <w:r w:rsidR="008E6604" w:rsidRPr="00F90D7F">
              <w:rPr>
                <w:rStyle w:val="Hypertextovodkaz"/>
                <w:noProof/>
              </w:rPr>
              <w:t>3.1.</w:t>
            </w:r>
            <w:r w:rsidR="008E6604">
              <w:rPr>
                <w:noProof/>
                <w:lang w:val="cs-CZ" w:eastAsia="cs-CZ"/>
              </w:rPr>
              <w:tab/>
            </w:r>
            <w:r w:rsidR="008E6604" w:rsidRPr="00F90D7F">
              <w:rPr>
                <w:rStyle w:val="Hypertextovodkaz"/>
                <w:noProof/>
              </w:rPr>
              <w:t>Přehled implementace</w:t>
            </w:r>
            <w:r w:rsidR="008E6604" w:rsidRPr="00F90D7F">
              <w:rPr>
                <w:rStyle w:val="Hypertextovodkaz"/>
                <w:noProof/>
                <w:vertAlign w:val="superscript"/>
              </w:rPr>
              <w:t>(1)</w:t>
            </w:r>
            <w:r w:rsidR="008E6604">
              <w:rPr>
                <w:noProof/>
                <w:webHidden/>
              </w:rPr>
              <w:tab/>
            </w:r>
            <w:r w:rsidR="008E6604">
              <w:rPr>
                <w:noProof/>
                <w:webHidden/>
              </w:rPr>
              <w:fldChar w:fldCharType="begin"/>
            </w:r>
            <w:r w:rsidR="008E6604">
              <w:rPr>
                <w:noProof/>
                <w:webHidden/>
              </w:rPr>
              <w:instrText xml:space="preserve"> PAGEREF _Toc39495065 \h </w:instrText>
            </w:r>
            <w:r w:rsidR="008E6604">
              <w:rPr>
                <w:noProof/>
                <w:webHidden/>
              </w:rPr>
            </w:r>
            <w:r w:rsidR="008E6604">
              <w:rPr>
                <w:noProof/>
                <w:webHidden/>
              </w:rPr>
              <w:fldChar w:fldCharType="separate"/>
            </w:r>
            <w:r w:rsidR="008E6604">
              <w:rPr>
                <w:noProof/>
                <w:webHidden/>
              </w:rPr>
              <w:t>6</w:t>
            </w:r>
            <w:r w:rsidR="008E6604">
              <w:rPr>
                <w:noProof/>
                <w:webHidden/>
              </w:rPr>
              <w:fldChar w:fldCharType="end"/>
            </w:r>
          </w:hyperlink>
        </w:p>
        <w:p w14:paraId="00F54E29" w14:textId="5638D008" w:rsidR="008E6604" w:rsidRDefault="0028614A">
          <w:pPr>
            <w:pStyle w:val="Obsah2"/>
            <w:tabs>
              <w:tab w:val="left" w:pos="880"/>
              <w:tab w:val="right" w:leader="dot" w:pos="10054"/>
            </w:tabs>
            <w:rPr>
              <w:noProof/>
              <w:lang w:val="cs-CZ" w:eastAsia="cs-CZ"/>
            </w:rPr>
          </w:pPr>
          <w:hyperlink w:anchor="_Toc39495066" w:history="1">
            <w:r w:rsidR="008E6604" w:rsidRPr="00F90D7F">
              <w:rPr>
                <w:rStyle w:val="Hypertextovodkaz"/>
                <w:i/>
                <w:iCs/>
                <w:noProof/>
              </w:rPr>
              <w:t>3.2.</w:t>
            </w:r>
            <w:r w:rsidR="008E6604">
              <w:rPr>
                <w:noProof/>
                <w:lang w:val="cs-CZ" w:eastAsia="cs-CZ"/>
              </w:rPr>
              <w:tab/>
            </w:r>
            <w:r w:rsidR="008E6604" w:rsidRPr="00F90D7F">
              <w:rPr>
                <w:rStyle w:val="Hypertextovodkaz"/>
                <w:noProof/>
              </w:rPr>
              <w:t>Společné indikátory a indikátory specifické pro jednotlivé programy (čl. 50 odst. 2 nařízení (EU) č. 1303/2013</w:t>
            </w:r>
            <w:r w:rsidR="008E6604" w:rsidRPr="00F90D7F">
              <w:rPr>
                <w:rStyle w:val="Hypertextovodkaz"/>
                <w:i/>
                <w:iCs/>
                <w:noProof/>
              </w:rPr>
              <w:t>)</w:t>
            </w:r>
            <w:r w:rsidR="008E6604" w:rsidRPr="00F90D7F">
              <w:rPr>
                <w:rStyle w:val="Hypertextovodkaz"/>
                <w:i/>
                <w:iCs/>
                <w:noProof/>
                <w:vertAlign w:val="superscript"/>
              </w:rPr>
              <w:t>(2)</w:t>
            </w:r>
            <w:r w:rsidR="008E6604">
              <w:rPr>
                <w:noProof/>
                <w:webHidden/>
              </w:rPr>
              <w:tab/>
            </w:r>
            <w:r w:rsidR="008E6604">
              <w:rPr>
                <w:noProof/>
                <w:webHidden/>
              </w:rPr>
              <w:fldChar w:fldCharType="begin"/>
            </w:r>
            <w:r w:rsidR="008E6604">
              <w:rPr>
                <w:noProof/>
                <w:webHidden/>
              </w:rPr>
              <w:instrText xml:space="preserve"> PAGEREF _Toc39495066 \h </w:instrText>
            </w:r>
            <w:r w:rsidR="008E6604">
              <w:rPr>
                <w:noProof/>
                <w:webHidden/>
              </w:rPr>
            </w:r>
            <w:r w:rsidR="008E6604">
              <w:rPr>
                <w:noProof/>
                <w:webHidden/>
              </w:rPr>
              <w:fldChar w:fldCharType="separate"/>
            </w:r>
            <w:r w:rsidR="008E6604">
              <w:rPr>
                <w:noProof/>
                <w:webHidden/>
              </w:rPr>
              <w:t>9</w:t>
            </w:r>
            <w:r w:rsidR="008E6604">
              <w:rPr>
                <w:noProof/>
                <w:webHidden/>
              </w:rPr>
              <w:fldChar w:fldCharType="end"/>
            </w:r>
          </w:hyperlink>
        </w:p>
        <w:p w14:paraId="5DC42BF9" w14:textId="09212361" w:rsidR="008E6604" w:rsidRDefault="0028614A">
          <w:pPr>
            <w:pStyle w:val="Obsah2"/>
            <w:tabs>
              <w:tab w:val="left" w:pos="880"/>
              <w:tab w:val="right" w:leader="dot" w:pos="10054"/>
            </w:tabs>
            <w:rPr>
              <w:noProof/>
              <w:lang w:val="cs-CZ" w:eastAsia="cs-CZ"/>
            </w:rPr>
          </w:pPr>
          <w:hyperlink w:anchor="_Toc39495067" w:history="1">
            <w:r w:rsidR="008E6604" w:rsidRPr="00F90D7F">
              <w:rPr>
                <w:rStyle w:val="Hypertextovodkaz"/>
                <w:noProof/>
              </w:rPr>
              <w:t>3.3.</w:t>
            </w:r>
            <w:r w:rsidR="008E6604">
              <w:rPr>
                <w:noProof/>
                <w:lang w:val="cs-CZ" w:eastAsia="cs-CZ"/>
              </w:rPr>
              <w:tab/>
            </w:r>
            <w:r w:rsidR="008E6604" w:rsidRPr="00F90D7F">
              <w:rPr>
                <w:rStyle w:val="Hypertextovodkaz"/>
                <w:noProof/>
              </w:rPr>
              <w:t>Milníky a cíle stanovené ve výkonnostním rámci (čl. 50 odst. 2 nařízení (EU) č. 1303/2013) – předloženo ve výročních zprávách o implementaci od roku 2017</w:t>
            </w:r>
            <w:r w:rsidR="008E6604">
              <w:rPr>
                <w:noProof/>
                <w:webHidden/>
              </w:rPr>
              <w:tab/>
            </w:r>
            <w:r w:rsidR="008E6604">
              <w:rPr>
                <w:noProof/>
                <w:webHidden/>
              </w:rPr>
              <w:fldChar w:fldCharType="begin"/>
            </w:r>
            <w:r w:rsidR="008E6604">
              <w:rPr>
                <w:noProof/>
                <w:webHidden/>
              </w:rPr>
              <w:instrText xml:space="preserve"> PAGEREF _Toc39495067 \h </w:instrText>
            </w:r>
            <w:r w:rsidR="008E6604">
              <w:rPr>
                <w:noProof/>
                <w:webHidden/>
              </w:rPr>
            </w:r>
            <w:r w:rsidR="008E6604">
              <w:rPr>
                <w:noProof/>
                <w:webHidden/>
              </w:rPr>
              <w:fldChar w:fldCharType="separate"/>
            </w:r>
            <w:r w:rsidR="008E6604">
              <w:rPr>
                <w:noProof/>
                <w:webHidden/>
              </w:rPr>
              <w:t>51</w:t>
            </w:r>
            <w:r w:rsidR="008E6604">
              <w:rPr>
                <w:noProof/>
                <w:webHidden/>
              </w:rPr>
              <w:fldChar w:fldCharType="end"/>
            </w:r>
          </w:hyperlink>
        </w:p>
        <w:p w14:paraId="49D7C853" w14:textId="32F79E53" w:rsidR="008E6604" w:rsidRDefault="0028614A">
          <w:pPr>
            <w:pStyle w:val="Obsah2"/>
            <w:tabs>
              <w:tab w:val="left" w:pos="880"/>
              <w:tab w:val="right" w:leader="dot" w:pos="10054"/>
            </w:tabs>
            <w:rPr>
              <w:noProof/>
              <w:lang w:val="cs-CZ" w:eastAsia="cs-CZ"/>
            </w:rPr>
          </w:pPr>
          <w:hyperlink w:anchor="_Toc39495068" w:history="1">
            <w:r w:rsidR="008E6604" w:rsidRPr="00F90D7F">
              <w:rPr>
                <w:rStyle w:val="Hypertextovodkaz"/>
                <w:noProof/>
              </w:rPr>
              <w:t>3.4.</w:t>
            </w:r>
            <w:r w:rsidR="008E6604">
              <w:rPr>
                <w:noProof/>
                <w:lang w:val="cs-CZ" w:eastAsia="cs-CZ"/>
              </w:rPr>
              <w:tab/>
            </w:r>
            <w:r w:rsidR="008E6604" w:rsidRPr="00F90D7F">
              <w:rPr>
                <w:rStyle w:val="Hypertextovodkaz"/>
                <w:noProof/>
              </w:rPr>
              <w:t>Finanční údaje (čl. 50 odst. 2 nařízení (EU) č. 1303/2013) (10)</w:t>
            </w:r>
            <w:r w:rsidR="008E6604">
              <w:rPr>
                <w:noProof/>
                <w:webHidden/>
              </w:rPr>
              <w:tab/>
            </w:r>
            <w:r w:rsidR="008E6604">
              <w:rPr>
                <w:noProof/>
                <w:webHidden/>
              </w:rPr>
              <w:fldChar w:fldCharType="begin"/>
            </w:r>
            <w:r w:rsidR="008E6604">
              <w:rPr>
                <w:noProof/>
                <w:webHidden/>
              </w:rPr>
              <w:instrText xml:space="preserve"> PAGEREF _Toc39495068 \h </w:instrText>
            </w:r>
            <w:r w:rsidR="008E6604">
              <w:rPr>
                <w:noProof/>
                <w:webHidden/>
              </w:rPr>
            </w:r>
            <w:r w:rsidR="008E6604">
              <w:rPr>
                <w:noProof/>
                <w:webHidden/>
              </w:rPr>
              <w:fldChar w:fldCharType="separate"/>
            </w:r>
            <w:r w:rsidR="008E6604">
              <w:rPr>
                <w:noProof/>
                <w:webHidden/>
              </w:rPr>
              <w:t>57</w:t>
            </w:r>
            <w:r w:rsidR="008E6604">
              <w:rPr>
                <w:noProof/>
                <w:webHidden/>
              </w:rPr>
              <w:fldChar w:fldCharType="end"/>
            </w:r>
          </w:hyperlink>
        </w:p>
        <w:p w14:paraId="762CE76C" w14:textId="444D9804" w:rsidR="008E6604" w:rsidRDefault="0028614A">
          <w:pPr>
            <w:pStyle w:val="Obsah1"/>
            <w:tabs>
              <w:tab w:val="left" w:pos="440"/>
              <w:tab w:val="right" w:leader="dot" w:pos="10054"/>
            </w:tabs>
            <w:rPr>
              <w:noProof/>
              <w:lang w:val="cs-CZ" w:eastAsia="cs-CZ"/>
            </w:rPr>
          </w:pPr>
          <w:hyperlink w:anchor="_Toc39495069" w:history="1">
            <w:r w:rsidR="008E6604" w:rsidRPr="00F90D7F">
              <w:rPr>
                <w:rStyle w:val="Hypertextovodkaz"/>
                <w:noProof/>
              </w:rPr>
              <w:t>4.</w:t>
            </w:r>
            <w:r w:rsidR="008E6604">
              <w:rPr>
                <w:noProof/>
                <w:lang w:val="cs-CZ" w:eastAsia="cs-CZ"/>
              </w:rPr>
              <w:tab/>
            </w:r>
            <w:r w:rsidR="008E6604" w:rsidRPr="00F90D7F">
              <w:rPr>
                <w:rStyle w:val="Hypertextovodkaz"/>
                <w:noProof/>
              </w:rPr>
              <w:t>SHRNUTÍ EVALUACÍ (čl. 50 odst. 2 nařízení (EU) č. 1303/2013)</w:t>
            </w:r>
            <w:r w:rsidR="008E6604">
              <w:rPr>
                <w:noProof/>
                <w:webHidden/>
              </w:rPr>
              <w:tab/>
            </w:r>
            <w:r w:rsidR="008E6604">
              <w:rPr>
                <w:noProof/>
                <w:webHidden/>
              </w:rPr>
              <w:fldChar w:fldCharType="begin"/>
            </w:r>
            <w:r w:rsidR="008E6604">
              <w:rPr>
                <w:noProof/>
                <w:webHidden/>
              </w:rPr>
              <w:instrText xml:space="preserve"> PAGEREF _Toc39495069 \h </w:instrText>
            </w:r>
            <w:r w:rsidR="008E6604">
              <w:rPr>
                <w:noProof/>
                <w:webHidden/>
              </w:rPr>
            </w:r>
            <w:r w:rsidR="008E6604">
              <w:rPr>
                <w:noProof/>
                <w:webHidden/>
              </w:rPr>
              <w:fldChar w:fldCharType="separate"/>
            </w:r>
            <w:r w:rsidR="008E6604">
              <w:rPr>
                <w:noProof/>
                <w:webHidden/>
              </w:rPr>
              <w:t>61</w:t>
            </w:r>
            <w:r w:rsidR="008E6604">
              <w:rPr>
                <w:noProof/>
                <w:webHidden/>
              </w:rPr>
              <w:fldChar w:fldCharType="end"/>
            </w:r>
          </w:hyperlink>
        </w:p>
        <w:p w14:paraId="33B7212E" w14:textId="3436EE88" w:rsidR="008E6604" w:rsidRDefault="0028614A">
          <w:pPr>
            <w:pStyle w:val="Obsah1"/>
            <w:tabs>
              <w:tab w:val="left" w:pos="440"/>
              <w:tab w:val="right" w:leader="dot" w:pos="10054"/>
            </w:tabs>
            <w:rPr>
              <w:noProof/>
              <w:lang w:val="cs-CZ" w:eastAsia="cs-CZ"/>
            </w:rPr>
          </w:pPr>
          <w:hyperlink w:anchor="_Toc39495070" w:history="1">
            <w:r w:rsidR="008E6604" w:rsidRPr="00F90D7F">
              <w:rPr>
                <w:rStyle w:val="Hypertextovodkaz"/>
                <w:noProof/>
              </w:rPr>
              <w:t>5.</w:t>
            </w:r>
            <w:r w:rsidR="008E6604">
              <w:rPr>
                <w:noProof/>
                <w:lang w:val="cs-CZ" w:eastAsia="cs-CZ"/>
              </w:rPr>
              <w:tab/>
            </w:r>
            <w:r w:rsidR="008E6604" w:rsidRPr="00F90D7F">
              <w:rPr>
                <w:rStyle w:val="Hypertextovodkaz"/>
                <w:noProof/>
              </w:rPr>
              <w:t>INFORMACE O IMPLEMENTACI INICIATIVY NA PODPORU ZAMĚSTNANOSTI MLADÝCH LIDÍ, JE-LI POUŽITELNÉ (čl. 19 odst. 2 a 4 nařízení (EU) č. 1304/2013)</w:t>
            </w:r>
            <w:r w:rsidR="008E6604">
              <w:rPr>
                <w:noProof/>
                <w:webHidden/>
              </w:rPr>
              <w:tab/>
            </w:r>
            <w:r w:rsidR="008E6604">
              <w:rPr>
                <w:noProof/>
                <w:webHidden/>
              </w:rPr>
              <w:fldChar w:fldCharType="begin"/>
            </w:r>
            <w:r w:rsidR="008E6604">
              <w:rPr>
                <w:noProof/>
                <w:webHidden/>
              </w:rPr>
              <w:instrText xml:space="preserve"> PAGEREF _Toc39495070 \h </w:instrText>
            </w:r>
            <w:r w:rsidR="008E6604">
              <w:rPr>
                <w:noProof/>
                <w:webHidden/>
              </w:rPr>
            </w:r>
            <w:r w:rsidR="008E6604">
              <w:rPr>
                <w:noProof/>
                <w:webHidden/>
              </w:rPr>
              <w:fldChar w:fldCharType="separate"/>
            </w:r>
            <w:r w:rsidR="008E6604">
              <w:rPr>
                <w:noProof/>
                <w:webHidden/>
              </w:rPr>
              <w:t>63</w:t>
            </w:r>
            <w:r w:rsidR="008E6604">
              <w:rPr>
                <w:noProof/>
                <w:webHidden/>
              </w:rPr>
              <w:fldChar w:fldCharType="end"/>
            </w:r>
          </w:hyperlink>
        </w:p>
        <w:p w14:paraId="1380C0CC" w14:textId="681BC214" w:rsidR="008E6604" w:rsidRDefault="0028614A">
          <w:pPr>
            <w:pStyle w:val="Obsah1"/>
            <w:tabs>
              <w:tab w:val="left" w:pos="440"/>
              <w:tab w:val="right" w:leader="dot" w:pos="10054"/>
            </w:tabs>
            <w:rPr>
              <w:noProof/>
              <w:lang w:val="cs-CZ" w:eastAsia="cs-CZ"/>
            </w:rPr>
          </w:pPr>
          <w:hyperlink w:anchor="_Toc39495071" w:history="1">
            <w:r w:rsidR="008E6604" w:rsidRPr="00F90D7F">
              <w:rPr>
                <w:rStyle w:val="Hypertextovodkaz"/>
                <w:noProof/>
              </w:rPr>
              <w:t>6.</w:t>
            </w:r>
            <w:r w:rsidR="008E6604">
              <w:rPr>
                <w:noProof/>
                <w:lang w:val="cs-CZ" w:eastAsia="cs-CZ"/>
              </w:rPr>
              <w:tab/>
            </w:r>
            <w:r w:rsidR="008E6604" w:rsidRPr="00F90D7F">
              <w:rPr>
                <w:rStyle w:val="Hypertextovodkaz"/>
                <w:noProof/>
              </w:rPr>
              <w:t>ZÁLEŽITOSTI OVLIVŇUJÍCÍ VÝKONNOST PROGRAMU A PŘIJATÁ OPATŘENÍ (čl. 50 odst. 2 nařízení (EU) č. 1303/2013)  (15)</w:t>
            </w:r>
            <w:r w:rsidR="008E6604">
              <w:rPr>
                <w:noProof/>
                <w:webHidden/>
              </w:rPr>
              <w:tab/>
            </w:r>
            <w:r w:rsidR="008E6604">
              <w:rPr>
                <w:noProof/>
                <w:webHidden/>
              </w:rPr>
              <w:fldChar w:fldCharType="begin"/>
            </w:r>
            <w:r w:rsidR="008E6604">
              <w:rPr>
                <w:noProof/>
                <w:webHidden/>
              </w:rPr>
              <w:instrText xml:space="preserve"> PAGEREF _Toc39495071 \h </w:instrText>
            </w:r>
            <w:r w:rsidR="008E6604">
              <w:rPr>
                <w:noProof/>
                <w:webHidden/>
              </w:rPr>
            </w:r>
            <w:r w:rsidR="008E6604">
              <w:rPr>
                <w:noProof/>
                <w:webHidden/>
              </w:rPr>
              <w:fldChar w:fldCharType="separate"/>
            </w:r>
            <w:r w:rsidR="008E6604">
              <w:rPr>
                <w:noProof/>
                <w:webHidden/>
              </w:rPr>
              <w:t>64</w:t>
            </w:r>
            <w:r w:rsidR="008E6604">
              <w:rPr>
                <w:noProof/>
                <w:webHidden/>
              </w:rPr>
              <w:fldChar w:fldCharType="end"/>
            </w:r>
          </w:hyperlink>
        </w:p>
        <w:p w14:paraId="4D7118D7" w14:textId="6BE9C43F" w:rsidR="008E6604" w:rsidRDefault="0028614A">
          <w:pPr>
            <w:pStyle w:val="Obsah1"/>
            <w:tabs>
              <w:tab w:val="left" w:pos="440"/>
              <w:tab w:val="right" w:leader="dot" w:pos="10054"/>
            </w:tabs>
            <w:rPr>
              <w:noProof/>
              <w:lang w:val="cs-CZ" w:eastAsia="cs-CZ"/>
            </w:rPr>
          </w:pPr>
          <w:hyperlink w:anchor="_Toc39495072" w:history="1">
            <w:r w:rsidR="008E6604" w:rsidRPr="00F90D7F">
              <w:rPr>
                <w:rStyle w:val="Hypertextovodkaz"/>
                <w:noProof/>
              </w:rPr>
              <w:t>7.</w:t>
            </w:r>
            <w:r w:rsidR="008E6604">
              <w:rPr>
                <w:noProof/>
                <w:lang w:val="cs-CZ" w:eastAsia="cs-CZ"/>
              </w:rPr>
              <w:tab/>
            </w:r>
            <w:r w:rsidR="008E6604" w:rsidRPr="00F90D7F">
              <w:rPr>
                <w:rStyle w:val="Hypertextovodkaz"/>
                <w:noProof/>
              </w:rPr>
              <w:t>SHRNUTÍ PRO VEŘEJNOST (čl. 50 odst. 9 nařízení (EU) č. 1303/2013)  (16)</w:t>
            </w:r>
            <w:r w:rsidR="008E6604">
              <w:rPr>
                <w:noProof/>
                <w:webHidden/>
              </w:rPr>
              <w:tab/>
            </w:r>
            <w:r w:rsidR="008E6604">
              <w:rPr>
                <w:noProof/>
                <w:webHidden/>
              </w:rPr>
              <w:fldChar w:fldCharType="begin"/>
            </w:r>
            <w:r w:rsidR="008E6604">
              <w:rPr>
                <w:noProof/>
                <w:webHidden/>
              </w:rPr>
              <w:instrText xml:space="preserve"> PAGEREF _Toc39495072 \h </w:instrText>
            </w:r>
            <w:r w:rsidR="008E6604">
              <w:rPr>
                <w:noProof/>
                <w:webHidden/>
              </w:rPr>
            </w:r>
            <w:r w:rsidR="008E6604">
              <w:rPr>
                <w:noProof/>
                <w:webHidden/>
              </w:rPr>
              <w:fldChar w:fldCharType="separate"/>
            </w:r>
            <w:r w:rsidR="008E6604">
              <w:rPr>
                <w:noProof/>
                <w:webHidden/>
              </w:rPr>
              <w:t>65</w:t>
            </w:r>
            <w:r w:rsidR="008E6604">
              <w:rPr>
                <w:noProof/>
                <w:webHidden/>
              </w:rPr>
              <w:fldChar w:fldCharType="end"/>
            </w:r>
          </w:hyperlink>
        </w:p>
        <w:p w14:paraId="06D2DBEE" w14:textId="23E32724" w:rsidR="008E6604" w:rsidRDefault="0028614A">
          <w:pPr>
            <w:pStyle w:val="Obsah1"/>
            <w:tabs>
              <w:tab w:val="left" w:pos="440"/>
              <w:tab w:val="right" w:leader="dot" w:pos="10054"/>
            </w:tabs>
            <w:rPr>
              <w:noProof/>
              <w:lang w:val="cs-CZ" w:eastAsia="cs-CZ"/>
            </w:rPr>
          </w:pPr>
          <w:hyperlink w:anchor="_Toc39495073" w:history="1">
            <w:r w:rsidR="008E6604" w:rsidRPr="00F90D7F">
              <w:rPr>
                <w:rStyle w:val="Hypertextovodkaz"/>
                <w:noProof/>
              </w:rPr>
              <w:t>8.</w:t>
            </w:r>
            <w:r w:rsidR="008E6604">
              <w:rPr>
                <w:noProof/>
                <w:lang w:val="cs-CZ" w:eastAsia="cs-CZ"/>
              </w:rPr>
              <w:tab/>
            </w:r>
            <w:r w:rsidR="008E6604" w:rsidRPr="00F90D7F">
              <w:rPr>
                <w:rStyle w:val="Hypertextovodkaz"/>
                <w:noProof/>
              </w:rPr>
              <w:t>ZPRÁVA O IMPLEMENTACI FINANČNÍCH NÁSTROJŮ (článek 46 nařízení (EU) č. 1303/2013)</w:t>
            </w:r>
            <w:r w:rsidR="008E6604">
              <w:rPr>
                <w:noProof/>
                <w:webHidden/>
              </w:rPr>
              <w:tab/>
            </w:r>
            <w:r w:rsidR="008E6604">
              <w:rPr>
                <w:noProof/>
                <w:webHidden/>
              </w:rPr>
              <w:fldChar w:fldCharType="begin"/>
            </w:r>
            <w:r w:rsidR="008E6604">
              <w:rPr>
                <w:noProof/>
                <w:webHidden/>
              </w:rPr>
              <w:instrText xml:space="preserve"> PAGEREF _Toc39495073 \h </w:instrText>
            </w:r>
            <w:r w:rsidR="008E6604">
              <w:rPr>
                <w:noProof/>
                <w:webHidden/>
              </w:rPr>
            </w:r>
            <w:r w:rsidR="008E6604">
              <w:rPr>
                <w:noProof/>
                <w:webHidden/>
              </w:rPr>
              <w:fldChar w:fldCharType="separate"/>
            </w:r>
            <w:r w:rsidR="008E6604">
              <w:rPr>
                <w:noProof/>
                <w:webHidden/>
              </w:rPr>
              <w:t>66</w:t>
            </w:r>
            <w:r w:rsidR="008E6604">
              <w:rPr>
                <w:noProof/>
                <w:webHidden/>
              </w:rPr>
              <w:fldChar w:fldCharType="end"/>
            </w:r>
          </w:hyperlink>
        </w:p>
        <w:p w14:paraId="624BFB8C" w14:textId="222E64C2" w:rsidR="008E6604" w:rsidRDefault="0028614A">
          <w:pPr>
            <w:pStyle w:val="Obsah1"/>
            <w:tabs>
              <w:tab w:val="left" w:pos="660"/>
              <w:tab w:val="right" w:leader="dot" w:pos="10054"/>
            </w:tabs>
            <w:rPr>
              <w:noProof/>
              <w:lang w:val="cs-CZ" w:eastAsia="cs-CZ"/>
            </w:rPr>
          </w:pPr>
          <w:hyperlink w:anchor="_Toc39495074" w:history="1">
            <w:r w:rsidR="008E6604" w:rsidRPr="00F90D7F">
              <w:rPr>
                <w:rStyle w:val="Hypertextovodkaz"/>
                <w:noProof/>
              </w:rPr>
              <w:t>14.</w:t>
            </w:r>
            <w:r w:rsidR="008E6604">
              <w:rPr>
                <w:noProof/>
                <w:lang w:val="cs-CZ" w:eastAsia="cs-CZ"/>
              </w:rPr>
              <w:tab/>
            </w:r>
            <w:r w:rsidR="008E6604" w:rsidRPr="00F90D7F">
              <w:rPr>
                <w:rStyle w:val="Hypertextovodkaz"/>
                <w:noProof/>
              </w:rPr>
              <w:t>DODATEČNÉ INFORMACE, KTERÉ MOHOU BÝT PŘIPOJENY V ZÁVISLOSTI NA OBSAHU A CÍLECH OPERAČNÍHO PROGRAMU (čl. 111 odst. 4 druhý pododstavec písm. a), b), c), d), g) a h) nařízení (EU) č. 1303/2013)</w:t>
            </w:r>
            <w:r w:rsidR="008E6604">
              <w:rPr>
                <w:noProof/>
                <w:webHidden/>
              </w:rPr>
              <w:tab/>
            </w:r>
            <w:r w:rsidR="008E6604">
              <w:rPr>
                <w:noProof/>
                <w:webHidden/>
              </w:rPr>
              <w:fldChar w:fldCharType="begin"/>
            </w:r>
            <w:r w:rsidR="008E6604">
              <w:rPr>
                <w:noProof/>
                <w:webHidden/>
              </w:rPr>
              <w:instrText xml:space="preserve"> PAGEREF _Toc39495074 \h </w:instrText>
            </w:r>
            <w:r w:rsidR="008E6604">
              <w:rPr>
                <w:noProof/>
                <w:webHidden/>
              </w:rPr>
            </w:r>
            <w:r w:rsidR="008E6604">
              <w:rPr>
                <w:noProof/>
                <w:webHidden/>
              </w:rPr>
              <w:fldChar w:fldCharType="separate"/>
            </w:r>
            <w:r w:rsidR="008E6604">
              <w:rPr>
                <w:noProof/>
                <w:webHidden/>
              </w:rPr>
              <w:t>66</w:t>
            </w:r>
            <w:r w:rsidR="008E6604">
              <w:rPr>
                <w:noProof/>
                <w:webHidden/>
              </w:rPr>
              <w:fldChar w:fldCharType="end"/>
            </w:r>
          </w:hyperlink>
        </w:p>
        <w:p w14:paraId="17FE0BA5" w14:textId="1EC2323E" w:rsidR="008E6604" w:rsidRDefault="0028614A">
          <w:pPr>
            <w:pStyle w:val="Obsah2"/>
            <w:tabs>
              <w:tab w:val="left" w:pos="1100"/>
              <w:tab w:val="right" w:leader="dot" w:pos="10054"/>
            </w:tabs>
            <w:rPr>
              <w:noProof/>
              <w:lang w:val="cs-CZ" w:eastAsia="cs-CZ"/>
            </w:rPr>
          </w:pPr>
          <w:hyperlink w:anchor="_Toc39495075" w:history="1">
            <w:r w:rsidR="008E6604" w:rsidRPr="00F90D7F">
              <w:rPr>
                <w:rStyle w:val="Hypertextovodkaz"/>
                <w:noProof/>
              </w:rPr>
              <w:t>14.4.</w:t>
            </w:r>
            <w:r w:rsidR="008E6604">
              <w:rPr>
                <w:noProof/>
                <w:lang w:val="cs-CZ" w:eastAsia="cs-CZ"/>
              </w:rPr>
              <w:tab/>
            </w:r>
            <w:r w:rsidR="008E6604" w:rsidRPr="00F90D7F">
              <w:rPr>
                <w:rStyle w:val="Hypertextovodkaz"/>
                <w:noProof/>
              </w:rPr>
              <w:t>Případně přínos k makroregionálním strategiím a strategiím pro pobřežní oblasti</w:t>
            </w:r>
            <w:r w:rsidR="008E6604">
              <w:rPr>
                <w:noProof/>
                <w:webHidden/>
              </w:rPr>
              <w:tab/>
            </w:r>
            <w:r w:rsidR="008E6604">
              <w:rPr>
                <w:noProof/>
                <w:webHidden/>
              </w:rPr>
              <w:fldChar w:fldCharType="begin"/>
            </w:r>
            <w:r w:rsidR="008E6604">
              <w:rPr>
                <w:noProof/>
                <w:webHidden/>
              </w:rPr>
              <w:instrText xml:space="preserve"> PAGEREF _Toc39495075 \h </w:instrText>
            </w:r>
            <w:r w:rsidR="008E6604">
              <w:rPr>
                <w:noProof/>
                <w:webHidden/>
              </w:rPr>
            </w:r>
            <w:r w:rsidR="008E6604">
              <w:rPr>
                <w:noProof/>
                <w:webHidden/>
              </w:rPr>
              <w:fldChar w:fldCharType="separate"/>
            </w:r>
            <w:r w:rsidR="008E6604">
              <w:rPr>
                <w:noProof/>
                <w:webHidden/>
              </w:rPr>
              <w:t>66</w:t>
            </w:r>
            <w:r w:rsidR="008E6604">
              <w:rPr>
                <w:noProof/>
                <w:webHidden/>
              </w:rPr>
              <w:fldChar w:fldCharType="end"/>
            </w:r>
          </w:hyperlink>
        </w:p>
        <w:p w14:paraId="001E7F56" w14:textId="3E616272" w:rsidR="000B77CA" w:rsidRDefault="000B77CA">
          <w:r w:rsidRPr="000B77CA">
            <w:rPr>
              <w:rFonts w:ascii="Arial" w:hAnsi="Arial" w:cs="Arial"/>
              <w:b/>
              <w:bCs/>
            </w:rPr>
            <w:fldChar w:fldCharType="end"/>
          </w:r>
        </w:p>
      </w:sdtContent>
    </w:sdt>
    <w:p w14:paraId="7BFB695F" w14:textId="77777777" w:rsidR="00A2351A" w:rsidRDefault="002D5C25">
      <w:r>
        <w:br w:type="page"/>
      </w:r>
    </w:p>
    <w:p w14:paraId="77066D8D" w14:textId="77777777" w:rsidR="00A2351A" w:rsidRDefault="002D5C25">
      <w:pPr>
        <w:keepNext/>
        <w:keepLines/>
        <w:pBdr>
          <w:bottom w:val="single" w:sz="4" w:space="1" w:color="000099"/>
        </w:pBdr>
        <w:tabs>
          <w:tab w:val="left" w:pos="675"/>
        </w:tabs>
        <w:spacing w:after="120" w:line="264" w:lineRule="auto"/>
        <w:ind w:left="111" w:right="105"/>
        <w:jc w:val="both"/>
        <w:rPr>
          <w:rFonts w:ascii="Arial" w:eastAsia="Arial" w:hAnsi="Arial" w:cs="Arial"/>
          <w:b/>
          <w:bCs/>
          <w:color w:val="000099"/>
          <w:sz w:val="36"/>
        </w:rPr>
      </w:pPr>
      <w:bookmarkStart w:id="3" w:name="_Toc529514947"/>
      <w:r>
        <w:rPr>
          <w:rFonts w:ascii="Arial" w:eastAsia="Arial" w:hAnsi="Arial" w:cs="Arial"/>
          <w:b/>
          <w:bCs/>
          <w:color w:val="000099"/>
          <w:sz w:val="36"/>
        </w:rPr>
        <w:lastRenderedPageBreak/>
        <w:t>Základní informace</w:t>
      </w:r>
      <w:bookmarkEnd w:id="3"/>
    </w:p>
    <w:p w14:paraId="4CA5A6CB" w14:textId="77777777" w:rsidR="00A2351A" w:rsidRDefault="002D5C25">
      <w:pPr>
        <w:spacing w:after="120" w:line="312" w:lineRule="auto"/>
        <w:ind w:left="111" w:right="105"/>
        <w:jc w:val="both"/>
        <w:rPr>
          <w:rFonts w:ascii="Arial" w:eastAsia="Arial" w:hAnsi="Arial" w:cs="Arial"/>
          <w:color w:val="000000"/>
          <w:sz w:val="20"/>
        </w:rPr>
      </w:pPr>
      <w:r>
        <w:rPr>
          <w:rFonts w:ascii="Arial" w:eastAsia="Arial" w:hAnsi="Arial" w:cs="Arial"/>
          <w:b/>
          <w:bCs/>
          <w:color w:val="000000"/>
          <w:sz w:val="20"/>
        </w:rPr>
        <w:t>Sledované období od</w:t>
      </w:r>
      <w:r>
        <w:rPr>
          <w:rFonts w:ascii="Arial" w:eastAsia="Arial" w:hAnsi="Arial" w:cs="Arial"/>
          <w:color w:val="000000"/>
          <w:sz w:val="20"/>
        </w:rPr>
        <w:t>:</w:t>
      </w:r>
      <w:r>
        <w:rPr>
          <w:rFonts w:ascii="Arial" w:eastAsia="Arial" w:hAnsi="Arial" w:cs="Arial"/>
          <w:color w:val="000000"/>
          <w:sz w:val="20"/>
        </w:rPr>
        <w:tab/>
        <w:t>01. 01. 2014</w:t>
      </w:r>
    </w:p>
    <w:p w14:paraId="09FC9B3B" w14:textId="6CBE07F6" w:rsidR="00A2351A" w:rsidRDefault="002D5C25">
      <w:pPr>
        <w:spacing w:after="120" w:line="312" w:lineRule="auto"/>
        <w:ind w:left="111" w:right="105"/>
        <w:jc w:val="both"/>
        <w:rPr>
          <w:rFonts w:ascii="Arial" w:eastAsia="Arial" w:hAnsi="Arial" w:cs="Arial"/>
          <w:color w:val="000000"/>
          <w:sz w:val="20"/>
        </w:rPr>
      </w:pPr>
      <w:r>
        <w:rPr>
          <w:rFonts w:ascii="Arial" w:eastAsia="Arial" w:hAnsi="Arial" w:cs="Arial"/>
          <w:b/>
          <w:bCs/>
          <w:color w:val="000000"/>
          <w:sz w:val="20"/>
        </w:rPr>
        <w:t>Sledované období do</w:t>
      </w:r>
      <w:r w:rsidR="004560E8">
        <w:rPr>
          <w:rFonts w:ascii="Arial" w:eastAsia="Arial" w:hAnsi="Arial" w:cs="Arial"/>
          <w:color w:val="000000"/>
          <w:sz w:val="20"/>
        </w:rPr>
        <w:t>:</w:t>
      </w:r>
      <w:r w:rsidR="004560E8">
        <w:rPr>
          <w:rFonts w:ascii="Arial" w:eastAsia="Arial" w:hAnsi="Arial" w:cs="Arial"/>
          <w:color w:val="000000"/>
          <w:sz w:val="20"/>
        </w:rPr>
        <w:tab/>
        <w:t>31. 12. 2019</w:t>
      </w:r>
    </w:p>
    <w:p w14:paraId="58BFF5CC" w14:textId="77777777" w:rsidR="00A2351A" w:rsidRDefault="002D5C25">
      <w:pPr>
        <w:spacing w:after="120" w:line="312" w:lineRule="auto"/>
        <w:ind w:left="111" w:right="105"/>
        <w:jc w:val="both"/>
        <w:rPr>
          <w:rFonts w:ascii="Arial" w:eastAsia="Arial" w:hAnsi="Arial" w:cs="Arial"/>
          <w:color w:val="000000"/>
          <w:sz w:val="20"/>
        </w:rPr>
      </w:pPr>
      <w:r>
        <w:rPr>
          <w:rFonts w:ascii="Arial" w:eastAsia="Arial" w:hAnsi="Arial" w:cs="Arial"/>
          <w:b/>
          <w:bCs/>
          <w:color w:val="000000"/>
          <w:sz w:val="20"/>
        </w:rPr>
        <w:t>Zdroj dat</w:t>
      </w:r>
      <w:r>
        <w:rPr>
          <w:rFonts w:ascii="Arial" w:eastAsia="Arial" w:hAnsi="Arial" w:cs="Arial"/>
          <w:color w:val="000000"/>
          <w:sz w:val="20"/>
        </w:rPr>
        <w:t xml:space="preserve">: MS2014+ </w:t>
      </w:r>
    </w:p>
    <w:p w14:paraId="57456754" w14:textId="77777777" w:rsidR="00A2351A" w:rsidRDefault="002D5C25">
      <w:pPr>
        <w:spacing w:after="120" w:line="312" w:lineRule="auto"/>
        <w:ind w:left="2235" w:right="105" w:hanging="2124"/>
        <w:jc w:val="both"/>
        <w:rPr>
          <w:rFonts w:ascii="Arial" w:eastAsia="Arial" w:hAnsi="Arial" w:cs="Arial"/>
          <w:color w:val="000000"/>
          <w:sz w:val="20"/>
        </w:rPr>
      </w:pPr>
      <w:r>
        <w:rPr>
          <w:rFonts w:ascii="Arial" w:eastAsia="Arial" w:hAnsi="Arial" w:cs="Arial"/>
          <w:b/>
          <w:bCs/>
          <w:color w:val="000000"/>
          <w:sz w:val="20"/>
        </w:rPr>
        <w:t>Data platná od</w:t>
      </w:r>
      <w:r>
        <w:rPr>
          <w:rFonts w:ascii="Arial" w:eastAsia="Arial" w:hAnsi="Arial" w:cs="Arial"/>
          <w:color w:val="000000"/>
          <w:sz w:val="20"/>
        </w:rPr>
        <w:t>: 01. 01. 2014</w:t>
      </w:r>
    </w:p>
    <w:p w14:paraId="1C99E1A7" w14:textId="616302F4" w:rsidR="00A2351A" w:rsidRDefault="002D5C25">
      <w:pPr>
        <w:spacing w:after="120" w:line="312" w:lineRule="auto"/>
        <w:ind w:left="2235" w:right="105" w:hanging="2124"/>
        <w:jc w:val="both"/>
        <w:rPr>
          <w:rFonts w:ascii="Arial" w:eastAsia="Arial" w:hAnsi="Arial" w:cs="Arial"/>
          <w:color w:val="000000"/>
          <w:sz w:val="20"/>
        </w:rPr>
      </w:pPr>
      <w:r>
        <w:rPr>
          <w:rFonts w:ascii="Arial" w:eastAsia="Arial" w:hAnsi="Arial" w:cs="Arial"/>
          <w:b/>
          <w:bCs/>
          <w:color w:val="000000"/>
          <w:sz w:val="20"/>
        </w:rPr>
        <w:t>Data platná k</w:t>
      </w:r>
      <w:r w:rsidR="006004C9">
        <w:rPr>
          <w:rFonts w:ascii="Arial" w:eastAsia="Arial" w:hAnsi="Arial" w:cs="Arial"/>
          <w:color w:val="000000"/>
          <w:sz w:val="20"/>
        </w:rPr>
        <w:t>: 31. 12. 2019</w:t>
      </w:r>
    </w:p>
    <w:p w14:paraId="567278DE" w14:textId="57BC8143" w:rsidR="00A2351A" w:rsidRDefault="002D5C25">
      <w:pPr>
        <w:spacing w:after="120" w:line="312" w:lineRule="auto"/>
        <w:ind w:left="111" w:right="105"/>
        <w:jc w:val="both"/>
        <w:rPr>
          <w:rFonts w:ascii="Arial" w:eastAsia="Arial" w:hAnsi="Arial" w:cs="Arial"/>
          <w:color w:val="000000"/>
          <w:sz w:val="20"/>
        </w:rPr>
      </w:pPr>
      <w:r>
        <w:rPr>
          <w:rFonts w:ascii="Arial" w:eastAsia="Arial" w:hAnsi="Arial" w:cs="Arial"/>
          <w:b/>
          <w:bCs/>
          <w:color w:val="000000"/>
          <w:sz w:val="20"/>
        </w:rPr>
        <w:t>Datum generování</w:t>
      </w:r>
      <w:r w:rsidR="004560E8">
        <w:rPr>
          <w:rFonts w:ascii="Arial" w:eastAsia="Arial" w:hAnsi="Arial" w:cs="Arial"/>
          <w:color w:val="000000"/>
          <w:sz w:val="20"/>
        </w:rPr>
        <w:t>: 19. 03. 2020</w:t>
      </w:r>
    </w:p>
    <w:p w14:paraId="4EEDF548" w14:textId="77777777" w:rsidR="000B77CA" w:rsidRPr="005910A9" w:rsidRDefault="002D5C25" w:rsidP="000B77CA">
      <w:pPr>
        <w:pStyle w:val="Nadpis1"/>
        <w:numPr>
          <w:ilvl w:val="0"/>
          <w:numId w:val="0"/>
        </w:numPr>
      </w:pPr>
      <w:r>
        <w:br w:type="page"/>
      </w:r>
      <w:bookmarkStart w:id="4" w:name="_Toc3370025"/>
      <w:bookmarkStart w:id="5" w:name="_Toc39495061"/>
      <w:r w:rsidR="000B77CA" w:rsidRPr="005910A9">
        <w:lastRenderedPageBreak/>
        <w:t>Ú</w:t>
      </w:r>
      <w:r w:rsidR="000B77CA">
        <w:t>VOD</w:t>
      </w:r>
      <w:bookmarkEnd w:id="4"/>
      <w:bookmarkEnd w:id="5"/>
    </w:p>
    <w:p w14:paraId="19E7981C" w14:textId="77777777" w:rsidR="000B77CA" w:rsidRPr="003F21BA" w:rsidRDefault="000B77CA" w:rsidP="000B77CA">
      <w:pPr>
        <w:rPr>
          <w:rFonts w:ascii="Arial" w:hAnsi="Arial" w:cs="Arial"/>
          <w:b/>
        </w:rPr>
      </w:pPr>
    </w:p>
    <w:p w14:paraId="74CC4CB0" w14:textId="49644C90" w:rsidR="004560E8" w:rsidRPr="004560E8" w:rsidRDefault="004560E8" w:rsidP="004560E8">
      <w:pPr>
        <w:spacing w:after="120" w:line="276" w:lineRule="auto"/>
        <w:jc w:val="both"/>
        <w:rPr>
          <w:rFonts w:ascii="Arial" w:hAnsi="Arial" w:cs="Arial"/>
        </w:rPr>
      </w:pPr>
      <w:r w:rsidRPr="004560E8">
        <w:rPr>
          <w:rFonts w:ascii="Arial" w:hAnsi="Arial" w:cs="Arial"/>
        </w:rPr>
        <w:t xml:space="preserve">Výroční zpráva o implementaci Operačního programu </w:t>
      </w:r>
      <w:r w:rsidR="00867D12">
        <w:rPr>
          <w:rFonts w:ascii="Arial" w:hAnsi="Arial" w:cs="Arial"/>
        </w:rPr>
        <w:t>Zaměstnanost za rok 2019 (dle metodického</w:t>
      </w:r>
      <w:r w:rsidRPr="004560E8">
        <w:rPr>
          <w:rFonts w:ascii="Arial" w:hAnsi="Arial" w:cs="Arial"/>
        </w:rPr>
        <w:t xml:space="preserve"> pokynu MMR jen Výroční zpráva programu Zaměstnanost za rok 2019) je uvedena v podobě generované příslušnou šablonou v informačním systému MS2014+.</w:t>
      </w:r>
    </w:p>
    <w:p w14:paraId="5E41242D" w14:textId="5CEEC7BF" w:rsidR="00910E46" w:rsidRDefault="004560E8" w:rsidP="004560E8">
      <w:pPr>
        <w:spacing w:after="120" w:line="276" w:lineRule="auto"/>
        <w:jc w:val="both"/>
        <w:rPr>
          <w:rFonts w:ascii="Arial" w:hAnsi="Arial" w:cs="Arial"/>
        </w:rPr>
      </w:pPr>
      <w:r w:rsidRPr="004560E8">
        <w:rPr>
          <w:rFonts w:ascii="Arial" w:hAnsi="Arial" w:cs="Arial"/>
        </w:rPr>
        <w:t xml:space="preserve">Součástí Výroční zprávy o implementaci Operačního programu Zaměstnanost za rok 2019 jsou přílohy č. 1 – </w:t>
      </w:r>
      <w:r w:rsidRPr="00B158B8">
        <w:rPr>
          <w:rFonts w:ascii="Arial" w:hAnsi="Arial" w:cs="Arial"/>
        </w:rPr>
        <w:t>5</w:t>
      </w:r>
      <w:r w:rsidRPr="004560E8">
        <w:rPr>
          <w:rFonts w:ascii="Arial" w:hAnsi="Arial" w:cs="Arial"/>
        </w:rPr>
        <w:t xml:space="preserve">, obsahující některé rozsáhlejší tabulky a zároveň doplňující informace, které vzhledem k omezenému počtu znaků v textových polích MS2014+ a SFC2014+ nebylo možné vložit přímo do zprávy. Tyto přílohy budou po schválení zprávy monitorovacím výborem nahrány jako samostatné dokumenty do MS2014+ a SFC2014+. </w:t>
      </w:r>
    </w:p>
    <w:p w14:paraId="7CC6FDA4" w14:textId="138B4005" w:rsidR="009D15E9" w:rsidRDefault="009D15E9" w:rsidP="004560E8">
      <w:pPr>
        <w:spacing w:after="120" w:line="276" w:lineRule="auto"/>
        <w:jc w:val="both"/>
        <w:rPr>
          <w:rFonts w:ascii="Arial" w:hAnsi="Arial" w:cs="Arial"/>
        </w:rPr>
      </w:pPr>
      <w:r>
        <w:rPr>
          <w:rFonts w:ascii="Arial" w:hAnsi="Arial" w:cs="Arial"/>
        </w:rPr>
        <w:t>Ze zprávy byly smazány kapitoly 9 a 10, které jsou pro program OPZ nerelevantní. B</w:t>
      </w:r>
      <w:r w:rsidR="00F12F3A">
        <w:rPr>
          <w:rFonts w:ascii="Arial" w:hAnsi="Arial" w:cs="Arial"/>
        </w:rPr>
        <w:t>yla</w:t>
      </w:r>
      <w:r>
        <w:rPr>
          <w:rFonts w:ascii="Arial" w:hAnsi="Arial" w:cs="Arial"/>
        </w:rPr>
        <w:t xml:space="preserve"> doplněna kapitola 14, která obsahuje </w:t>
      </w:r>
      <w:r w:rsidR="00F12F3A">
        <w:rPr>
          <w:rFonts w:ascii="Arial" w:hAnsi="Arial" w:cs="Arial"/>
        </w:rPr>
        <w:t>dodatečné infomace o přínosu k makroregionálním strategiím.</w:t>
      </w:r>
    </w:p>
    <w:p w14:paraId="29B7B32C" w14:textId="61F9BCE6" w:rsidR="006B1BFD" w:rsidRPr="004560E8" w:rsidRDefault="006B1BFD" w:rsidP="004560E8">
      <w:pPr>
        <w:spacing w:after="120" w:line="276" w:lineRule="auto"/>
        <w:jc w:val="both"/>
        <w:rPr>
          <w:rFonts w:ascii="Arial" w:hAnsi="Arial" w:cs="Arial"/>
        </w:rPr>
      </w:pPr>
      <w:r w:rsidRPr="006B1BFD">
        <w:rPr>
          <w:rFonts w:ascii="Arial" w:hAnsi="Arial" w:cs="Arial"/>
        </w:rPr>
        <w:t>Vzhledem ke složitosti validačních pravidel, která jsou nastavena v systému SFC2014+ a která systém MS2014+ nepodporuje, byla zpráva ručně zpracovávána přímo v systému SFC2014+, a to z důvodu jak časových úspor tak i minimalizaci administrativní náročnosti a chyb zejména v souvislosti s vykazováním dosažených hodnot indikátorů obsažených v tabulkách 2A, 2B, 2C, 4A a 4B. Vzhledmem k požadavku MP monitorování předkládat výroční zprávu členům monitorovacího výboru ve formátu vygenerovaném z MS2014+, byla zpráva zpráva také zpracována v tomto formátu. Nicméně tabulky 2A, 2B, 2C, 4A, 4B a tabulka č. 5 bylo potřeba zpracovat ručně.</w:t>
      </w:r>
    </w:p>
    <w:p w14:paraId="0B77762C" w14:textId="3C941E0F" w:rsidR="004560E8" w:rsidRPr="004560E8" w:rsidRDefault="004560E8" w:rsidP="004560E8">
      <w:pPr>
        <w:spacing w:after="120" w:line="276" w:lineRule="auto"/>
        <w:jc w:val="both"/>
        <w:rPr>
          <w:rFonts w:ascii="Arial" w:hAnsi="Arial" w:cs="Arial"/>
        </w:rPr>
      </w:pPr>
      <w:r w:rsidRPr="004560E8">
        <w:rPr>
          <w:rFonts w:ascii="Arial" w:hAnsi="Arial" w:cs="Arial"/>
        </w:rPr>
        <w:t xml:space="preserve">Příloha č. 1 obsahuje doplňující informace ke kapitole 3.1 Přehled implementace, kde je podrobněji popsáno provádění podle prioritních os a investičních priorit, které formát šablony neumožňuje. </w:t>
      </w:r>
      <w:r w:rsidR="008B7797">
        <w:rPr>
          <w:rFonts w:ascii="Arial" w:hAnsi="Arial" w:cs="Arial"/>
        </w:rPr>
        <w:t>Příloha č. 2</w:t>
      </w:r>
      <w:r w:rsidRPr="004560E8">
        <w:rPr>
          <w:rFonts w:ascii="Arial" w:hAnsi="Arial" w:cs="Arial"/>
        </w:rPr>
        <w:t xml:space="preserve"> obsahuje doplňující informace ke kapitole 3.2 Společné indikátory a indikátory specifické pro jednotlivé programy. </w:t>
      </w:r>
    </w:p>
    <w:p w14:paraId="0D3A6DE0" w14:textId="2249770F" w:rsidR="004560E8" w:rsidRDefault="008B7797" w:rsidP="004560E8">
      <w:pPr>
        <w:spacing w:after="120" w:line="276" w:lineRule="auto"/>
        <w:jc w:val="both"/>
        <w:rPr>
          <w:rFonts w:ascii="Arial" w:hAnsi="Arial" w:cs="Arial"/>
        </w:rPr>
      </w:pPr>
      <w:r>
        <w:rPr>
          <w:rFonts w:ascii="Arial" w:hAnsi="Arial" w:cs="Arial"/>
        </w:rPr>
        <w:t>Příloha č. 3</w:t>
      </w:r>
      <w:r w:rsidR="004560E8" w:rsidRPr="004560E8">
        <w:rPr>
          <w:rFonts w:ascii="Arial" w:hAnsi="Arial" w:cs="Arial"/>
        </w:rPr>
        <w:t xml:space="preserve"> obsahuje tabulku </w:t>
      </w:r>
      <w:r w:rsidR="00B158B8">
        <w:rPr>
          <w:rFonts w:ascii="Arial" w:hAnsi="Arial" w:cs="Arial"/>
        </w:rPr>
        <w:t xml:space="preserve">č. </w:t>
      </w:r>
      <w:r w:rsidR="004560E8" w:rsidRPr="004560E8">
        <w:rPr>
          <w:rFonts w:ascii="Arial" w:hAnsi="Arial" w:cs="Arial"/>
        </w:rPr>
        <w:t>7 Rozdělení kumulativních finančních údajů podle kategorie intervencí u EFRR, ESF a Fondu soudržnosti, která byla vzhledem ke svému rozsahu vyňata z vygenerované výroční zprávy.</w:t>
      </w:r>
    </w:p>
    <w:p w14:paraId="14080298" w14:textId="47A655C4" w:rsidR="008B7797" w:rsidRDefault="008B7797" w:rsidP="004560E8">
      <w:pPr>
        <w:spacing w:after="120" w:line="276" w:lineRule="auto"/>
        <w:jc w:val="both"/>
        <w:rPr>
          <w:rFonts w:ascii="Arial" w:hAnsi="Arial" w:cs="Arial"/>
        </w:rPr>
      </w:pPr>
      <w:r>
        <w:rPr>
          <w:rFonts w:ascii="Arial" w:hAnsi="Arial" w:cs="Arial"/>
        </w:rPr>
        <w:t>Příloha č. 4</w:t>
      </w:r>
      <w:r w:rsidRPr="008B7797">
        <w:rPr>
          <w:rFonts w:ascii="Arial" w:hAnsi="Arial" w:cs="Arial"/>
        </w:rPr>
        <w:t xml:space="preserve"> obsahuje doplňující informace ke kapitole 4 Shrnutí evaluací.</w:t>
      </w:r>
    </w:p>
    <w:p w14:paraId="1CEF5B94" w14:textId="3439E228" w:rsidR="0028798C" w:rsidRPr="004560E8" w:rsidRDefault="0028798C" w:rsidP="004560E8">
      <w:pPr>
        <w:spacing w:after="120" w:line="276" w:lineRule="auto"/>
        <w:jc w:val="both"/>
        <w:rPr>
          <w:rFonts w:ascii="Arial" w:hAnsi="Arial" w:cs="Arial"/>
        </w:rPr>
      </w:pPr>
      <w:r>
        <w:rPr>
          <w:rFonts w:ascii="Arial" w:hAnsi="Arial" w:cs="Arial"/>
        </w:rPr>
        <w:t xml:space="preserve">Příloha č. </w:t>
      </w:r>
      <w:r w:rsidR="00101CBF">
        <w:rPr>
          <w:rFonts w:ascii="Arial" w:hAnsi="Arial" w:cs="Arial"/>
        </w:rPr>
        <w:t>5</w:t>
      </w:r>
      <w:r>
        <w:rPr>
          <w:rFonts w:ascii="Arial" w:hAnsi="Arial" w:cs="Arial"/>
        </w:rPr>
        <w:t xml:space="preserve"> obsahuje </w:t>
      </w:r>
      <w:r w:rsidR="00D53A90">
        <w:rPr>
          <w:rFonts w:ascii="Arial" w:hAnsi="Arial" w:cs="Arial"/>
        </w:rPr>
        <w:t xml:space="preserve">dva dokumenty a to </w:t>
      </w:r>
      <w:r w:rsidR="00B158B8">
        <w:rPr>
          <w:rFonts w:ascii="Arial" w:hAnsi="Arial" w:cs="Arial"/>
        </w:rPr>
        <w:t>Z</w:t>
      </w:r>
      <w:r>
        <w:rPr>
          <w:rFonts w:ascii="Arial" w:hAnsi="Arial" w:cs="Arial"/>
        </w:rPr>
        <w:t>právu o implementaci finančních nástrojů</w:t>
      </w:r>
      <w:r w:rsidR="00D53A90">
        <w:rPr>
          <w:rFonts w:ascii="Arial" w:hAnsi="Arial" w:cs="Arial"/>
        </w:rPr>
        <w:t xml:space="preserve"> a tabulku obsah</w:t>
      </w:r>
      <w:r w:rsidR="006B1BFD">
        <w:rPr>
          <w:rFonts w:ascii="Arial" w:hAnsi="Arial" w:cs="Arial"/>
        </w:rPr>
        <w:t>u</w:t>
      </w:r>
      <w:r w:rsidR="00D53A90">
        <w:rPr>
          <w:rFonts w:ascii="Arial" w:hAnsi="Arial" w:cs="Arial"/>
        </w:rPr>
        <w:t>jící příspěvek finančních nástrojů k dosažení indikátorů, která se do vygenerovaného dokumentu nenačetla</w:t>
      </w:r>
      <w:r>
        <w:rPr>
          <w:rFonts w:ascii="Arial" w:hAnsi="Arial" w:cs="Arial"/>
        </w:rPr>
        <w:t xml:space="preserve">. Tato zpráva je v SFC2014+ součástí kapitoly 8. Nicméně v MS2014+ probíhá generování tohoto dokumentu odděleně. </w:t>
      </w:r>
    </w:p>
    <w:p w14:paraId="1595EA85" w14:textId="77777777" w:rsidR="004560E8" w:rsidRPr="001D72BB" w:rsidRDefault="004560E8" w:rsidP="004560E8">
      <w:pPr>
        <w:spacing w:after="120" w:line="276" w:lineRule="auto"/>
        <w:rPr>
          <w:rFonts w:ascii="Arial" w:hAnsi="Arial" w:cs="Arial"/>
          <w:u w:val="single"/>
        </w:rPr>
      </w:pPr>
      <w:r w:rsidRPr="001D72BB">
        <w:rPr>
          <w:rFonts w:ascii="Arial" w:hAnsi="Arial" w:cs="Arial"/>
          <w:u w:val="single"/>
        </w:rPr>
        <w:t>Seznam příloh</w:t>
      </w:r>
    </w:p>
    <w:p w14:paraId="33529B83" w14:textId="77777777" w:rsidR="004560E8" w:rsidRPr="004560E8" w:rsidRDefault="004560E8" w:rsidP="004560E8">
      <w:pPr>
        <w:spacing w:after="120" w:line="276" w:lineRule="auto"/>
        <w:rPr>
          <w:rFonts w:ascii="Arial" w:hAnsi="Arial" w:cs="Arial"/>
        </w:rPr>
      </w:pPr>
      <w:r w:rsidRPr="004560E8">
        <w:rPr>
          <w:rFonts w:ascii="Arial" w:hAnsi="Arial" w:cs="Arial"/>
        </w:rPr>
        <w:t xml:space="preserve">Příloha č. 1 – Doplňující informace ke kapitole 3.1 Přehled implementace </w:t>
      </w:r>
    </w:p>
    <w:p w14:paraId="7549BAD3" w14:textId="387399F2" w:rsidR="000D66FF" w:rsidRDefault="004560E8" w:rsidP="000D66FF">
      <w:pPr>
        <w:spacing w:after="120" w:line="276" w:lineRule="auto"/>
        <w:rPr>
          <w:rFonts w:ascii="Arial" w:hAnsi="Arial" w:cs="Arial"/>
        </w:rPr>
      </w:pPr>
      <w:r w:rsidRPr="004560E8">
        <w:rPr>
          <w:rFonts w:ascii="Arial" w:hAnsi="Arial" w:cs="Arial"/>
        </w:rPr>
        <w:t>Příloha</w:t>
      </w:r>
      <w:r w:rsidR="008B7797">
        <w:rPr>
          <w:rFonts w:ascii="Arial" w:hAnsi="Arial" w:cs="Arial"/>
        </w:rPr>
        <w:t xml:space="preserve"> č. 2</w:t>
      </w:r>
      <w:r w:rsidRPr="004560E8">
        <w:rPr>
          <w:rFonts w:ascii="Arial" w:hAnsi="Arial" w:cs="Arial"/>
        </w:rPr>
        <w:t xml:space="preserve"> – Doplňující informace k</w:t>
      </w:r>
      <w:r w:rsidR="000D66FF">
        <w:rPr>
          <w:rFonts w:ascii="Arial" w:hAnsi="Arial" w:cs="Arial"/>
        </w:rPr>
        <w:t>e kapitole 3.2</w:t>
      </w:r>
      <w:r w:rsidRPr="004560E8">
        <w:rPr>
          <w:rFonts w:ascii="Arial" w:hAnsi="Arial" w:cs="Arial"/>
        </w:rPr>
        <w:t xml:space="preserve"> </w:t>
      </w:r>
      <w:r w:rsidR="000D66FF" w:rsidRPr="000D66FF">
        <w:rPr>
          <w:rFonts w:ascii="Arial" w:hAnsi="Arial" w:cs="Arial"/>
        </w:rPr>
        <w:t xml:space="preserve">Společné indikátory a indikátory specifické pro jednotlivé programy </w:t>
      </w:r>
    </w:p>
    <w:p w14:paraId="5125D51E" w14:textId="6B165886" w:rsidR="004560E8" w:rsidRDefault="008B7797" w:rsidP="004560E8">
      <w:pPr>
        <w:spacing w:after="120" w:line="276" w:lineRule="auto"/>
        <w:rPr>
          <w:rFonts w:ascii="Arial" w:hAnsi="Arial" w:cs="Arial"/>
        </w:rPr>
      </w:pPr>
      <w:r>
        <w:rPr>
          <w:rFonts w:ascii="Arial" w:hAnsi="Arial" w:cs="Arial"/>
        </w:rPr>
        <w:t>Příloha č. 3</w:t>
      </w:r>
      <w:r w:rsidR="004560E8" w:rsidRPr="004560E8">
        <w:rPr>
          <w:rFonts w:ascii="Arial" w:hAnsi="Arial" w:cs="Arial"/>
        </w:rPr>
        <w:t xml:space="preserve"> </w:t>
      </w:r>
      <w:r w:rsidR="00101CBF" w:rsidRPr="004560E8">
        <w:rPr>
          <w:rFonts w:ascii="Arial" w:hAnsi="Arial" w:cs="Arial"/>
        </w:rPr>
        <w:t>–</w:t>
      </w:r>
      <w:r w:rsidR="004560E8" w:rsidRPr="004560E8">
        <w:rPr>
          <w:rFonts w:ascii="Arial" w:hAnsi="Arial" w:cs="Arial"/>
        </w:rPr>
        <w:t xml:space="preserve"> Doplňující informace ke kapitole 3.4 Finanční údaje</w:t>
      </w:r>
    </w:p>
    <w:p w14:paraId="599037BD" w14:textId="2F2759A8" w:rsidR="008B7797" w:rsidRDefault="008B7797" w:rsidP="004560E8">
      <w:pPr>
        <w:spacing w:after="120" w:line="276" w:lineRule="auto"/>
        <w:rPr>
          <w:rFonts w:ascii="Arial" w:hAnsi="Arial" w:cs="Arial"/>
        </w:rPr>
      </w:pPr>
      <w:r>
        <w:rPr>
          <w:rFonts w:ascii="Arial" w:hAnsi="Arial" w:cs="Arial"/>
        </w:rPr>
        <w:t>Příloha č. 4</w:t>
      </w:r>
      <w:r w:rsidRPr="004560E8">
        <w:rPr>
          <w:rFonts w:ascii="Arial" w:hAnsi="Arial" w:cs="Arial"/>
        </w:rPr>
        <w:t xml:space="preserve"> – Doplňující informace ke kapitole 4 </w:t>
      </w:r>
      <w:r>
        <w:rPr>
          <w:rFonts w:ascii="Arial" w:hAnsi="Arial" w:cs="Arial"/>
        </w:rPr>
        <w:t xml:space="preserve">Shrnutí evaluací </w:t>
      </w:r>
    </w:p>
    <w:p w14:paraId="1A94BCC5" w14:textId="667B745F" w:rsidR="004560E8" w:rsidRDefault="00101CBF" w:rsidP="004560E8">
      <w:pPr>
        <w:spacing w:after="120" w:line="276" w:lineRule="auto"/>
        <w:rPr>
          <w:rFonts w:ascii="Arial" w:hAnsi="Arial" w:cs="Arial"/>
        </w:rPr>
      </w:pPr>
      <w:r w:rsidRPr="001D72BB">
        <w:rPr>
          <w:rFonts w:ascii="Arial" w:hAnsi="Arial" w:cs="Arial"/>
        </w:rPr>
        <w:t xml:space="preserve">Příloha č. 5 – </w:t>
      </w:r>
      <w:r w:rsidR="00D53A90" w:rsidRPr="001D72BB">
        <w:rPr>
          <w:rFonts w:ascii="Arial" w:hAnsi="Arial" w:cs="Arial"/>
        </w:rPr>
        <w:t>Doplňující informace ke kapitole 8 Zpráva o implementaci finančních nástrojů</w:t>
      </w:r>
    </w:p>
    <w:p w14:paraId="7CEE0B8A" w14:textId="77777777" w:rsidR="00D53A90" w:rsidRPr="004560E8" w:rsidRDefault="00D53A90" w:rsidP="004560E8">
      <w:pPr>
        <w:spacing w:after="120" w:line="276" w:lineRule="auto"/>
        <w:rPr>
          <w:rFonts w:ascii="Arial" w:hAnsi="Arial" w:cs="Arial"/>
        </w:rPr>
      </w:pPr>
    </w:p>
    <w:p w14:paraId="0B2D4B93" w14:textId="0C7BC0D4" w:rsidR="000B77CA" w:rsidRPr="006004C9" w:rsidRDefault="000B77CA" w:rsidP="004560E8">
      <w:pPr>
        <w:spacing w:after="120" w:line="276" w:lineRule="auto"/>
        <w:rPr>
          <w:rFonts w:ascii="Arial" w:hAnsi="Arial" w:cs="Arial"/>
          <w:highlight w:val="lightGray"/>
        </w:rPr>
      </w:pPr>
    </w:p>
    <w:p w14:paraId="0093B525" w14:textId="77777777" w:rsidR="00A2351A" w:rsidRDefault="00A2351A"/>
    <w:p w14:paraId="4FEC6DDC" w14:textId="7FE7BDB3" w:rsidR="000B77CA" w:rsidRDefault="000B77CA"/>
    <w:p w14:paraId="480AE603" w14:textId="3F833CF0" w:rsidR="008C046D" w:rsidRDefault="008C046D"/>
    <w:p w14:paraId="3D98ED69" w14:textId="77777777" w:rsidR="00A2351A" w:rsidRDefault="002D5C25" w:rsidP="00496C84">
      <w:pPr>
        <w:pStyle w:val="Nadpis1"/>
      </w:pPr>
      <w:bookmarkStart w:id="6" w:name="_Toc39495062"/>
      <w:r w:rsidRPr="00496C84">
        <w:lastRenderedPageBreak/>
        <w:t>IDENTIFIKACE</w:t>
      </w:r>
      <w:r>
        <w:t xml:space="preserve"> VÝROČNÍ/ZÁVĚREČNÉ ZPRÁVY O IMPLEMENTACI</w:t>
      </w:r>
      <w:bookmarkEnd w:id="6"/>
    </w:p>
    <w:tbl>
      <w:tblPr>
        <w:tblW w:w="0" w:type="auto"/>
        <w:tblInd w:w="3" w:type="dxa"/>
        <w:tblLayout w:type="fixed"/>
        <w:tblCellMar>
          <w:left w:w="0" w:type="dxa"/>
          <w:right w:w="0" w:type="dxa"/>
        </w:tblCellMar>
        <w:tblLook w:val="04A0" w:firstRow="1" w:lastRow="0" w:firstColumn="1" w:lastColumn="0" w:noHBand="0" w:noVBand="1"/>
      </w:tblPr>
      <w:tblGrid>
        <w:gridCol w:w="2943"/>
        <w:gridCol w:w="6096"/>
      </w:tblGrid>
      <w:tr w:rsidR="00A2351A" w14:paraId="57E13D52" w14:textId="77777777" w:rsidTr="00313C14">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D8ABFD" w14:textId="77777777" w:rsidR="00A2351A" w:rsidRDefault="002D5C25">
            <w:pPr>
              <w:keepLines/>
              <w:spacing w:before="120"/>
              <w:ind w:left="108" w:right="108"/>
              <w:rPr>
                <w:rFonts w:ascii="Arial" w:eastAsia="Arial" w:hAnsi="Arial" w:cs="Arial"/>
                <w:color w:val="000000"/>
              </w:rPr>
            </w:pPr>
            <w:r>
              <w:rPr>
                <w:rFonts w:ascii="Arial" w:eastAsia="Arial" w:hAnsi="Arial" w:cs="Arial"/>
                <w:color w:val="000000"/>
              </w:rPr>
              <w:t>CCI</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ADBDB" w14:textId="77777777" w:rsidR="00A2351A" w:rsidRPr="00313C14" w:rsidRDefault="002D5C25" w:rsidP="00313C14">
            <w:pPr>
              <w:keepLines/>
              <w:spacing w:before="120"/>
              <w:ind w:left="108" w:right="108"/>
              <w:rPr>
                <w:rFonts w:ascii="Arial" w:eastAsia="Arial" w:hAnsi="Arial" w:cs="Arial"/>
                <w:color w:val="000000"/>
              </w:rPr>
            </w:pPr>
            <w:r w:rsidRPr="00313C14">
              <w:rPr>
                <w:rFonts w:ascii="Arial" w:eastAsia="Arial" w:hAnsi="Arial" w:cs="Arial"/>
                <w:color w:val="000000"/>
              </w:rPr>
              <w:t>2014CZ05M9OP001</w:t>
            </w:r>
          </w:p>
        </w:tc>
      </w:tr>
      <w:tr w:rsidR="00A2351A" w14:paraId="6DE5477F" w14:textId="77777777" w:rsidTr="00313C14">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FA47AE" w14:textId="77777777" w:rsidR="00A2351A" w:rsidRDefault="002D5C25">
            <w:pPr>
              <w:keepLines/>
              <w:spacing w:before="120"/>
              <w:ind w:left="108" w:right="108"/>
              <w:rPr>
                <w:rFonts w:ascii="Arial" w:eastAsia="Arial" w:hAnsi="Arial" w:cs="Arial"/>
                <w:color w:val="000000"/>
              </w:rPr>
            </w:pPr>
            <w:r>
              <w:rPr>
                <w:rFonts w:ascii="Arial" w:eastAsia="Arial" w:hAnsi="Arial" w:cs="Arial"/>
                <w:color w:val="000000"/>
              </w:rPr>
              <w:t>Název</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CD6B1" w14:textId="6FE29287" w:rsidR="00A2351A" w:rsidRPr="00313C14" w:rsidRDefault="002D5C25" w:rsidP="00313C14">
            <w:pPr>
              <w:keepLines/>
              <w:spacing w:before="120"/>
              <w:ind w:left="108" w:right="108"/>
              <w:rPr>
                <w:rFonts w:ascii="Arial" w:eastAsia="Arial" w:hAnsi="Arial" w:cs="Arial"/>
                <w:color w:val="000000"/>
              </w:rPr>
            </w:pPr>
            <w:r w:rsidRPr="00313C14">
              <w:rPr>
                <w:rFonts w:ascii="Arial" w:eastAsia="Arial" w:hAnsi="Arial" w:cs="Arial"/>
                <w:color w:val="000000"/>
              </w:rPr>
              <w:t xml:space="preserve">Výroční zpráva o implementaci programu 03 Operační </w:t>
            </w:r>
            <w:r w:rsidR="00D2226E" w:rsidRPr="00313C14">
              <w:rPr>
                <w:rFonts w:ascii="Arial" w:eastAsia="Arial" w:hAnsi="Arial" w:cs="Arial"/>
                <w:color w:val="000000"/>
              </w:rPr>
              <w:t>program Zaměstnanost za rok 2019</w:t>
            </w:r>
          </w:p>
        </w:tc>
      </w:tr>
      <w:tr w:rsidR="00A2351A" w14:paraId="0DB52BFF" w14:textId="77777777">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4D571" w14:textId="77777777" w:rsidR="00A2351A" w:rsidRDefault="002D5C25">
            <w:pPr>
              <w:keepLines/>
              <w:spacing w:before="120"/>
              <w:ind w:left="108" w:right="108"/>
              <w:rPr>
                <w:rFonts w:ascii="Arial" w:eastAsia="Arial" w:hAnsi="Arial" w:cs="Arial"/>
                <w:color w:val="000000"/>
              </w:rPr>
            </w:pPr>
            <w:r>
              <w:rPr>
                <w:rFonts w:ascii="Arial" w:eastAsia="Arial" w:hAnsi="Arial" w:cs="Arial"/>
                <w:color w:val="000000"/>
              </w:rPr>
              <w:t>Verze</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ACFEBB" w14:textId="01A0A779" w:rsidR="00A2351A" w:rsidRPr="00EA54EC" w:rsidRDefault="00313C14">
            <w:pPr>
              <w:keepLines/>
              <w:ind w:left="108" w:right="108"/>
              <w:rPr>
                <w:rFonts w:ascii="Arial" w:hAnsi="Arial" w:cs="Arial"/>
              </w:rPr>
            </w:pPr>
            <w:r>
              <w:rPr>
                <w:rFonts w:ascii="Arial" w:hAnsi="Arial" w:cs="Arial"/>
              </w:rPr>
              <w:t>Draft 2</w:t>
            </w:r>
          </w:p>
        </w:tc>
      </w:tr>
      <w:tr w:rsidR="00A2351A" w14:paraId="1C29A94D" w14:textId="77777777">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6583DD" w14:textId="77777777" w:rsidR="00A2351A" w:rsidRDefault="002D5C25">
            <w:pPr>
              <w:keepLines/>
              <w:spacing w:before="120"/>
              <w:ind w:left="108" w:right="108"/>
              <w:rPr>
                <w:rFonts w:ascii="Arial" w:eastAsia="Arial" w:hAnsi="Arial" w:cs="Arial"/>
                <w:color w:val="000000"/>
              </w:rPr>
            </w:pPr>
            <w:r>
              <w:rPr>
                <w:rFonts w:ascii="Arial" w:eastAsia="Arial" w:hAnsi="Arial" w:cs="Arial"/>
                <w:color w:val="000000"/>
              </w:rPr>
              <w:t>Vykazovaný rok</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0B843" w14:textId="33DA794B" w:rsidR="00A2351A" w:rsidRDefault="00D2226E">
            <w:pPr>
              <w:keepLines/>
              <w:spacing w:before="120"/>
              <w:ind w:left="108" w:right="108"/>
              <w:rPr>
                <w:rFonts w:ascii="Arial" w:eastAsia="Arial" w:hAnsi="Arial" w:cs="Arial"/>
                <w:color w:val="000000"/>
                <w:sz w:val="20"/>
              </w:rPr>
            </w:pPr>
            <w:r>
              <w:rPr>
                <w:rFonts w:ascii="Arial" w:eastAsia="Arial" w:hAnsi="Arial" w:cs="Arial"/>
                <w:color w:val="000000"/>
                <w:sz w:val="20"/>
              </w:rPr>
              <w:t>2019</w:t>
            </w:r>
          </w:p>
        </w:tc>
      </w:tr>
      <w:tr w:rsidR="00A2351A" w14:paraId="00CCE568" w14:textId="77777777">
        <w:trPr>
          <w:cantSplit/>
        </w:trPr>
        <w:tc>
          <w:tcPr>
            <w:tcW w:w="29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50A2FA" w14:textId="77777777" w:rsidR="00A2351A" w:rsidRDefault="002D5C25">
            <w:pPr>
              <w:keepLines/>
              <w:spacing w:before="120"/>
              <w:ind w:left="108" w:right="108"/>
              <w:rPr>
                <w:rFonts w:ascii="Arial" w:eastAsia="Arial" w:hAnsi="Arial" w:cs="Arial"/>
                <w:color w:val="000000"/>
              </w:rPr>
            </w:pPr>
            <w:r>
              <w:rPr>
                <w:rFonts w:ascii="Arial" w:eastAsia="Arial" w:hAnsi="Arial" w:cs="Arial"/>
                <w:color w:val="000000"/>
              </w:rPr>
              <w:t>Datum schválení zprávy monitorovacím výborem</w:t>
            </w:r>
          </w:p>
        </w:tc>
        <w:tc>
          <w:tcPr>
            <w:tcW w:w="60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9068C" w14:textId="1EBE1B38" w:rsidR="00A2351A" w:rsidRDefault="00E037BC">
            <w:pPr>
              <w:keepLines/>
              <w:spacing w:before="120"/>
              <w:ind w:left="108" w:right="108"/>
              <w:rPr>
                <w:rFonts w:ascii="Arial" w:eastAsia="Arial" w:hAnsi="Arial" w:cs="Arial"/>
                <w:color w:val="000000"/>
                <w:sz w:val="20"/>
              </w:rPr>
            </w:pPr>
            <w:r>
              <w:rPr>
                <w:rFonts w:ascii="Arial" w:eastAsia="Arial" w:hAnsi="Arial" w:cs="Arial"/>
                <w:color w:val="000000"/>
                <w:sz w:val="20"/>
              </w:rPr>
              <w:t xml:space="preserve">15. 5. 2020 </w:t>
            </w:r>
          </w:p>
        </w:tc>
      </w:tr>
    </w:tbl>
    <w:p w14:paraId="4F897144" w14:textId="77777777" w:rsidR="00A2351A" w:rsidRDefault="002D5C25" w:rsidP="00496C84">
      <w:pPr>
        <w:pStyle w:val="Nadpis1"/>
      </w:pPr>
      <w:bookmarkStart w:id="7" w:name="_Toc39495063"/>
      <w:r>
        <w:t>PŘEHLED IMPLEMENTACE OPERAČNÍHO PROGRAMU (čl. 50 odst. 2 a čl. 111 odst. 3 písm. a) nařízení (EU) č. 1303/2013)</w:t>
      </w:r>
      <w:bookmarkEnd w:id="7"/>
    </w:p>
    <w:p w14:paraId="28650A3A" w14:textId="3BA607BD" w:rsidR="00EA54EC" w:rsidRDefault="00EA54EC" w:rsidP="005E7F40">
      <w:pPr>
        <w:spacing w:after="120" w:line="276" w:lineRule="auto"/>
        <w:ind w:right="105"/>
        <w:jc w:val="both"/>
        <w:rPr>
          <w:rFonts w:ascii="Arial" w:eastAsia="Arial" w:hAnsi="Arial" w:cs="Arial"/>
          <w:color w:val="000000"/>
          <w:lang w:val="cs-CZ"/>
        </w:rPr>
      </w:pPr>
    </w:p>
    <w:p w14:paraId="4AE3E122" w14:textId="77777777" w:rsidR="005E7F40" w:rsidRPr="005E7F40" w:rsidRDefault="005E7F40" w:rsidP="00330287">
      <w:pPr>
        <w:spacing w:after="120" w:line="276" w:lineRule="auto"/>
        <w:ind w:right="105"/>
        <w:jc w:val="both"/>
        <w:rPr>
          <w:rFonts w:ascii="Arial" w:eastAsia="Arial" w:hAnsi="Arial" w:cs="Arial"/>
          <w:color w:val="000000"/>
          <w:lang w:val="cs-CZ"/>
        </w:rPr>
      </w:pPr>
      <w:r w:rsidRPr="005E7F40">
        <w:rPr>
          <w:rFonts w:ascii="Arial" w:eastAsia="Arial" w:hAnsi="Arial" w:cs="Arial"/>
          <w:color w:val="000000"/>
          <w:lang w:val="cs-CZ"/>
        </w:rPr>
        <w:t>V Operačním programu Zaměstnanost (OPZ) bylo k 31. 12. 2019 vyhlášeno celkem 120 výzev v celkovém objemu 3 086 mil. EUR, tj. 118 % celkové alokace programu (v MS2014+ bylo evidováno 121 vyhlášených výzev, výzva č. 41 je z technických důvodů vedena pod dvěma záznamy jako 03_15_041 a 03_99_041 a zde je započtena pouze 1x jako 03_99_041). Ve vyhlášených výzvách bylo zaregistrováno celkem 16 072 žádostí o podporu (údaj bez započtení výzvy 03_15_041) a vydáno celkem 7 718 právních aktů o poskytnutí podpory (7 463 bez negativních stavů).</w:t>
      </w:r>
    </w:p>
    <w:p w14:paraId="2340B2B7" w14:textId="636F116E" w:rsidR="005E7F40" w:rsidRPr="005E7F40" w:rsidRDefault="005E7F40" w:rsidP="00330287">
      <w:pPr>
        <w:spacing w:after="120" w:line="276" w:lineRule="auto"/>
        <w:ind w:right="105"/>
        <w:jc w:val="both"/>
        <w:rPr>
          <w:rFonts w:ascii="Arial" w:eastAsia="Arial" w:hAnsi="Arial" w:cs="Arial"/>
          <w:color w:val="000000"/>
          <w:lang w:val="cs-CZ"/>
        </w:rPr>
      </w:pPr>
      <w:r w:rsidRPr="005E7F40">
        <w:rPr>
          <w:rFonts w:ascii="Arial" w:eastAsia="Arial" w:hAnsi="Arial" w:cs="Arial"/>
          <w:color w:val="000000"/>
          <w:lang w:val="cs-CZ"/>
        </w:rPr>
        <w:t>Objem projektů s vydaným právním aktem dosáhl výše 2 682 mil. EUR a pokryly již 103 % celkové alokace. Finanční prostředky vyúčtované v žádostech o platbu dosáhly výše 1 260 mil. EUR (celkové výdaje), resp. 48 % alokace, z toho prostředky zahrnuté v souhrnných žádostech autorizovaných řídicím orgánem představují přes 47 % alokace OPZ. V roce 2019 proběhlo sedm certifikací výdajů a výdaje certifikované P</w:t>
      </w:r>
      <w:r w:rsidR="003211FB">
        <w:rPr>
          <w:rFonts w:ascii="Arial" w:eastAsia="Arial" w:hAnsi="Arial" w:cs="Arial"/>
          <w:color w:val="000000"/>
          <w:lang w:val="cs-CZ"/>
        </w:rPr>
        <w:t>latebním a certifikačním orgánem (P</w:t>
      </w:r>
      <w:r w:rsidRPr="005E7F40">
        <w:rPr>
          <w:rFonts w:ascii="Arial" w:eastAsia="Arial" w:hAnsi="Arial" w:cs="Arial"/>
          <w:color w:val="000000"/>
          <w:lang w:val="cs-CZ"/>
        </w:rPr>
        <w:t>CO</w:t>
      </w:r>
      <w:r w:rsidR="003211FB">
        <w:rPr>
          <w:rFonts w:ascii="Arial" w:eastAsia="Arial" w:hAnsi="Arial" w:cs="Arial"/>
          <w:color w:val="000000"/>
          <w:lang w:val="cs-CZ"/>
        </w:rPr>
        <w:t>)</w:t>
      </w:r>
      <w:r w:rsidRPr="005E7F40">
        <w:rPr>
          <w:rFonts w:ascii="Arial" w:eastAsia="Arial" w:hAnsi="Arial" w:cs="Arial"/>
          <w:color w:val="000000"/>
          <w:lang w:val="cs-CZ"/>
        </w:rPr>
        <w:t xml:space="preserve"> a následně vyžádané na </w:t>
      </w:r>
      <w:r w:rsidR="003211FB">
        <w:rPr>
          <w:rFonts w:ascii="Arial" w:eastAsia="Arial" w:hAnsi="Arial" w:cs="Arial"/>
          <w:color w:val="000000"/>
          <w:lang w:val="cs-CZ"/>
        </w:rPr>
        <w:t>Evropské komisi (</w:t>
      </w:r>
      <w:r w:rsidRPr="005E7F40">
        <w:rPr>
          <w:rFonts w:ascii="Arial" w:eastAsia="Arial" w:hAnsi="Arial" w:cs="Arial"/>
          <w:color w:val="000000"/>
          <w:lang w:val="cs-CZ"/>
        </w:rPr>
        <w:t>EK</w:t>
      </w:r>
      <w:r w:rsidR="003211FB">
        <w:rPr>
          <w:rFonts w:ascii="Arial" w:eastAsia="Arial" w:hAnsi="Arial" w:cs="Arial"/>
          <w:color w:val="000000"/>
          <w:lang w:val="cs-CZ"/>
        </w:rPr>
        <w:t>)</w:t>
      </w:r>
      <w:r w:rsidRPr="005E7F40">
        <w:rPr>
          <w:rFonts w:ascii="Arial" w:eastAsia="Arial" w:hAnsi="Arial" w:cs="Arial"/>
          <w:color w:val="000000"/>
          <w:lang w:val="cs-CZ"/>
        </w:rPr>
        <w:t xml:space="preserve"> přesáhly 976 mil. EUR (EU podíl), tj. téměř 46 % celkové alokace OPZ.</w:t>
      </w:r>
    </w:p>
    <w:p w14:paraId="0414D666" w14:textId="77777777" w:rsidR="005E7F40" w:rsidRPr="005E7F40" w:rsidRDefault="005E7F40" w:rsidP="00330287">
      <w:pPr>
        <w:spacing w:after="120" w:line="276" w:lineRule="auto"/>
        <w:ind w:right="105"/>
        <w:jc w:val="both"/>
        <w:rPr>
          <w:rFonts w:ascii="Arial" w:eastAsia="Arial" w:hAnsi="Arial" w:cs="Arial"/>
          <w:color w:val="000000"/>
          <w:lang w:val="cs-CZ"/>
        </w:rPr>
      </w:pPr>
      <w:r w:rsidRPr="005E7F40">
        <w:rPr>
          <w:rFonts w:ascii="Arial" w:eastAsia="Arial" w:hAnsi="Arial" w:cs="Arial"/>
          <w:color w:val="000000"/>
          <w:lang w:val="cs-CZ"/>
        </w:rPr>
        <w:t>Závazky indikátoru Celkový počet účastníků (60000) převyšují hodnoty potřebné k dosažení cílů pro rok 2023 dle výkonnostního rámce. Konkrétně byla tato hodnota překročena ve více rozvinutých regionech prioritní osy 1 (PO1), ve fondu YEI a v obou regionech prioritní osy 3 (PO3). Přehled dosažených hodnot indikátorů výkonnostního obsahuje tabulka č. 5. Další informace ohledně indikátorů jsou uvedeny v příloze č. 5.</w:t>
      </w:r>
    </w:p>
    <w:p w14:paraId="2E71B836" w14:textId="77777777" w:rsidR="005E7F40" w:rsidRPr="005E7F40" w:rsidRDefault="005E7F40" w:rsidP="00330287">
      <w:pPr>
        <w:spacing w:after="120" w:line="276" w:lineRule="auto"/>
        <w:ind w:right="105"/>
        <w:jc w:val="both"/>
        <w:rPr>
          <w:rFonts w:ascii="Arial" w:eastAsia="Arial" w:hAnsi="Arial" w:cs="Arial"/>
          <w:color w:val="000000"/>
          <w:lang w:val="cs-CZ"/>
        </w:rPr>
      </w:pPr>
      <w:r w:rsidRPr="005E7F40">
        <w:rPr>
          <w:rFonts w:ascii="Arial" w:eastAsia="Arial" w:hAnsi="Arial" w:cs="Arial"/>
          <w:color w:val="000000"/>
          <w:lang w:val="cs-CZ"/>
        </w:rPr>
        <w:t xml:space="preserve">Metodika provádění programu byla v roce 2019 několikrát aktualizována, avšak věcné nastavení zůstalo zachováno. Revize metodiky s účinností od 1. 1. 2019 souvisela zejména s přípravou na zahájení využívání finančních nástrojů v implementaci OPZ. Dále byla upravena pravidla pro hodnocení projektů financovaných s využitím 40% paušální sazby a projektů s jednotkovými náklady zaměřených na další profesní vzdělávání. V rámci revize účinné od 1. 4. 2019 byla metodika doplněna o pracovní postup ŘO pro finanční nástroj. Aktualizace účinná od 17. 6. 2019 zapracovávala zejména opatření v reakci na doporučení plynoucí z auditu EK. Revizi metodiky účinnou od 15. 10. 2019 bylo nezbytné provést zejména v návaznosti na úpravu pravidel pro výběr dodavatele na národní úrovni. Aktualizace účinná od 1. 11. 2019 souvisela s úpravou procesu certifikace na národní úrovni.   </w:t>
      </w:r>
    </w:p>
    <w:p w14:paraId="5BB4A916" w14:textId="77777777" w:rsidR="005E7F40" w:rsidRPr="005E7F40" w:rsidRDefault="005E7F40" w:rsidP="00330287">
      <w:pPr>
        <w:spacing w:after="120" w:line="276" w:lineRule="auto"/>
        <w:ind w:right="105"/>
        <w:jc w:val="both"/>
        <w:rPr>
          <w:rFonts w:ascii="Arial" w:eastAsia="Arial" w:hAnsi="Arial" w:cs="Arial"/>
          <w:color w:val="000000"/>
          <w:lang w:val="cs-CZ"/>
        </w:rPr>
      </w:pPr>
      <w:r w:rsidRPr="005E7F40">
        <w:rPr>
          <w:rFonts w:ascii="Arial" w:eastAsia="Arial" w:hAnsi="Arial" w:cs="Arial"/>
          <w:color w:val="000000"/>
          <w:lang w:val="cs-CZ"/>
        </w:rPr>
        <w:t>Proběhly finální práce na zavedení finančního nástroje pro oblast sociálního podnikání. Dohoda o vytvoření a správě úvěrového fondu SP 2019 byla uzavřena s Českomoravskou rozvojovou a záruční bankou a. s. dne 30. 7. 2019. Následovalo vyhlášení výzvy „Zvýhodněné úvěry pro sociální podniky S-podnik“, a to k 30. 9. 2019. Alokace výzvy činí 15,6 mil. EUR, výzva je plánovaná do 30. 6. 2023. Finančním nástrojem je investiční bezúročný úvěr s těmito základními parametry: výše úvěru 25 416 až 977 tis. EUR, odklad splácení až 3 roky, splatnost 10/12 let, bez poplatků, možnost předčasného splacení. Součástí úvěru bude bezplatné poradenství, které bude zavedené v roce 2020. Ve finančních nástrojích bude využito křížové financování. Další informace jsou uvedeny v příloze č. 5, která obsahje Zprávu o implementaci finančních nástrojů generovanou z MS2014+.</w:t>
      </w:r>
    </w:p>
    <w:p w14:paraId="3CC7970C" w14:textId="47C8F56A" w:rsidR="005E7F40" w:rsidRDefault="005E7F40" w:rsidP="00330287">
      <w:pPr>
        <w:spacing w:after="120" w:line="276" w:lineRule="auto"/>
        <w:ind w:right="105"/>
        <w:jc w:val="both"/>
        <w:rPr>
          <w:rFonts w:ascii="Arial" w:eastAsia="Arial" w:hAnsi="Arial" w:cs="Arial"/>
          <w:color w:val="000000"/>
          <w:lang w:val="cs-CZ"/>
        </w:rPr>
      </w:pPr>
      <w:r w:rsidRPr="005E7F40">
        <w:rPr>
          <w:rFonts w:ascii="Arial" w:eastAsia="Arial" w:hAnsi="Arial" w:cs="Arial"/>
          <w:color w:val="000000"/>
          <w:lang w:val="cs-CZ"/>
        </w:rPr>
        <w:lastRenderedPageBreak/>
        <w:t>V dubnu 2019 bylo zpracováno vyhodnocení dotazníkového šetření mezi žadateli o podporu projektů v rámci Integrovaných územních investic (ITI) a Integrovaných plánů rozvoje území (IPRÚ) v programovém rámci OPZ. Zpráva reflektuje praktické zkušenosti žadatelů/respondentů s využitím podpory skrze nástroje ITI/IPRÚ v rámci OPZ a většinově pozitivní postoj k dílčím aspektům těchto nástrojů identifikovaným v předvýzkumu jako jejich možná přidaná hodnota vůči běžným soutěžním výzvám OPZ (důkladnější komunikace projektových záměrů, lepší zacílení projektů). Mezi překážkami lepšího využití těchto nástrojů žadatelé zmiňují složitost administrativních úkonů spojených s realizací projektu v rámci výzev ITI/IPRÚ. Podrobnější informace o výsledcích dotazníkové</w:t>
      </w:r>
      <w:r w:rsidR="00867D12">
        <w:rPr>
          <w:rFonts w:ascii="Arial" w:eastAsia="Arial" w:hAnsi="Arial" w:cs="Arial"/>
          <w:color w:val="000000"/>
          <w:lang w:val="cs-CZ"/>
        </w:rPr>
        <w:t>ho šetření obsahuje příloha č. 4</w:t>
      </w:r>
      <w:r w:rsidRPr="005E7F40">
        <w:rPr>
          <w:rFonts w:ascii="Arial" w:eastAsia="Arial" w:hAnsi="Arial" w:cs="Arial"/>
          <w:color w:val="000000"/>
          <w:lang w:val="cs-CZ"/>
        </w:rPr>
        <w:t>.</w:t>
      </w:r>
    </w:p>
    <w:p w14:paraId="037BCC7D" w14:textId="6D030323" w:rsidR="00250F9F" w:rsidRPr="005E7F40" w:rsidRDefault="00F14450" w:rsidP="00330287">
      <w:pPr>
        <w:spacing w:after="120" w:line="276" w:lineRule="auto"/>
        <w:ind w:right="105"/>
        <w:jc w:val="both"/>
        <w:rPr>
          <w:rFonts w:ascii="Arial" w:eastAsia="Arial" w:hAnsi="Arial" w:cs="Arial"/>
          <w:color w:val="000000"/>
          <w:lang w:val="cs-CZ"/>
        </w:rPr>
      </w:pPr>
      <w:r>
        <w:rPr>
          <w:rFonts w:ascii="Arial" w:eastAsia="Arial" w:hAnsi="Arial" w:cs="Arial"/>
          <w:color w:val="000000"/>
          <w:lang w:val="cs-CZ"/>
        </w:rPr>
        <w:t>V IP</w:t>
      </w:r>
      <w:r w:rsidRPr="00F14450">
        <w:rPr>
          <w:rFonts w:ascii="Arial" w:eastAsia="Arial" w:hAnsi="Arial" w:cs="Arial"/>
          <w:color w:val="000000"/>
          <w:lang w:val="cs-CZ"/>
        </w:rPr>
        <w:t>1.4 v rámci výzvy č. 11 „Rozvoj služeb zaměstnanosti v rámci Úřadu práce ČR“ v roce 2019 pokračovala realizace projektu „Evropské služby zaměstnanosti ČR II“, zaměřeného na rozšíření, modernizaci a zkvalitnění poskytování služeb EURES v České republice a na podporu mezinárodní pracovní mobility. Příjemcem projektu je Úřad práce České republiky</w:t>
      </w:r>
      <w:r>
        <w:rPr>
          <w:rFonts w:ascii="Arial" w:eastAsia="Arial" w:hAnsi="Arial" w:cs="Arial"/>
          <w:color w:val="000000"/>
          <w:lang w:val="cs-CZ"/>
        </w:rPr>
        <w:t xml:space="preserve"> (ÚP ČR)</w:t>
      </w:r>
      <w:r w:rsidRPr="00F14450">
        <w:rPr>
          <w:rFonts w:ascii="Arial" w:eastAsia="Arial" w:hAnsi="Arial" w:cs="Arial"/>
          <w:color w:val="000000"/>
          <w:lang w:val="cs-CZ"/>
        </w:rPr>
        <w:t>, projekt je realizován od 1. 2. 2016.  Ke konci roku 2019 v rámci projektu působilo na pobočkách ÚP ČR celkem 29 EURES poradců, kteří zajišťují poradenské a informační aktivity a akce pro uchazeče o zaměstnání, zaměstnavatele a partnerské instituce v oblasti mezinárodní pracovní mobility a zabezpečují interní vzdělávání zaměstnanců ÚP ČR. K datu 31. 12. 2019 tak bylo v otázkách týkajících se evropské mobility proškoleno a bagatelní podporu získalo celkem 733 zaměstnanců ÚP ČR. V průběhu roku 2019 se také podařilo dokončit implementaci nařízení Evropského parlamentu a Rady EU 2016/589 o Evropské síti služeb zaměstnanosti. Síť EURES se díky implementaci tohoto nařízení otevřela partnerům a členům</w:t>
      </w:r>
      <w:r w:rsidR="006B4A7D">
        <w:rPr>
          <w:rFonts w:ascii="Arial" w:eastAsia="Arial" w:hAnsi="Arial" w:cs="Arial"/>
          <w:color w:val="000000"/>
          <w:lang w:val="cs-CZ"/>
        </w:rPr>
        <w:t>,</w:t>
      </w:r>
      <w:r w:rsidRPr="00F14450">
        <w:rPr>
          <w:rFonts w:ascii="Arial" w:eastAsia="Arial" w:hAnsi="Arial" w:cs="Arial"/>
          <w:color w:val="000000"/>
          <w:lang w:val="cs-CZ"/>
        </w:rPr>
        <w:t xml:space="preserve"> a to i ze soukromého sektoru. Ke konci roku tak byla zahájena jednání s dalšími evropskými sítěmi, které mají zájem stát se součástí sítě EURES. Informace o službě EURES byly dále začleněny do struktury nového webového portálu MPSV a došlo k jejich přepracování do uživatelsky přívětivější podoby. Bylo předloženo 7 zpráv o realizaci a z celkové alokace projektu 9,9 mil. EUR bylo k 31. 12. 2019 vyčerpáno a v žádostech o platbu schváleno celkem 2,3 mil. EUR. V prosinci 2019 byla podána žádost o změnu projektu, na základě které bude doba realizace projektu prodloužena o 27 měsíců do 31. 12. 2022 a dojde ke snížení celkové alokace projektu o 2 mil. EUR z důvodu úpravy rozpočtu dle reálného čerpání finančních prostředků.</w:t>
      </w:r>
    </w:p>
    <w:p w14:paraId="4DEEA517" w14:textId="545A6A0C" w:rsidR="005E7F40" w:rsidRDefault="005E7F40" w:rsidP="00330287">
      <w:pPr>
        <w:spacing w:after="120" w:line="276" w:lineRule="auto"/>
        <w:ind w:right="105"/>
        <w:jc w:val="both"/>
        <w:rPr>
          <w:rFonts w:ascii="Arial" w:eastAsia="Arial" w:hAnsi="Arial" w:cs="Arial"/>
          <w:color w:val="000000"/>
          <w:lang w:val="cs-CZ"/>
        </w:rPr>
      </w:pPr>
      <w:r w:rsidRPr="005E7F40">
        <w:rPr>
          <w:rFonts w:ascii="Arial" w:eastAsia="Arial" w:hAnsi="Arial" w:cs="Arial"/>
          <w:color w:val="000000"/>
          <w:lang w:val="cs-CZ"/>
        </w:rPr>
        <w:t>V roce 2019 proběhla auditní mise Evropské komise (dále jen „EK“) REGC414CZ0133 ověřující fungování řídicích a kontrolních systémů zavedených s cílem zamezit střetu zájmů při implementaci operačních programů spolufinancovaných z Evropských strukturálních a investičních fondů. Tato auditní mise byla ukončena výrokem auditora s výhradou. Dále EK zahájila audit EMPG314CZ0243 s názvem „Přezkum práce auditních orgánů / audity souladu v období 2014–2020“. V návrhu zprávy byl systém řízení a kontroly klasifikován kategorií 2 – funguje, ale jsou třeba určitá zlepšení. Celkem bylo v rámci této auditní mise identifikováno 11 zjištění. Ve druhé polovině roku byla zaslána reakce členského státu na zprávu EK k otevřeným zjištěním z auditní mise EMPG314CZ0215. Dále byla ukončena kontrolní akce Nejvyššího kontrolního úřadu č. 18/28 s názvem „Peněžní prostředky určené na realizaci opatření operačního programu Zaměstnanost 2014 – 2020 ke zvýšení zaměstnanosti a adaptability pracovní síly“. Vládou České republiky bylo přijato Usnesení ke kontrolnímu závěru, který neidentifikoval zjištění s finančním dopadem.</w:t>
      </w:r>
    </w:p>
    <w:p w14:paraId="2BA33191" w14:textId="7C319375" w:rsidR="002E52DB" w:rsidRDefault="002E52DB" w:rsidP="00330287">
      <w:pPr>
        <w:spacing w:after="120" w:line="276" w:lineRule="auto"/>
        <w:ind w:right="105"/>
        <w:jc w:val="both"/>
        <w:rPr>
          <w:rFonts w:ascii="Arial" w:eastAsia="Arial" w:hAnsi="Arial" w:cs="Arial"/>
          <w:color w:val="000000"/>
          <w:lang w:val="cs-CZ"/>
        </w:rPr>
      </w:pPr>
    </w:p>
    <w:p w14:paraId="14F2DB67" w14:textId="253269F8" w:rsidR="002E52DB" w:rsidRDefault="002E52DB" w:rsidP="00330287">
      <w:pPr>
        <w:spacing w:after="120" w:line="276" w:lineRule="auto"/>
        <w:ind w:right="105"/>
        <w:jc w:val="both"/>
        <w:rPr>
          <w:rFonts w:ascii="Arial" w:eastAsia="Arial" w:hAnsi="Arial" w:cs="Arial"/>
          <w:color w:val="000000"/>
          <w:lang w:val="cs-CZ"/>
        </w:rPr>
      </w:pPr>
    </w:p>
    <w:p w14:paraId="1A18226B" w14:textId="4C822C28" w:rsidR="002E52DB" w:rsidRDefault="002E52DB" w:rsidP="00330287">
      <w:pPr>
        <w:spacing w:after="120" w:line="276" w:lineRule="auto"/>
        <w:ind w:right="105"/>
        <w:jc w:val="both"/>
        <w:rPr>
          <w:rFonts w:ascii="Arial" w:eastAsia="Arial" w:hAnsi="Arial" w:cs="Arial"/>
          <w:color w:val="000000"/>
          <w:lang w:val="cs-CZ"/>
        </w:rPr>
      </w:pPr>
    </w:p>
    <w:p w14:paraId="38E4E741" w14:textId="2676B496" w:rsidR="002E52DB" w:rsidRDefault="002E52DB" w:rsidP="00330287">
      <w:pPr>
        <w:spacing w:after="120" w:line="276" w:lineRule="auto"/>
        <w:ind w:right="105"/>
        <w:jc w:val="both"/>
        <w:rPr>
          <w:rFonts w:ascii="Arial" w:eastAsia="Arial" w:hAnsi="Arial" w:cs="Arial"/>
          <w:color w:val="000000"/>
          <w:lang w:val="cs-CZ"/>
        </w:rPr>
      </w:pPr>
    </w:p>
    <w:p w14:paraId="32FA9A49" w14:textId="2598FAFB" w:rsidR="002E52DB" w:rsidRDefault="002E52DB" w:rsidP="00330287">
      <w:pPr>
        <w:spacing w:after="120" w:line="276" w:lineRule="auto"/>
        <w:ind w:right="105"/>
        <w:jc w:val="both"/>
        <w:rPr>
          <w:rFonts w:ascii="Arial" w:eastAsia="Arial" w:hAnsi="Arial" w:cs="Arial"/>
          <w:color w:val="000000"/>
          <w:lang w:val="cs-CZ"/>
        </w:rPr>
      </w:pPr>
    </w:p>
    <w:p w14:paraId="78E133F7" w14:textId="77777777" w:rsidR="002E52DB" w:rsidRPr="00EA54EC" w:rsidRDefault="002E52DB" w:rsidP="00330287">
      <w:pPr>
        <w:spacing w:after="120" w:line="276" w:lineRule="auto"/>
        <w:ind w:right="105"/>
        <w:jc w:val="both"/>
        <w:rPr>
          <w:rFonts w:ascii="Arial" w:eastAsia="Arial" w:hAnsi="Arial" w:cs="Arial"/>
          <w:color w:val="000000"/>
          <w:lang w:val="cs-CZ"/>
        </w:rPr>
      </w:pPr>
    </w:p>
    <w:p w14:paraId="19FDC700" w14:textId="77777777" w:rsidR="00A2351A" w:rsidRDefault="002D5C25" w:rsidP="00496C84">
      <w:pPr>
        <w:pStyle w:val="Nadpis1"/>
      </w:pPr>
      <w:bookmarkStart w:id="8" w:name="_Toc39495064"/>
      <w:r>
        <w:lastRenderedPageBreak/>
        <w:t>IMPLEMENTACE PRIORITNÍ OSY (čl. 50 odst. 2 nařízení (EU) č. 1303/2013)</w:t>
      </w:r>
      <w:bookmarkEnd w:id="8"/>
    </w:p>
    <w:p w14:paraId="37C80C6A" w14:textId="77777777" w:rsidR="00A2351A" w:rsidRDefault="002D5C25" w:rsidP="000B77CA">
      <w:pPr>
        <w:pStyle w:val="Nadpis2"/>
        <w:rPr>
          <w:sz w:val="16"/>
        </w:rPr>
      </w:pPr>
      <w:bookmarkStart w:id="9" w:name="_Toc39495065"/>
      <w:r>
        <w:t>Přehled implementace</w:t>
      </w:r>
      <w:r>
        <w:rPr>
          <w:sz w:val="16"/>
          <w:vertAlign w:val="superscript"/>
        </w:rPr>
        <w:t>(1)</w:t>
      </w:r>
      <w:bookmarkEnd w:id="9"/>
    </w:p>
    <w:tbl>
      <w:tblPr>
        <w:tblW w:w="11057" w:type="dxa"/>
        <w:tblInd w:w="-562" w:type="dxa"/>
        <w:tblLayout w:type="fixed"/>
        <w:tblCellMar>
          <w:left w:w="0" w:type="dxa"/>
          <w:right w:w="0" w:type="dxa"/>
        </w:tblCellMar>
        <w:tblLook w:val="04A0" w:firstRow="1" w:lastRow="0" w:firstColumn="1" w:lastColumn="0" w:noHBand="0" w:noVBand="1"/>
      </w:tblPr>
      <w:tblGrid>
        <w:gridCol w:w="567"/>
        <w:gridCol w:w="1276"/>
        <w:gridCol w:w="9214"/>
      </w:tblGrid>
      <w:tr w:rsidR="00A2351A" w14:paraId="6F1AA0EE" w14:textId="77777777" w:rsidTr="00A91BEF">
        <w:trPr>
          <w:tblHeader/>
        </w:trPr>
        <w:tc>
          <w:tcPr>
            <w:tcW w:w="5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9107F1" w14:textId="77777777" w:rsidR="00A2351A" w:rsidRDefault="002D5C25">
            <w:pPr>
              <w:spacing w:before="120" w:after="120"/>
              <w:ind w:left="57" w:right="57"/>
              <w:jc w:val="both"/>
              <w:rPr>
                <w:rFonts w:ascii="Arial" w:eastAsia="Arial" w:hAnsi="Arial" w:cs="Arial"/>
                <w:color w:val="000000"/>
                <w:sz w:val="20"/>
              </w:rPr>
            </w:pPr>
            <w:r>
              <w:rPr>
                <w:rFonts w:ascii="Arial" w:eastAsia="Arial" w:hAnsi="Arial" w:cs="Arial"/>
                <w:color w:val="000000"/>
                <w:sz w:val="20"/>
              </w:rPr>
              <w:t>ID</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EA5C54" w14:textId="77777777" w:rsidR="00A2351A" w:rsidRDefault="002D5C25">
            <w:pPr>
              <w:spacing w:before="120" w:after="120"/>
              <w:ind w:left="57" w:right="57"/>
              <w:jc w:val="both"/>
              <w:rPr>
                <w:rFonts w:ascii="Arial" w:eastAsia="Arial" w:hAnsi="Arial" w:cs="Arial"/>
                <w:color w:val="000000"/>
                <w:sz w:val="20"/>
              </w:rPr>
            </w:pPr>
            <w:r>
              <w:rPr>
                <w:rFonts w:ascii="Arial" w:eastAsia="Arial" w:hAnsi="Arial" w:cs="Arial"/>
                <w:color w:val="000000"/>
                <w:sz w:val="20"/>
              </w:rPr>
              <w:t>Prioritní osa</w:t>
            </w:r>
          </w:p>
        </w:tc>
        <w:tc>
          <w:tcPr>
            <w:tcW w:w="921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E4C9B4" w14:textId="77777777" w:rsidR="00A2351A" w:rsidRDefault="002D5C25">
            <w:pPr>
              <w:spacing w:before="120" w:after="120"/>
              <w:ind w:left="57" w:right="57"/>
              <w:jc w:val="both"/>
              <w:rPr>
                <w:rFonts w:ascii="Arial" w:eastAsia="Arial" w:hAnsi="Arial" w:cs="Arial"/>
                <w:color w:val="000000"/>
                <w:sz w:val="20"/>
              </w:rPr>
            </w:pPr>
            <w:r>
              <w:rPr>
                <w:rFonts w:ascii="Arial" w:eastAsia="Arial" w:hAnsi="Arial" w:cs="Arial"/>
                <w:color w:val="000000"/>
                <w:sz w:val="20"/>
              </w:rPr>
              <w:t>Klíčové informace o implementaci prioritní osy s odkazem na klíčové události, významné problémy a opatření přijatá k jejich odstranění</w:t>
            </w:r>
          </w:p>
        </w:tc>
      </w:tr>
      <w:tr w:rsidR="00A2351A" w14:paraId="3374957E" w14:textId="77777777" w:rsidTr="00A91BEF">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B9CC08C"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t>03.1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7939EE3" w14:textId="26432BDC" w:rsidR="00A2351A" w:rsidRDefault="005E7F40">
            <w:pPr>
              <w:spacing w:before="120"/>
              <w:ind w:left="57" w:right="57"/>
              <w:jc w:val="both"/>
              <w:rPr>
                <w:rFonts w:ascii="Arial" w:eastAsia="Arial" w:hAnsi="Arial" w:cs="Arial"/>
                <w:color w:val="000000"/>
                <w:sz w:val="14"/>
              </w:rPr>
            </w:pPr>
            <w:r>
              <w:rPr>
                <w:rFonts w:ascii="Arial" w:eastAsia="Arial" w:hAnsi="Arial" w:cs="Arial"/>
                <w:color w:val="000000"/>
                <w:sz w:val="14"/>
              </w:rPr>
              <w:t xml:space="preserve">Podpora zaměstnanosti </w:t>
            </w:r>
            <w:r w:rsidR="002D5C25">
              <w:rPr>
                <w:rFonts w:ascii="Arial" w:eastAsia="Arial" w:hAnsi="Arial" w:cs="Arial"/>
                <w:color w:val="000000"/>
                <w:sz w:val="14"/>
              </w:rPr>
              <w:t>a adaptability pracovní síly</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D95CFBE" w14:textId="77777777" w:rsidR="005E7F40" w:rsidRPr="00716644" w:rsidRDefault="005E7F40" w:rsidP="00716644">
            <w:pPr>
              <w:spacing w:before="120"/>
              <w:ind w:left="136" w:right="238"/>
              <w:jc w:val="both"/>
              <w:rPr>
                <w:rFonts w:ascii="Arial" w:eastAsia="Arial" w:hAnsi="Arial" w:cs="Arial"/>
                <w:color w:val="000000"/>
              </w:rPr>
            </w:pPr>
            <w:r w:rsidRPr="003B1310">
              <w:rPr>
                <w:rFonts w:ascii="Arial" w:eastAsia="Arial" w:hAnsi="Arial" w:cs="Arial"/>
                <w:b/>
                <w:color w:val="000000"/>
              </w:rPr>
              <w:t>Prioritní osa 1 „Podpora zaměstnanosti a adaptability pracovní síly“ (PO1)</w:t>
            </w:r>
            <w:r w:rsidRPr="00716644">
              <w:rPr>
                <w:rFonts w:ascii="Arial" w:eastAsia="Arial" w:hAnsi="Arial" w:cs="Arial"/>
                <w:color w:val="000000"/>
              </w:rPr>
              <w:t xml:space="preserve"> je prováděna prostřednictvím pěti investičních priorit (IP) a je svými 61 % (1 552 mil. EUR, včetně YEI) celkových alokovaných prostředků programu nejrozsáhlejší prioritní osou. </w:t>
            </w:r>
          </w:p>
          <w:p w14:paraId="20A9E2A4" w14:textId="36A7F4D4" w:rsidR="005E7F40" w:rsidRPr="00716644" w:rsidRDefault="005E7F40" w:rsidP="00716644">
            <w:pPr>
              <w:spacing w:before="120"/>
              <w:ind w:left="136" w:right="238"/>
              <w:jc w:val="both"/>
              <w:rPr>
                <w:rFonts w:ascii="Arial" w:eastAsia="Arial" w:hAnsi="Arial" w:cs="Arial"/>
                <w:color w:val="000000"/>
              </w:rPr>
            </w:pPr>
            <w:r w:rsidRPr="00716644">
              <w:rPr>
                <w:rFonts w:ascii="Arial" w:eastAsia="Arial" w:hAnsi="Arial" w:cs="Arial"/>
                <w:color w:val="000000"/>
              </w:rPr>
              <w:t>Celkem bylo od začátku programového období vyhlášeno 60 výzev v celkovém objemu 1 815 mil. EUR. Celkový počet uzavřených právních akt</w:t>
            </w:r>
            <w:r w:rsidR="003B1310">
              <w:rPr>
                <w:rFonts w:ascii="Arial" w:eastAsia="Arial" w:hAnsi="Arial" w:cs="Arial"/>
                <w:color w:val="000000"/>
              </w:rPr>
              <w:t xml:space="preserve">ů byl 5 191 v celkovém objemu 1 </w:t>
            </w:r>
            <w:r w:rsidRPr="00716644">
              <w:rPr>
                <w:rFonts w:ascii="Arial" w:eastAsia="Arial" w:hAnsi="Arial" w:cs="Arial"/>
                <w:color w:val="000000"/>
              </w:rPr>
              <w:t>609 mil. EUR. V roce 2019 bylo vyhlášeno 13 výzev v celkovém objemu 322 mil. EUR. PO1 má nejvyšší objem finančních prostředků alokovaných ve výzvách IP1.1, kde bylo vyhlášeno již 14 výzev o</w:t>
            </w:r>
            <w:r w:rsidR="00716644" w:rsidRPr="00716644">
              <w:rPr>
                <w:rFonts w:ascii="Arial" w:eastAsia="Arial" w:hAnsi="Arial" w:cs="Arial"/>
                <w:color w:val="000000"/>
              </w:rPr>
              <w:t xml:space="preserve"> celkové alokaci 802 mil. EUR. </w:t>
            </w:r>
          </w:p>
          <w:p w14:paraId="31966E48" w14:textId="42B0F18B" w:rsidR="005E7F40" w:rsidRPr="005E7F40" w:rsidRDefault="005E7F40" w:rsidP="00716644">
            <w:pPr>
              <w:spacing w:before="120"/>
              <w:ind w:left="136" w:right="238"/>
              <w:jc w:val="both"/>
              <w:rPr>
                <w:rFonts w:ascii="Arial" w:hAnsi="Arial" w:cs="Arial"/>
              </w:rPr>
            </w:pPr>
            <w:r w:rsidRPr="00716644">
              <w:rPr>
                <w:rFonts w:ascii="Arial" w:eastAsia="Arial" w:hAnsi="Arial" w:cs="Arial"/>
                <w:color w:val="000000"/>
              </w:rPr>
              <w:t>V lednu 2019 byly vyhlášeny 2 nové výzvy zaměřené na podporu zařízení péče o děti ve věku od 6 měsíců do 3 let</w:t>
            </w:r>
            <w:r w:rsidRPr="005E7F40">
              <w:rPr>
                <w:rFonts w:ascii="Arial" w:hAnsi="Arial" w:cs="Arial"/>
              </w:rPr>
              <w:t xml:space="preserve"> včetně. Jedná se o výzvu č. 69 „Podpora péče o nejmenší děti v mikrojeslích v ČR (mimo hl. m. Prahu)“ a č. 70 „Podpora péče o nejmenší děti v mikrojeslích v Praze“. Celkem v těchto výzvách vstoupilo do realizace 102 projektů s finanční alokací 10 mil. EUR. Aktuálně byl tedy doposud celkem podpořen vznik 111 mikrojeslí s kapacitou 444 míst. V obou případech se místa často využívají ve sdíleném režimu, proto bude počet dětí, které navštívila zařízení, popř. počet podpořených rodičů, vyšší, ne</w:t>
            </w:r>
            <w:r>
              <w:rPr>
                <w:rFonts w:ascii="Arial" w:hAnsi="Arial" w:cs="Arial"/>
              </w:rPr>
              <w:t>ž je uvedená kapacita zařízení.</w:t>
            </w:r>
          </w:p>
          <w:p w14:paraId="044DC8D3" w14:textId="3BEA8F65" w:rsidR="005E7F40" w:rsidRPr="005E7F40" w:rsidRDefault="005E7F40" w:rsidP="00716644">
            <w:pPr>
              <w:spacing w:after="120"/>
              <w:ind w:left="136" w:right="238"/>
              <w:jc w:val="both"/>
              <w:rPr>
                <w:rFonts w:ascii="Arial" w:hAnsi="Arial" w:cs="Arial"/>
              </w:rPr>
            </w:pPr>
            <w:r w:rsidRPr="005E7F40">
              <w:rPr>
                <w:rFonts w:ascii="Arial" w:hAnsi="Arial" w:cs="Arial"/>
              </w:rPr>
              <w:t>Na základě predikce nedočerpání projektů z výzvy č. 91 byla v roce 2019 vyhlášena nová výzva č. 136 „Iniciativa na podporu zaměstnanosti mládeže pro region NUTS II Severozápad a NUTS II Moravskoslezsko - ÚP ČR“ s alokací 1,95 m</w:t>
            </w:r>
            <w:r>
              <w:rPr>
                <w:rFonts w:ascii="Arial" w:hAnsi="Arial" w:cs="Arial"/>
              </w:rPr>
              <w:t>il. EUR. Blíže viz. kapitola 5.</w:t>
            </w:r>
          </w:p>
          <w:p w14:paraId="7543572F" w14:textId="371DE8E5" w:rsidR="003A2D80" w:rsidRPr="005E7F40" w:rsidRDefault="005E7F40" w:rsidP="005E7F40">
            <w:pPr>
              <w:ind w:left="136" w:right="238"/>
              <w:jc w:val="both"/>
              <w:rPr>
                <w:rFonts w:ascii="Arial" w:hAnsi="Arial" w:cs="Arial"/>
              </w:rPr>
            </w:pPr>
            <w:r w:rsidRPr="005E7F40">
              <w:rPr>
                <w:rFonts w:ascii="Arial" w:hAnsi="Arial" w:cs="Arial"/>
              </w:rPr>
              <w:t>Podrobný přehled o pokroku PO1 a jednotlivých IP je uveden v příloze č. 1.</w:t>
            </w:r>
          </w:p>
        </w:tc>
      </w:tr>
      <w:tr w:rsidR="00A2351A" w14:paraId="5C667D36" w14:textId="77777777" w:rsidTr="00A91BEF">
        <w:trPr>
          <w:trHeight w:val="5606"/>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A97E083"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t>03.2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F8CBDFB"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t>Sociální začleňování a boj s chudobou</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4900A623" w14:textId="5F2C6869" w:rsidR="005E7F40" w:rsidRPr="005E7F40" w:rsidRDefault="005E7F40" w:rsidP="005E7F40">
            <w:pPr>
              <w:spacing w:before="120"/>
              <w:ind w:left="136" w:right="238"/>
              <w:jc w:val="both"/>
              <w:rPr>
                <w:rFonts w:ascii="Arial" w:eastAsia="Arial" w:hAnsi="Arial" w:cs="Arial"/>
                <w:color w:val="000000"/>
              </w:rPr>
            </w:pPr>
            <w:r w:rsidRPr="003B1310">
              <w:rPr>
                <w:rFonts w:ascii="Arial" w:eastAsia="Arial" w:hAnsi="Arial" w:cs="Arial"/>
                <w:b/>
                <w:color w:val="000000"/>
              </w:rPr>
              <w:t>Prioritní osa 2 „Sociální začleňování a boj s chudobou“ (PO2)</w:t>
            </w:r>
            <w:r w:rsidRPr="005E7F40">
              <w:rPr>
                <w:rFonts w:ascii="Arial" w:eastAsia="Arial" w:hAnsi="Arial" w:cs="Arial"/>
                <w:color w:val="000000"/>
              </w:rPr>
              <w:t xml:space="preserve"> je prováděna prostřednictvím tří investičních priorit (IP), z nichž nejvyšší objem finančních prostředků alokovaných ve výzvách a nejvyšší počet předložených projektů představuje IP2.1. Objem prostředků alokovaných na PO2 činí celkem 740 mil. EUR, což představuje 27 % z celkového objemu finanční</w:t>
            </w:r>
            <w:r>
              <w:rPr>
                <w:rFonts w:ascii="Arial" w:eastAsia="Arial" w:hAnsi="Arial" w:cs="Arial"/>
                <w:color w:val="000000"/>
              </w:rPr>
              <w:t xml:space="preserve">ch prostředků určených na OPZ. </w:t>
            </w:r>
          </w:p>
          <w:p w14:paraId="48439103" w14:textId="7E63136F"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V PO2 bylo v roce 2019 vyhlášeno 6 výzev o celkové alokaci 36,3 mil. EUR, což byl ve srovnání s ostatními prioritními osami druhý nejlepší výsledek. Celkem bylo od začátku programového období do konce roku 2019 vyhlášeno 41 výzev v cel</w:t>
            </w:r>
            <w:r>
              <w:rPr>
                <w:rFonts w:ascii="Arial" w:eastAsia="Arial" w:hAnsi="Arial" w:cs="Arial"/>
                <w:color w:val="000000"/>
              </w:rPr>
              <w:t xml:space="preserve">kovém objemu cca 927 mil. EUR. </w:t>
            </w:r>
          </w:p>
          <w:p w14:paraId="631F0D8F" w14:textId="77777777"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PO2 nezaostávala, ani co se týká předkládaných žádostí o podporu. Ke konci roku 2019 bylo předloženo 5 150 žádostí a to v objemu 1 328 mil. EUR. Počet žádostí PO2 tvoří 32% podíl na celkovém počtu předložených žádostí (16 072). Počet uzavřených právních aktů v PO2 byl celkem 1 992 v celkovém objemu 777,4 mil. EUR.</w:t>
            </w:r>
          </w:p>
          <w:p w14:paraId="024DDE19" w14:textId="0FB33797"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 xml:space="preserve">Byl ukončen příjem žádostí do výzev č. 88 „Podpora aktivit a programů v rámci sociálního  začleňování (3. výzva)“ a č. 95 „Výzva na podporu sociálního začleňování v Praze (2. výzva)“. Celkem bylo podpořeno 84 projektů v </w:t>
            </w:r>
            <w:r>
              <w:rPr>
                <w:rFonts w:ascii="Arial" w:eastAsia="Arial" w:hAnsi="Arial" w:cs="Arial"/>
                <w:color w:val="000000"/>
              </w:rPr>
              <w:t>celkovém objemu 19,84 mil. EUR.</w:t>
            </w:r>
          </w:p>
          <w:p w14:paraId="508986AE" w14:textId="4771A8AC"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V průběhu roku 2019 byl prodloužen datum ukončení příjmu žádostí v průběžné výzvě č. 108 „Podpora programu Housing First (Bydlení především)“. V průběhu roku bylo zaregistrováno 17 žádostí o podporu v</w:t>
            </w:r>
            <w:r>
              <w:rPr>
                <w:rFonts w:ascii="Arial" w:eastAsia="Arial" w:hAnsi="Arial" w:cs="Arial"/>
                <w:color w:val="000000"/>
              </w:rPr>
              <w:t xml:space="preserve"> celkovém objemu 5,67 mil. EUR.</w:t>
            </w:r>
          </w:p>
          <w:p w14:paraId="65612F75" w14:textId="4700AED3" w:rsidR="00A2351A"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Podrobný přehled o pokroku PO2 a jednotlivých IP je uveden v příloze č. 1.</w:t>
            </w:r>
          </w:p>
        </w:tc>
      </w:tr>
      <w:tr w:rsidR="00A2351A" w14:paraId="1828D94A" w14:textId="77777777" w:rsidTr="00A91BEF">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2DE550F"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t>03.3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672157E"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t>Sociální inovace a mezinárodní spolupráce</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5B2B1C74" w14:textId="54C41C94" w:rsidR="005E7F40" w:rsidRPr="005E7F40" w:rsidRDefault="005E7F40" w:rsidP="005E7F40">
            <w:pPr>
              <w:spacing w:before="120"/>
              <w:ind w:left="136" w:right="238"/>
              <w:jc w:val="both"/>
              <w:rPr>
                <w:rFonts w:ascii="Arial" w:eastAsia="Arial" w:hAnsi="Arial" w:cs="Arial"/>
                <w:color w:val="000000"/>
              </w:rPr>
            </w:pPr>
            <w:r w:rsidRPr="003B1310">
              <w:rPr>
                <w:rFonts w:ascii="Arial" w:eastAsia="Arial" w:hAnsi="Arial" w:cs="Arial"/>
                <w:b/>
                <w:color w:val="000000"/>
              </w:rPr>
              <w:t>Prioritní osa 3 „Sociální inovace a mezinárodní spolupráce“ (PO3)</w:t>
            </w:r>
            <w:r w:rsidRPr="005E7F40">
              <w:rPr>
                <w:rFonts w:ascii="Arial" w:eastAsia="Arial" w:hAnsi="Arial" w:cs="Arial"/>
                <w:color w:val="000000"/>
              </w:rPr>
              <w:t>: Objem prostředků alokovaných na PO3 představuje 46,6 mil. EUR, tj. 1,8 % z celkového objemu finančních prostředků určených na OPZ. Od začátku programového období je tak vyhlášeno celkem 8 výzev v celkovém objemu cca 55,56 mil. EUR. PO3 je jako celek zaměřena na podporu sociálních inovací a mezinárodní spolupráce, proto je předpokládán její dílčí příspěvek k tematickému cíli č. 1 Posílení výzkumu, tec</w:t>
            </w:r>
            <w:r>
              <w:rPr>
                <w:rFonts w:ascii="Arial" w:eastAsia="Arial" w:hAnsi="Arial" w:cs="Arial"/>
                <w:color w:val="000000"/>
              </w:rPr>
              <w:t>hnologického rozvoje a inovací.</w:t>
            </w:r>
          </w:p>
          <w:p w14:paraId="1FEF63C9" w14:textId="77777777"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lastRenderedPageBreak/>
              <w:t xml:space="preserve">Byl ukončen příjem žádostí do výzvy č. 59 „Mezinárodní mobilita a sociální začleňování znevýhodněné mládeže“. Jde o návaznou výzvu na již ukončenou výzvu č. 32, která testovala aktivizaci znevýhodněné mládeže formou účasti na zahraniční pracovní stáži. Do realizace postoupilo celkem 14 projektů s celkovým finančním objemem 3,6 mil. EUR. Od června 2019 je postupně zahajována realizace klíčových aktivit jednotlivých projektů. Probíhal především nábor cílové skupiny a její příprava na zahraniční stáž. </w:t>
            </w:r>
          </w:p>
          <w:p w14:paraId="046F5613" w14:textId="19E2695C"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V průběhu roku byl ukončen příjem žádostí ve výzvách č. 83 "Nová řešení pro tíživé sociální problémy", č. 82 "Ověřování nových řešení využitelných ve veřejné sféře" a pro první kolo výzvy č. 18 „Projekty veřejné správy zaměřené na inovace</w:t>
            </w:r>
            <w:r>
              <w:rPr>
                <w:rFonts w:ascii="Arial" w:eastAsia="Arial" w:hAnsi="Arial" w:cs="Arial"/>
                <w:color w:val="000000"/>
              </w:rPr>
              <w:t xml:space="preserve"> v tematických oblastech OPZ“. </w:t>
            </w:r>
          </w:p>
          <w:p w14:paraId="61AF2B9C" w14:textId="3E45D026" w:rsidR="00A2351A" w:rsidRDefault="005E7F40" w:rsidP="005E7F40">
            <w:pPr>
              <w:spacing w:before="120"/>
              <w:ind w:left="136" w:right="238"/>
              <w:jc w:val="both"/>
              <w:rPr>
                <w:rFonts w:ascii="Arial" w:eastAsia="Arial" w:hAnsi="Arial" w:cs="Arial"/>
                <w:color w:val="000000"/>
                <w:sz w:val="14"/>
              </w:rPr>
            </w:pPr>
            <w:r w:rsidRPr="005E7F40">
              <w:rPr>
                <w:rFonts w:ascii="Arial" w:eastAsia="Arial" w:hAnsi="Arial" w:cs="Arial"/>
                <w:color w:val="000000"/>
              </w:rPr>
              <w:t>Podrobný přehled o pokroku PO3 je uveden v příloze č. 1.</w:t>
            </w:r>
          </w:p>
        </w:tc>
      </w:tr>
      <w:tr w:rsidR="00A2351A" w14:paraId="6F2F118A" w14:textId="77777777" w:rsidTr="00A91BEF">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224A8A6"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lastRenderedPageBreak/>
              <w:t>03.4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366CE10"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t>Efektivní veřejná správa</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08B4A62A" w14:textId="66C8D779" w:rsidR="005E7F40" w:rsidRPr="005E7F40" w:rsidRDefault="005E7F40" w:rsidP="005E7F40">
            <w:pPr>
              <w:spacing w:before="120"/>
              <w:ind w:left="136" w:right="238"/>
              <w:jc w:val="both"/>
              <w:rPr>
                <w:rFonts w:ascii="Arial" w:eastAsia="Arial" w:hAnsi="Arial" w:cs="Arial"/>
                <w:color w:val="000000"/>
              </w:rPr>
            </w:pPr>
            <w:r w:rsidRPr="003B1310">
              <w:rPr>
                <w:rFonts w:ascii="Arial" w:eastAsia="Arial" w:hAnsi="Arial" w:cs="Arial"/>
                <w:b/>
                <w:color w:val="000000"/>
              </w:rPr>
              <w:t>Prioritní osa 4 „Efektivní veřejná správa“ (PO4)</w:t>
            </w:r>
            <w:r w:rsidRPr="005E7F40">
              <w:rPr>
                <w:rFonts w:ascii="Arial" w:eastAsia="Arial" w:hAnsi="Arial" w:cs="Arial"/>
                <w:color w:val="000000"/>
              </w:rPr>
              <w:t>: Objem prostředků alokovaných na PO4 představuje 155 mil. EUR, tj. přibližně 6 % z celkového objemu finanční</w:t>
            </w:r>
            <w:r>
              <w:rPr>
                <w:rFonts w:ascii="Arial" w:eastAsia="Arial" w:hAnsi="Arial" w:cs="Arial"/>
                <w:color w:val="000000"/>
              </w:rPr>
              <w:t xml:space="preserve">ch prostředků určených na OPZ. </w:t>
            </w:r>
          </w:p>
          <w:p w14:paraId="4F41CFD3" w14:textId="7B7CC162"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V březnu 2019 byly vyhlášeny 2 výzvy pro územní samosprávné celky (ÚSC) a ÚSC – hl. m. Prahu, výzva č. 92 „Výzva pro územní samosprávné celky (obce, kraje a sdružení a asociace ÚSC)“ s alokací 11,2 mil. EUR a č. 119 „Výzva pro územní samosprávné celky – hl. m. Praha</w:t>
            </w:r>
            <w:r>
              <w:rPr>
                <w:rFonts w:ascii="Arial" w:eastAsia="Arial" w:hAnsi="Arial" w:cs="Arial"/>
                <w:color w:val="000000"/>
              </w:rPr>
              <w:t>“ s alokací 593 tis. EUR.</w:t>
            </w:r>
          </w:p>
          <w:p w14:paraId="5667A901" w14:textId="2E7041FD"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V roce 2019 byla projednána a odsouhlasena změna výzvy č. 19 „Výzva pro projekty podporující implementaci Strategického rámce rozvoje veřejné správy ČR pro období 2014 – 2020“, která spočívá v revizi Přílohy č. 5 „Přehled dílčích alokací na jednotlivé žadatele“, kte</w:t>
            </w:r>
            <w:r>
              <w:rPr>
                <w:rFonts w:ascii="Arial" w:eastAsia="Arial" w:hAnsi="Arial" w:cs="Arial"/>
                <w:color w:val="000000"/>
              </w:rPr>
              <w:t>rá byla schválena 12. 11. 2019.</w:t>
            </w:r>
          </w:p>
          <w:p w14:paraId="53CDE3DD" w14:textId="0FA47C55"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Projednány a odsouhlaseny byly také změny ve výzvě č. 25 "Projekty organizačních složek státu zaměřené na pod</w:t>
            </w:r>
            <w:r>
              <w:rPr>
                <w:rFonts w:ascii="Arial" w:eastAsia="Arial" w:hAnsi="Arial" w:cs="Arial"/>
                <w:color w:val="000000"/>
              </w:rPr>
              <w:t>poru efektivní veřejné správy".</w:t>
            </w:r>
          </w:p>
          <w:p w14:paraId="19FBE28E" w14:textId="1CAB6C81" w:rsidR="00A2351A" w:rsidRDefault="005E7F40" w:rsidP="005E7F40">
            <w:pPr>
              <w:spacing w:before="120"/>
              <w:ind w:left="136" w:right="238"/>
              <w:jc w:val="both"/>
              <w:rPr>
                <w:rFonts w:ascii="Arial" w:eastAsia="Arial" w:hAnsi="Arial" w:cs="Arial"/>
                <w:color w:val="000000"/>
                <w:sz w:val="14"/>
              </w:rPr>
            </w:pPr>
            <w:r w:rsidRPr="005E7F40">
              <w:rPr>
                <w:rFonts w:ascii="Arial" w:eastAsia="Arial" w:hAnsi="Arial" w:cs="Arial"/>
                <w:color w:val="000000"/>
              </w:rPr>
              <w:t>Podrobný přehled o pokroku PO4 je uveden v příloze č. 1.</w:t>
            </w:r>
          </w:p>
        </w:tc>
      </w:tr>
      <w:tr w:rsidR="00A2351A" w14:paraId="37FFB02E" w14:textId="77777777" w:rsidTr="00A91BEF">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BC0BE8F"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t>03.5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C5B75A7" w14:textId="77777777" w:rsidR="00A2351A" w:rsidRDefault="002D5C25">
            <w:pPr>
              <w:spacing w:before="120"/>
              <w:ind w:left="57" w:right="57"/>
              <w:jc w:val="both"/>
              <w:rPr>
                <w:rFonts w:ascii="Arial" w:eastAsia="Arial" w:hAnsi="Arial" w:cs="Arial"/>
                <w:color w:val="000000"/>
                <w:sz w:val="14"/>
              </w:rPr>
            </w:pPr>
            <w:r>
              <w:rPr>
                <w:rFonts w:ascii="Arial" w:eastAsia="Arial" w:hAnsi="Arial" w:cs="Arial"/>
                <w:color w:val="000000"/>
                <w:sz w:val="14"/>
              </w:rPr>
              <w:t>Technická pomoc</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cPr>
          <w:p w14:paraId="7DD6B52E" w14:textId="77777777" w:rsidR="005E7F40" w:rsidRPr="005E7F40" w:rsidRDefault="005E7F40" w:rsidP="005E7F40">
            <w:pPr>
              <w:spacing w:before="120"/>
              <w:ind w:left="136" w:right="238"/>
              <w:jc w:val="both"/>
              <w:rPr>
                <w:rFonts w:ascii="Arial" w:eastAsia="Arial" w:hAnsi="Arial" w:cs="Arial"/>
                <w:color w:val="000000"/>
              </w:rPr>
            </w:pPr>
            <w:r w:rsidRPr="003B1310">
              <w:rPr>
                <w:rFonts w:ascii="Arial" w:eastAsia="Arial" w:hAnsi="Arial" w:cs="Arial"/>
                <w:b/>
                <w:color w:val="000000"/>
              </w:rPr>
              <w:t>Prioritní osa 5 „Technická pomoc“ (PO5)</w:t>
            </w:r>
            <w:r w:rsidRPr="005E7F40">
              <w:rPr>
                <w:rFonts w:ascii="Arial" w:eastAsia="Arial" w:hAnsi="Arial" w:cs="Arial"/>
                <w:color w:val="000000"/>
              </w:rPr>
              <w:t xml:space="preserve">: Poskytování technické pomoci je v souladu s článkem 59 obecného nařízení zaměřeno na podporu řízení a implementace OPZ a představuje 103 mil. EUR, tj. 3,95% z celkového finančního objemu OPZ. </w:t>
            </w:r>
          </w:p>
          <w:p w14:paraId="30F1ADEF" w14:textId="77777777"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V rámci TP OPZ pokračovala realizace 6 projektů, schválených v roce 2016, v celkovém objemu 107 mil. EUR. Vzhledem k tomu, že přidělená alokace na PO5 je již alokována ve stávajících schválených projektech v rámci průběžné výzvy č. 12 „Projekty technické pomoci“, nebyl v roce 2019 předložen další projekt.</w:t>
            </w:r>
          </w:p>
          <w:p w14:paraId="42AA65FE" w14:textId="77777777" w:rsidR="005E7F40" w:rsidRPr="005E7F40" w:rsidRDefault="005E7F40" w:rsidP="005E7F40">
            <w:pPr>
              <w:spacing w:before="120"/>
              <w:ind w:left="136" w:right="238"/>
              <w:jc w:val="both"/>
              <w:rPr>
                <w:rFonts w:ascii="Arial" w:eastAsia="Arial" w:hAnsi="Arial" w:cs="Arial"/>
                <w:color w:val="000000"/>
              </w:rPr>
            </w:pPr>
            <w:r w:rsidRPr="005E7F40">
              <w:rPr>
                <w:rFonts w:ascii="Arial" w:eastAsia="Arial" w:hAnsi="Arial" w:cs="Arial"/>
                <w:color w:val="000000"/>
              </w:rPr>
              <w:t>Realizované projekty jsou zaměřeny především na tyto aktivity: úhradu osobních nákladů zaměstnanců, kteří realizují úkoly spojené s implementací OPZ; zajištění věcného hodnocení a výběr projektů OPZ; organizační zajištění monitorovacích výborů OPZ, financování provozních nákladů spojených s podporou implementace OPZ; zajištění vzdělávání zaměstnanců řídicího orgánu OPZ; financování publicitních a komunikačních aktivit; zpracování evaluací, analýz a odborných studií pro OPZ.</w:t>
            </w:r>
          </w:p>
          <w:p w14:paraId="4BBD4B54" w14:textId="1E1795A5" w:rsidR="00A2351A" w:rsidRDefault="005E7F40" w:rsidP="005E7F40">
            <w:pPr>
              <w:spacing w:before="120"/>
              <w:ind w:left="136" w:right="238"/>
              <w:jc w:val="both"/>
              <w:rPr>
                <w:rFonts w:ascii="Arial" w:eastAsia="Arial" w:hAnsi="Arial" w:cs="Arial"/>
                <w:color w:val="000000"/>
                <w:sz w:val="14"/>
              </w:rPr>
            </w:pPr>
            <w:r w:rsidRPr="005E7F40">
              <w:rPr>
                <w:rFonts w:ascii="Arial" w:eastAsia="Arial" w:hAnsi="Arial" w:cs="Arial"/>
                <w:color w:val="000000"/>
              </w:rPr>
              <w:t>Poskytování technické pomoci je v souladu s článkem 59 obecného nařízení zaměřeno na podporu řízení a implementace OPZ a představuje 3,95% z celkového finančního objemu OPZ.</w:t>
            </w:r>
          </w:p>
        </w:tc>
      </w:tr>
    </w:tbl>
    <w:p w14:paraId="78C6486A" w14:textId="77777777" w:rsidR="000B77CA" w:rsidRDefault="000B77CA" w:rsidP="009744BB">
      <w:pPr>
        <w:spacing w:line="276" w:lineRule="auto"/>
        <w:ind w:right="105"/>
        <w:rPr>
          <w:rFonts w:ascii="Calibri" w:eastAsia="Calibri" w:hAnsi="Calibri" w:cs="Calibri"/>
          <w:color w:val="000000"/>
        </w:rPr>
      </w:pPr>
    </w:p>
    <w:p w14:paraId="38B6C3B9" w14:textId="77777777" w:rsidR="00A2351A" w:rsidRDefault="002D5C25" w:rsidP="009744BB">
      <w:pPr>
        <w:keepLines/>
        <w:ind w:left="111" w:right="105"/>
        <w:rPr>
          <w:rFonts w:ascii="Arial" w:eastAsia="Arial" w:hAnsi="Arial" w:cs="Arial"/>
          <w:color w:val="000000"/>
          <w:sz w:val="16"/>
        </w:rPr>
      </w:pPr>
      <w:r>
        <w:rPr>
          <w:rFonts w:ascii="Arial" w:eastAsia="Arial" w:hAnsi="Arial" w:cs="Arial"/>
          <w:color w:val="000000"/>
          <w:sz w:val="16"/>
        </w:rPr>
        <w:t>----------------------------------------------------</w:t>
      </w:r>
    </w:p>
    <w:p w14:paraId="567F633A" w14:textId="77777777" w:rsidR="00A2351A" w:rsidRDefault="002D5C25">
      <w:pPr>
        <w:keepLines/>
        <w:spacing w:line="276" w:lineRule="auto"/>
        <w:ind w:left="111" w:right="105"/>
        <w:rPr>
          <w:rFonts w:ascii="Arial" w:eastAsia="Arial" w:hAnsi="Arial" w:cs="Arial"/>
          <w:color w:val="000000"/>
          <w:sz w:val="16"/>
        </w:rPr>
      </w:pPr>
      <w:r>
        <w:rPr>
          <w:rFonts w:ascii="Arial" w:eastAsia="Arial" w:hAnsi="Arial" w:cs="Arial"/>
          <w:color w:val="000000"/>
          <w:sz w:val="16"/>
        </w:rPr>
        <w:t>1 - Strukturované údaje požadované pro zprávu o YEI, která má být předložena v dubnu 2015 v souladu s čl. 19 odst. 3 a přílohou II nařízení (EU) č. 1304/2013. Pokud se v rámci prioritní osy provádí YEI, měla by zpráva být rozdělena na část týkající se YEI a část věnovanou prioritní ose.</w:t>
      </w:r>
    </w:p>
    <w:p w14:paraId="7916083E" w14:textId="78ADEA84" w:rsidR="00A2351A" w:rsidRPr="009744BB" w:rsidRDefault="002D5C25" w:rsidP="009744BB">
      <w:pPr>
        <w:keepLines/>
        <w:ind w:left="111" w:right="105"/>
        <w:rPr>
          <w:rFonts w:ascii="Arial" w:eastAsia="Arial" w:hAnsi="Arial" w:cs="Arial"/>
          <w:color w:val="000000"/>
          <w:sz w:val="18"/>
        </w:rPr>
      </w:pPr>
      <w:r>
        <w:rPr>
          <w:rFonts w:ascii="Arial" w:eastAsia="Arial" w:hAnsi="Arial" w:cs="Arial"/>
          <w:color w:val="000000"/>
          <w:sz w:val="16"/>
        </w:rPr>
        <w:t>2 - Strukturované údaje požadované pro zprávu o YEI, která má být předložena v dubnu 2015 v souladu s čl. 19 odst. 3 a přílohou II nařízení (EU) č. 1304/2013.</w:t>
      </w:r>
      <w:r>
        <w:rPr>
          <w:rFonts w:ascii="Arial" w:eastAsia="Arial" w:hAnsi="Arial" w:cs="Arial"/>
          <w:color w:val="000000"/>
          <w:sz w:val="18"/>
        </w:rPr>
        <w:t xml:space="preserve"> </w:t>
      </w:r>
    </w:p>
    <w:p w14:paraId="5D472B62" w14:textId="77777777" w:rsidR="00A2351A" w:rsidRDefault="00A2351A">
      <w:pPr>
        <w:sectPr w:rsidR="00A2351A" w:rsidSect="00330287">
          <w:footerReference w:type="default" r:id="rId14"/>
          <w:pgSz w:w="11900" w:h="16820"/>
          <w:pgMar w:top="1120" w:right="843" w:bottom="1000" w:left="993" w:header="709" w:footer="709" w:gutter="0"/>
          <w:pgNumType w:start="1"/>
          <w:cols w:space="720"/>
          <w:noEndnote/>
        </w:sectPr>
      </w:pPr>
    </w:p>
    <w:p w14:paraId="4FF1C6B8" w14:textId="77777777" w:rsidR="005C2EC2" w:rsidRDefault="005C2EC2" w:rsidP="005C2EC2">
      <w:pPr>
        <w:pStyle w:val="Nadpis2"/>
        <w:rPr>
          <w:i/>
          <w:iCs/>
          <w:sz w:val="13"/>
        </w:rPr>
      </w:pPr>
      <w:bookmarkStart w:id="10" w:name="_Toc39495066"/>
      <w:r>
        <w:lastRenderedPageBreak/>
        <w:t>Společné indikátory a indikátory specifické pro jednotlivé programy (čl. 50 odst. 2 nařízení (EU) č. 1303/2013</w:t>
      </w:r>
      <w:r>
        <w:rPr>
          <w:i/>
          <w:iCs/>
        </w:rPr>
        <w:t>)</w:t>
      </w:r>
      <w:r>
        <w:rPr>
          <w:i/>
          <w:iCs/>
          <w:sz w:val="13"/>
          <w:vertAlign w:val="superscript"/>
        </w:rPr>
        <w:t>(2)</w:t>
      </w:r>
      <w:bookmarkEnd w:id="10"/>
    </w:p>
    <w:p w14:paraId="7BA5CF0B" w14:textId="77777777" w:rsidR="005C2EC2" w:rsidRDefault="005C2EC2">
      <w:pPr>
        <w:tabs>
          <w:tab w:val="left" w:pos="1675"/>
        </w:tabs>
        <w:ind w:left="115" w:right="670"/>
        <w:rPr>
          <w:rFonts w:ascii="Arial" w:eastAsia="Arial" w:hAnsi="Arial" w:cs="Arial"/>
          <w:b/>
          <w:bCs/>
          <w:i/>
          <w:iCs/>
          <w:color w:val="000000"/>
          <w:sz w:val="20"/>
        </w:rPr>
      </w:pPr>
    </w:p>
    <w:p w14:paraId="4F85C674" w14:textId="73E31D2A" w:rsidR="00FD35AB" w:rsidRPr="00C94C8C" w:rsidRDefault="00FD35AB" w:rsidP="00C94C8C">
      <w:pPr>
        <w:tabs>
          <w:tab w:val="left" w:pos="1675"/>
        </w:tabs>
        <w:ind w:left="115" w:right="670"/>
        <w:rPr>
          <w:rFonts w:ascii="Arial" w:eastAsia="Arial" w:hAnsi="Arial" w:cs="Arial"/>
          <w:b/>
          <w:bCs/>
          <w:i/>
          <w:iCs/>
          <w:color w:val="000000"/>
          <w:sz w:val="16"/>
          <w:lang w:val="cs-CZ"/>
        </w:rPr>
      </w:pPr>
      <w:r w:rsidRPr="002F2BE4">
        <w:rPr>
          <w:rFonts w:ascii="Arial" w:eastAsia="Arial" w:hAnsi="Arial" w:cs="Arial"/>
          <w:b/>
          <w:bCs/>
          <w:i/>
          <w:iCs/>
          <w:color w:val="000000"/>
          <w:sz w:val="20"/>
          <w:lang w:val="cs-CZ"/>
        </w:rPr>
        <w:t>Tabulka 2A: Společné indikátory výsledků pro ESF (podle prioritních os, investičních priorit a kategorií regionů). Údaje o všech společných indikátorech výsledků pro ESF (s cílem a bez cíle) je nutno uvést v rozdělení podle pohlaví. V případě prioritní osy „technická pomoc“ jsou vykázány pouze ty společné indikátory, pro něž byl stanoven cíl.</w:t>
      </w:r>
      <w:r w:rsidR="00C94C8C">
        <w:rPr>
          <w:rFonts w:ascii="Arial" w:eastAsia="Arial" w:hAnsi="Arial" w:cs="Arial"/>
          <w:b/>
          <w:bCs/>
          <w:i/>
          <w:iCs/>
          <w:color w:val="000000"/>
          <w:sz w:val="16"/>
          <w:lang w:val="cs-CZ"/>
        </w:rPr>
        <w:t xml:space="preserve"> (4)</w:t>
      </w:r>
    </w:p>
    <w:p w14:paraId="5A1B2C87"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03.1.48 Přístup k zaměstnání pro osoby hledající zaměstnání a neaktivní osoby, včetně dlouhodobě nezaměstnaných a osob vzdálených trhu práce, také prostřednictvím místních iniciativ na podporu zaměstnanosti a mobility pracovníků</w:t>
      </w:r>
    </w:p>
    <w:tbl>
      <w:tblPr>
        <w:tblW w:w="15403" w:type="dxa"/>
        <w:tblInd w:w="75" w:type="dxa"/>
        <w:tblCellMar>
          <w:left w:w="70" w:type="dxa"/>
          <w:right w:w="70" w:type="dxa"/>
        </w:tblCellMar>
        <w:tblLook w:val="04A0" w:firstRow="1" w:lastRow="0" w:firstColumn="1" w:lastColumn="0" w:noHBand="0" w:noVBand="1"/>
      </w:tblPr>
      <w:tblGrid>
        <w:gridCol w:w="927"/>
        <w:gridCol w:w="2451"/>
        <w:gridCol w:w="949"/>
        <w:gridCol w:w="2105"/>
        <w:gridCol w:w="776"/>
        <w:gridCol w:w="887"/>
        <w:gridCol w:w="491"/>
        <w:gridCol w:w="491"/>
        <w:gridCol w:w="491"/>
        <w:gridCol w:w="647"/>
        <w:gridCol w:w="747"/>
        <w:gridCol w:w="669"/>
        <w:gridCol w:w="481"/>
        <w:gridCol w:w="481"/>
        <w:gridCol w:w="481"/>
        <w:gridCol w:w="484"/>
        <w:gridCol w:w="1004"/>
        <w:gridCol w:w="841"/>
      </w:tblGrid>
      <w:tr w:rsidR="00101CBF" w:rsidRPr="00101CBF" w14:paraId="660BE22D" w14:textId="77777777" w:rsidTr="00C94C8C">
        <w:trPr>
          <w:trHeight w:val="20"/>
          <w:tblHeader/>
        </w:trPr>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D12448"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ID</w:t>
            </w:r>
          </w:p>
        </w:tc>
        <w:tc>
          <w:tcPr>
            <w:tcW w:w="27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699CDF"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Indikátor</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B3F220"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Kategorie regionu</w:t>
            </w:r>
          </w:p>
        </w:tc>
        <w:tc>
          <w:tcPr>
            <w:tcW w:w="22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5CA1AD"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Společný indikátor výstupů použitý jako základ pro stanovení cíle</w:t>
            </w:r>
          </w:p>
        </w:tc>
        <w:tc>
          <w:tcPr>
            <w:tcW w:w="7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B31A7A"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Měrná jednotka pro výchozí hodnotu a cíl</w:t>
            </w:r>
          </w:p>
        </w:tc>
        <w:tc>
          <w:tcPr>
            <w:tcW w:w="7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0B8FBD"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Cílová hodnota (2023) (Rozdělení podle pohlaví je pro cíl nepovinné)</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00962233"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2014</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1AAABE85"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2015</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235BAC71"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2016</w:t>
            </w:r>
          </w:p>
        </w:tc>
        <w:tc>
          <w:tcPr>
            <w:tcW w:w="641" w:type="dxa"/>
            <w:tcBorders>
              <w:top w:val="single" w:sz="4" w:space="0" w:color="auto"/>
              <w:left w:val="nil"/>
              <w:bottom w:val="single" w:sz="4" w:space="0" w:color="auto"/>
              <w:right w:val="single" w:sz="4" w:space="0" w:color="auto"/>
            </w:tcBorders>
            <w:shd w:val="clear" w:color="auto" w:fill="auto"/>
            <w:vAlign w:val="center"/>
            <w:hideMark/>
          </w:tcPr>
          <w:p w14:paraId="0EF32BE8"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2017</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21E80BA2"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2018</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5E13055A"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2019</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AC1386F"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2020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19EB752"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2021</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0EB72B8"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2022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39CE3F3"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2023</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54E19DD2"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Kumulativní hodnota (vypočítána automaticky)</w:t>
            </w:r>
          </w:p>
        </w:tc>
        <w:tc>
          <w:tcPr>
            <w:tcW w:w="7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705222"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Míra splnění Rozdělení podle pohlaví je nepovinné</w:t>
            </w:r>
          </w:p>
        </w:tc>
      </w:tr>
      <w:tr w:rsidR="00101CBF" w:rsidRPr="00101CBF" w14:paraId="1FBBF697" w14:textId="77777777" w:rsidTr="00C94C8C">
        <w:trPr>
          <w:trHeight w:val="20"/>
          <w:tblHeader/>
        </w:trPr>
        <w:tc>
          <w:tcPr>
            <w:tcW w:w="796" w:type="dxa"/>
            <w:vMerge/>
            <w:tcBorders>
              <w:top w:val="single" w:sz="4" w:space="0" w:color="auto"/>
              <w:left w:val="single" w:sz="4" w:space="0" w:color="auto"/>
              <w:bottom w:val="single" w:sz="4" w:space="0" w:color="000000"/>
              <w:right w:val="single" w:sz="4" w:space="0" w:color="auto"/>
            </w:tcBorders>
            <w:vAlign w:val="center"/>
            <w:hideMark/>
          </w:tcPr>
          <w:p w14:paraId="70F0D40D" w14:textId="77777777" w:rsidR="00101CBF" w:rsidRPr="00101CBF" w:rsidRDefault="00101CBF" w:rsidP="00101CBF">
            <w:pPr>
              <w:rPr>
                <w:rFonts w:ascii="Arial" w:eastAsia="Times New Roman" w:hAnsi="Arial" w:cs="Arial"/>
                <w:b/>
                <w:bCs/>
                <w:color w:val="000000"/>
                <w:sz w:val="14"/>
                <w:szCs w:val="14"/>
                <w:lang w:val="cs-CZ" w:eastAsia="cs-CZ"/>
              </w:rPr>
            </w:pPr>
          </w:p>
        </w:tc>
        <w:tc>
          <w:tcPr>
            <w:tcW w:w="2725" w:type="dxa"/>
            <w:vMerge/>
            <w:tcBorders>
              <w:top w:val="single" w:sz="4" w:space="0" w:color="auto"/>
              <w:left w:val="single" w:sz="4" w:space="0" w:color="auto"/>
              <w:bottom w:val="single" w:sz="4" w:space="0" w:color="000000"/>
              <w:right w:val="single" w:sz="4" w:space="0" w:color="auto"/>
            </w:tcBorders>
            <w:vAlign w:val="center"/>
            <w:hideMark/>
          </w:tcPr>
          <w:p w14:paraId="6203F2A7" w14:textId="77777777" w:rsidR="00101CBF" w:rsidRPr="00101CBF" w:rsidRDefault="00101CBF" w:rsidP="00101CBF">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14:paraId="4C80DB4A" w14:textId="77777777" w:rsidR="00101CBF" w:rsidRPr="00101CBF" w:rsidRDefault="00101CBF" w:rsidP="00101CBF">
            <w:pPr>
              <w:rPr>
                <w:rFonts w:ascii="Arial" w:eastAsia="Times New Roman" w:hAnsi="Arial" w:cs="Arial"/>
                <w:b/>
                <w:bCs/>
                <w:color w:val="000000"/>
                <w:sz w:val="14"/>
                <w:szCs w:val="14"/>
                <w:lang w:val="cs-CZ" w:eastAsia="cs-CZ"/>
              </w:rPr>
            </w:pPr>
          </w:p>
        </w:tc>
        <w:tc>
          <w:tcPr>
            <w:tcW w:w="2271" w:type="dxa"/>
            <w:vMerge/>
            <w:tcBorders>
              <w:top w:val="single" w:sz="4" w:space="0" w:color="auto"/>
              <w:left w:val="single" w:sz="4" w:space="0" w:color="auto"/>
              <w:bottom w:val="single" w:sz="4" w:space="0" w:color="000000"/>
              <w:right w:val="single" w:sz="4" w:space="0" w:color="auto"/>
            </w:tcBorders>
            <w:vAlign w:val="center"/>
            <w:hideMark/>
          </w:tcPr>
          <w:p w14:paraId="066991EF" w14:textId="77777777" w:rsidR="00101CBF" w:rsidRPr="00101CBF" w:rsidRDefault="00101CBF" w:rsidP="00101CBF">
            <w:pPr>
              <w:rPr>
                <w:rFonts w:ascii="Arial" w:eastAsia="Times New Roman" w:hAnsi="Arial" w:cs="Arial"/>
                <w:b/>
                <w:bCs/>
                <w:color w:val="000000"/>
                <w:sz w:val="14"/>
                <w:szCs w:val="14"/>
                <w:lang w:val="cs-CZ" w:eastAsia="cs-CZ"/>
              </w:rPr>
            </w:pPr>
          </w:p>
        </w:tc>
        <w:tc>
          <w:tcPr>
            <w:tcW w:w="788" w:type="dxa"/>
            <w:vMerge/>
            <w:tcBorders>
              <w:top w:val="single" w:sz="4" w:space="0" w:color="auto"/>
              <w:left w:val="single" w:sz="4" w:space="0" w:color="auto"/>
              <w:bottom w:val="single" w:sz="4" w:space="0" w:color="000000"/>
              <w:right w:val="single" w:sz="4" w:space="0" w:color="auto"/>
            </w:tcBorders>
            <w:vAlign w:val="center"/>
            <w:hideMark/>
          </w:tcPr>
          <w:p w14:paraId="1B102E75" w14:textId="77777777" w:rsidR="00101CBF" w:rsidRPr="00101CBF" w:rsidRDefault="00101CBF" w:rsidP="00101CBF">
            <w:pPr>
              <w:rPr>
                <w:rFonts w:ascii="Arial" w:eastAsia="Times New Roman" w:hAnsi="Arial" w:cs="Arial"/>
                <w:b/>
                <w:bCs/>
                <w:color w:val="000000"/>
                <w:sz w:val="14"/>
                <w:szCs w:val="14"/>
                <w:lang w:val="cs-CZ" w:eastAsia="cs-CZ"/>
              </w:rPr>
            </w:pPr>
          </w:p>
        </w:tc>
        <w:tc>
          <w:tcPr>
            <w:tcW w:w="762" w:type="dxa"/>
            <w:vMerge/>
            <w:tcBorders>
              <w:top w:val="single" w:sz="4" w:space="0" w:color="auto"/>
              <w:left w:val="single" w:sz="4" w:space="0" w:color="auto"/>
              <w:bottom w:val="single" w:sz="4" w:space="0" w:color="000000"/>
              <w:right w:val="single" w:sz="4" w:space="0" w:color="auto"/>
            </w:tcBorders>
            <w:vAlign w:val="center"/>
            <w:hideMark/>
          </w:tcPr>
          <w:p w14:paraId="56D2ED8F" w14:textId="77777777" w:rsidR="00101CBF" w:rsidRPr="00101CBF" w:rsidRDefault="00101CBF" w:rsidP="00101CBF">
            <w:pPr>
              <w:rPr>
                <w:rFonts w:ascii="Arial" w:eastAsia="Times New Roman" w:hAnsi="Arial" w:cs="Arial"/>
                <w:b/>
                <w:bCs/>
                <w:color w:val="000000"/>
                <w:sz w:val="14"/>
                <w:szCs w:val="14"/>
                <w:lang w:val="cs-CZ" w:eastAsia="cs-CZ"/>
              </w:rPr>
            </w:pP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74F0637C"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Roční hodnota</w:t>
            </w:r>
          </w:p>
        </w:tc>
        <w:tc>
          <w:tcPr>
            <w:tcW w:w="863" w:type="dxa"/>
            <w:tcBorders>
              <w:top w:val="nil"/>
              <w:left w:val="nil"/>
              <w:bottom w:val="single" w:sz="4" w:space="0" w:color="auto"/>
              <w:right w:val="single" w:sz="4" w:space="0" w:color="auto"/>
            </w:tcBorders>
            <w:shd w:val="clear" w:color="auto" w:fill="auto"/>
            <w:vAlign w:val="center"/>
            <w:hideMark/>
          </w:tcPr>
          <w:p w14:paraId="45257266"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Celkem</w:t>
            </w:r>
          </w:p>
        </w:tc>
        <w:tc>
          <w:tcPr>
            <w:tcW w:w="723" w:type="dxa"/>
            <w:vMerge/>
            <w:tcBorders>
              <w:top w:val="single" w:sz="4" w:space="0" w:color="auto"/>
              <w:left w:val="single" w:sz="4" w:space="0" w:color="auto"/>
              <w:bottom w:val="single" w:sz="4" w:space="0" w:color="000000"/>
              <w:right w:val="single" w:sz="4" w:space="0" w:color="auto"/>
            </w:tcBorders>
            <w:vAlign w:val="center"/>
            <w:hideMark/>
          </w:tcPr>
          <w:p w14:paraId="48A291B0" w14:textId="77777777" w:rsidR="00101CBF" w:rsidRPr="00101CBF" w:rsidRDefault="00101CBF" w:rsidP="00101CBF">
            <w:pPr>
              <w:rPr>
                <w:rFonts w:ascii="Arial" w:eastAsia="Times New Roman" w:hAnsi="Arial" w:cs="Arial"/>
                <w:b/>
                <w:bCs/>
                <w:color w:val="000000"/>
                <w:sz w:val="14"/>
                <w:szCs w:val="14"/>
                <w:lang w:val="cs-CZ" w:eastAsia="cs-CZ"/>
              </w:rPr>
            </w:pPr>
          </w:p>
        </w:tc>
      </w:tr>
      <w:tr w:rsidR="00101CBF" w:rsidRPr="00101CBF" w14:paraId="73ECC47A" w14:textId="77777777" w:rsidTr="00C94C8C">
        <w:trPr>
          <w:trHeight w:val="20"/>
          <w:tblHeader/>
        </w:trPr>
        <w:tc>
          <w:tcPr>
            <w:tcW w:w="796" w:type="dxa"/>
            <w:vMerge/>
            <w:tcBorders>
              <w:top w:val="single" w:sz="4" w:space="0" w:color="auto"/>
              <w:left w:val="single" w:sz="4" w:space="0" w:color="auto"/>
              <w:bottom w:val="single" w:sz="4" w:space="0" w:color="000000"/>
              <w:right w:val="single" w:sz="4" w:space="0" w:color="auto"/>
            </w:tcBorders>
            <w:vAlign w:val="center"/>
            <w:hideMark/>
          </w:tcPr>
          <w:p w14:paraId="08EFB6AE" w14:textId="77777777" w:rsidR="00101CBF" w:rsidRPr="00101CBF" w:rsidRDefault="00101CBF" w:rsidP="00101CBF">
            <w:pPr>
              <w:rPr>
                <w:rFonts w:ascii="Arial" w:eastAsia="Times New Roman" w:hAnsi="Arial" w:cs="Arial"/>
                <w:b/>
                <w:bCs/>
                <w:color w:val="000000"/>
                <w:sz w:val="14"/>
                <w:szCs w:val="14"/>
                <w:lang w:val="cs-CZ" w:eastAsia="cs-CZ"/>
              </w:rPr>
            </w:pPr>
          </w:p>
        </w:tc>
        <w:tc>
          <w:tcPr>
            <w:tcW w:w="2725" w:type="dxa"/>
            <w:vMerge/>
            <w:tcBorders>
              <w:top w:val="single" w:sz="4" w:space="0" w:color="auto"/>
              <w:left w:val="single" w:sz="4" w:space="0" w:color="auto"/>
              <w:bottom w:val="single" w:sz="4" w:space="0" w:color="000000"/>
              <w:right w:val="single" w:sz="4" w:space="0" w:color="auto"/>
            </w:tcBorders>
            <w:vAlign w:val="center"/>
            <w:hideMark/>
          </w:tcPr>
          <w:p w14:paraId="6F3FF10C" w14:textId="77777777" w:rsidR="00101CBF" w:rsidRPr="00101CBF" w:rsidRDefault="00101CBF" w:rsidP="00101CBF">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14:paraId="030F5046" w14:textId="77777777" w:rsidR="00101CBF" w:rsidRPr="00101CBF" w:rsidRDefault="00101CBF" w:rsidP="00101CBF">
            <w:pPr>
              <w:rPr>
                <w:rFonts w:ascii="Arial" w:eastAsia="Times New Roman" w:hAnsi="Arial" w:cs="Arial"/>
                <w:b/>
                <w:bCs/>
                <w:color w:val="000000"/>
                <w:sz w:val="14"/>
                <w:szCs w:val="14"/>
                <w:lang w:val="cs-CZ" w:eastAsia="cs-CZ"/>
              </w:rPr>
            </w:pPr>
          </w:p>
        </w:tc>
        <w:tc>
          <w:tcPr>
            <w:tcW w:w="2271" w:type="dxa"/>
            <w:vMerge/>
            <w:tcBorders>
              <w:top w:val="single" w:sz="4" w:space="0" w:color="auto"/>
              <w:left w:val="single" w:sz="4" w:space="0" w:color="auto"/>
              <w:bottom w:val="single" w:sz="4" w:space="0" w:color="000000"/>
              <w:right w:val="single" w:sz="4" w:space="0" w:color="auto"/>
            </w:tcBorders>
            <w:vAlign w:val="center"/>
            <w:hideMark/>
          </w:tcPr>
          <w:p w14:paraId="7D874B18" w14:textId="77777777" w:rsidR="00101CBF" w:rsidRPr="00101CBF" w:rsidRDefault="00101CBF" w:rsidP="00101CBF">
            <w:pPr>
              <w:rPr>
                <w:rFonts w:ascii="Arial" w:eastAsia="Times New Roman" w:hAnsi="Arial" w:cs="Arial"/>
                <w:b/>
                <w:bCs/>
                <w:color w:val="000000"/>
                <w:sz w:val="14"/>
                <w:szCs w:val="14"/>
                <w:lang w:val="cs-CZ" w:eastAsia="cs-CZ"/>
              </w:rPr>
            </w:pPr>
          </w:p>
        </w:tc>
        <w:tc>
          <w:tcPr>
            <w:tcW w:w="788" w:type="dxa"/>
            <w:vMerge/>
            <w:tcBorders>
              <w:top w:val="single" w:sz="4" w:space="0" w:color="auto"/>
              <w:left w:val="single" w:sz="4" w:space="0" w:color="auto"/>
              <w:bottom w:val="single" w:sz="4" w:space="0" w:color="000000"/>
              <w:right w:val="single" w:sz="4" w:space="0" w:color="auto"/>
            </w:tcBorders>
            <w:vAlign w:val="center"/>
            <w:hideMark/>
          </w:tcPr>
          <w:p w14:paraId="4A58C45E" w14:textId="77777777" w:rsidR="00101CBF" w:rsidRPr="00101CBF" w:rsidRDefault="00101CBF" w:rsidP="00101CBF">
            <w:pPr>
              <w:rPr>
                <w:rFonts w:ascii="Arial" w:eastAsia="Times New Roman" w:hAnsi="Arial" w:cs="Arial"/>
                <w:b/>
                <w:bCs/>
                <w:color w:val="000000"/>
                <w:sz w:val="14"/>
                <w:szCs w:val="14"/>
                <w:lang w:val="cs-CZ" w:eastAsia="cs-CZ"/>
              </w:rPr>
            </w:pPr>
          </w:p>
        </w:tc>
        <w:tc>
          <w:tcPr>
            <w:tcW w:w="762" w:type="dxa"/>
            <w:vMerge/>
            <w:tcBorders>
              <w:top w:val="single" w:sz="4" w:space="0" w:color="auto"/>
              <w:left w:val="single" w:sz="4" w:space="0" w:color="auto"/>
              <w:bottom w:val="single" w:sz="4" w:space="0" w:color="000000"/>
              <w:right w:val="single" w:sz="4" w:space="0" w:color="auto"/>
            </w:tcBorders>
            <w:vAlign w:val="center"/>
            <w:hideMark/>
          </w:tcPr>
          <w:p w14:paraId="4A72233D" w14:textId="77777777" w:rsidR="00101CBF" w:rsidRPr="00101CBF" w:rsidRDefault="00101CBF" w:rsidP="00101CBF">
            <w:pPr>
              <w:rPr>
                <w:rFonts w:ascii="Arial" w:eastAsia="Times New Roman" w:hAnsi="Arial" w:cs="Arial"/>
                <w:b/>
                <w:bCs/>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17BEB3E1"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489" w:type="dxa"/>
            <w:tcBorders>
              <w:top w:val="nil"/>
              <w:left w:val="nil"/>
              <w:bottom w:val="single" w:sz="4" w:space="0" w:color="auto"/>
              <w:right w:val="single" w:sz="4" w:space="0" w:color="auto"/>
            </w:tcBorders>
            <w:shd w:val="clear" w:color="auto" w:fill="auto"/>
            <w:vAlign w:val="center"/>
            <w:hideMark/>
          </w:tcPr>
          <w:p w14:paraId="0A07749E"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489" w:type="dxa"/>
            <w:tcBorders>
              <w:top w:val="nil"/>
              <w:left w:val="nil"/>
              <w:bottom w:val="single" w:sz="4" w:space="0" w:color="auto"/>
              <w:right w:val="single" w:sz="4" w:space="0" w:color="auto"/>
            </w:tcBorders>
            <w:shd w:val="clear" w:color="auto" w:fill="auto"/>
            <w:vAlign w:val="center"/>
            <w:hideMark/>
          </w:tcPr>
          <w:p w14:paraId="5B117583"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641" w:type="dxa"/>
            <w:tcBorders>
              <w:top w:val="nil"/>
              <w:left w:val="nil"/>
              <w:bottom w:val="single" w:sz="4" w:space="0" w:color="auto"/>
              <w:right w:val="single" w:sz="4" w:space="0" w:color="auto"/>
            </w:tcBorders>
            <w:shd w:val="clear" w:color="auto" w:fill="auto"/>
            <w:vAlign w:val="center"/>
            <w:hideMark/>
          </w:tcPr>
          <w:p w14:paraId="47D6118F"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766" w:type="dxa"/>
            <w:tcBorders>
              <w:top w:val="nil"/>
              <w:left w:val="nil"/>
              <w:bottom w:val="single" w:sz="4" w:space="0" w:color="auto"/>
              <w:right w:val="single" w:sz="4" w:space="0" w:color="auto"/>
            </w:tcBorders>
            <w:shd w:val="clear" w:color="auto" w:fill="auto"/>
            <w:vAlign w:val="center"/>
            <w:hideMark/>
          </w:tcPr>
          <w:p w14:paraId="7A6C7529"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673" w:type="dxa"/>
            <w:tcBorders>
              <w:top w:val="nil"/>
              <w:left w:val="nil"/>
              <w:bottom w:val="single" w:sz="4" w:space="0" w:color="auto"/>
              <w:right w:val="single" w:sz="4" w:space="0" w:color="auto"/>
            </w:tcBorders>
            <w:shd w:val="clear" w:color="auto" w:fill="auto"/>
            <w:vAlign w:val="center"/>
            <w:hideMark/>
          </w:tcPr>
          <w:p w14:paraId="2DD79A69"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486" w:type="dxa"/>
            <w:tcBorders>
              <w:top w:val="nil"/>
              <w:left w:val="nil"/>
              <w:bottom w:val="single" w:sz="4" w:space="0" w:color="auto"/>
              <w:right w:val="single" w:sz="4" w:space="0" w:color="auto"/>
            </w:tcBorders>
            <w:shd w:val="clear" w:color="auto" w:fill="auto"/>
            <w:vAlign w:val="center"/>
            <w:hideMark/>
          </w:tcPr>
          <w:p w14:paraId="434B7301"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486" w:type="dxa"/>
            <w:tcBorders>
              <w:top w:val="nil"/>
              <w:left w:val="nil"/>
              <w:bottom w:val="single" w:sz="4" w:space="0" w:color="auto"/>
              <w:right w:val="single" w:sz="4" w:space="0" w:color="auto"/>
            </w:tcBorders>
            <w:shd w:val="clear" w:color="auto" w:fill="auto"/>
            <w:vAlign w:val="center"/>
            <w:hideMark/>
          </w:tcPr>
          <w:p w14:paraId="4087C46E"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486" w:type="dxa"/>
            <w:tcBorders>
              <w:top w:val="nil"/>
              <w:left w:val="nil"/>
              <w:bottom w:val="single" w:sz="4" w:space="0" w:color="auto"/>
              <w:right w:val="single" w:sz="4" w:space="0" w:color="auto"/>
            </w:tcBorders>
            <w:shd w:val="clear" w:color="auto" w:fill="auto"/>
            <w:vAlign w:val="center"/>
            <w:hideMark/>
          </w:tcPr>
          <w:p w14:paraId="33878C59"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486" w:type="dxa"/>
            <w:tcBorders>
              <w:top w:val="nil"/>
              <w:left w:val="nil"/>
              <w:bottom w:val="single" w:sz="4" w:space="0" w:color="auto"/>
              <w:right w:val="single" w:sz="4" w:space="0" w:color="auto"/>
            </w:tcBorders>
            <w:shd w:val="clear" w:color="auto" w:fill="auto"/>
            <w:vAlign w:val="center"/>
            <w:hideMark/>
          </w:tcPr>
          <w:p w14:paraId="72200ABF"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863" w:type="dxa"/>
            <w:tcBorders>
              <w:top w:val="nil"/>
              <w:left w:val="nil"/>
              <w:bottom w:val="single" w:sz="4" w:space="0" w:color="auto"/>
              <w:right w:val="single" w:sz="4" w:space="0" w:color="auto"/>
            </w:tcBorders>
            <w:shd w:val="clear" w:color="auto" w:fill="auto"/>
            <w:vAlign w:val="center"/>
            <w:hideMark/>
          </w:tcPr>
          <w:p w14:paraId="5249281D"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M</w:t>
            </w:r>
          </w:p>
        </w:tc>
        <w:tc>
          <w:tcPr>
            <w:tcW w:w="723" w:type="dxa"/>
            <w:vMerge/>
            <w:tcBorders>
              <w:top w:val="single" w:sz="4" w:space="0" w:color="auto"/>
              <w:left w:val="single" w:sz="4" w:space="0" w:color="auto"/>
              <w:bottom w:val="single" w:sz="4" w:space="0" w:color="000000"/>
              <w:right w:val="single" w:sz="4" w:space="0" w:color="auto"/>
            </w:tcBorders>
            <w:vAlign w:val="center"/>
            <w:hideMark/>
          </w:tcPr>
          <w:p w14:paraId="5B94BB92" w14:textId="77777777" w:rsidR="00101CBF" w:rsidRPr="00101CBF" w:rsidRDefault="00101CBF" w:rsidP="00101CBF">
            <w:pPr>
              <w:rPr>
                <w:rFonts w:ascii="Arial" w:eastAsia="Times New Roman" w:hAnsi="Arial" w:cs="Arial"/>
                <w:b/>
                <w:bCs/>
                <w:color w:val="000000"/>
                <w:sz w:val="14"/>
                <w:szCs w:val="14"/>
                <w:lang w:val="cs-CZ" w:eastAsia="cs-CZ"/>
              </w:rPr>
            </w:pPr>
          </w:p>
        </w:tc>
      </w:tr>
      <w:tr w:rsidR="00101CBF" w:rsidRPr="00101CBF" w14:paraId="58788CED" w14:textId="77777777" w:rsidTr="00C94C8C">
        <w:trPr>
          <w:trHeight w:val="20"/>
          <w:tblHeader/>
        </w:trPr>
        <w:tc>
          <w:tcPr>
            <w:tcW w:w="796" w:type="dxa"/>
            <w:vMerge/>
            <w:tcBorders>
              <w:top w:val="single" w:sz="4" w:space="0" w:color="auto"/>
              <w:left w:val="single" w:sz="4" w:space="0" w:color="auto"/>
              <w:bottom w:val="single" w:sz="4" w:space="0" w:color="000000"/>
              <w:right w:val="single" w:sz="4" w:space="0" w:color="auto"/>
            </w:tcBorders>
            <w:vAlign w:val="center"/>
            <w:hideMark/>
          </w:tcPr>
          <w:p w14:paraId="5D3A607F" w14:textId="77777777" w:rsidR="00101CBF" w:rsidRPr="00101CBF" w:rsidRDefault="00101CBF" w:rsidP="00101CBF">
            <w:pPr>
              <w:rPr>
                <w:rFonts w:ascii="Arial" w:eastAsia="Times New Roman" w:hAnsi="Arial" w:cs="Arial"/>
                <w:b/>
                <w:bCs/>
                <w:color w:val="000000"/>
                <w:sz w:val="14"/>
                <w:szCs w:val="14"/>
                <w:lang w:val="cs-CZ" w:eastAsia="cs-CZ"/>
              </w:rPr>
            </w:pPr>
          </w:p>
        </w:tc>
        <w:tc>
          <w:tcPr>
            <w:tcW w:w="2725" w:type="dxa"/>
            <w:vMerge/>
            <w:tcBorders>
              <w:top w:val="single" w:sz="4" w:space="0" w:color="auto"/>
              <w:left w:val="single" w:sz="4" w:space="0" w:color="auto"/>
              <w:bottom w:val="single" w:sz="4" w:space="0" w:color="000000"/>
              <w:right w:val="single" w:sz="4" w:space="0" w:color="auto"/>
            </w:tcBorders>
            <w:vAlign w:val="center"/>
            <w:hideMark/>
          </w:tcPr>
          <w:p w14:paraId="2394E2CC" w14:textId="77777777" w:rsidR="00101CBF" w:rsidRPr="00101CBF" w:rsidRDefault="00101CBF" w:rsidP="00101CBF">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14:paraId="21CD6CD9" w14:textId="77777777" w:rsidR="00101CBF" w:rsidRPr="00101CBF" w:rsidRDefault="00101CBF" w:rsidP="00101CBF">
            <w:pPr>
              <w:rPr>
                <w:rFonts w:ascii="Arial" w:eastAsia="Times New Roman" w:hAnsi="Arial" w:cs="Arial"/>
                <w:b/>
                <w:bCs/>
                <w:color w:val="000000"/>
                <w:sz w:val="14"/>
                <w:szCs w:val="14"/>
                <w:lang w:val="cs-CZ" w:eastAsia="cs-CZ"/>
              </w:rPr>
            </w:pPr>
          </w:p>
        </w:tc>
        <w:tc>
          <w:tcPr>
            <w:tcW w:w="2271" w:type="dxa"/>
            <w:vMerge/>
            <w:tcBorders>
              <w:top w:val="single" w:sz="4" w:space="0" w:color="auto"/>
              <w:left w:val="single" w:sz="4" w:space="0" w:color="auto"/>
              <w:bottom w:val="single" w:sz="4" w:space="0" w:color="000000"/>
              <w:right w:val="single" w:sz="4" w:space="0" w:color="auto"/>
            </w:tcBorders>
            <w:vAlign w:val="center"/>
            <w:hideMark/>
          </w:tcPr>
          <w:p w14:paraId="60D59846" w14:textId="77777777" w:rsidR="00101CBF" w:rsidRPr="00101CBF" w:rsidRDefault="00101CBF" w:rsidP="00101CBF">
            <w:pPr>
              <w:rPr>
                <w:rFonts w:ascii="Arial" w:eastAsia="Times New Roman" w:hAnsi="Arial" w:cs="Arial"/>
                <w:b/>
                <w:bCs/>
                <w:color w:val="000000"/>
                <w:sz w:val="14"/>
                <w:szCs w:val="14"/>
                <w:lang w:val="cs-CZ" w:eastAsia="cs-CZ"/>
              </w:rPr>
            </w:pPr>
          </w:p>
        </w:tc>
        <w:tc>
          <w:tcPr>
            <w:tcW w:w="788" w:type="dxa"/>
            <w:vMerge/>
            <w:tcBorders>
              <w:top w:val="single" w:sz="4" w:space="0" w:color="auto"/>
              <w:left w:val="single" w:sz="4" w:space="0" w:color="auto"/>
              <w:bottom w:val="single" w:sz="4" w:space="0" w:color="000000"/>
              <w:right w:val="single" w:sz="4" w:space="0" w:color="auto"/>
            </w:tcBorders>
            <w:vAlign w:val="center"/>
            <w:hideMark/>
          </w:tcPr>
          <w:p w14:paraId="7D3F8E4B" w14:textId="77777777" w:rsidR="00101CBF" w:rsidRPr="00101CBF" w:rsidRDefault="00101CBF" w:rsidP="00101CBF">
            <w:pPr>
              <w:rPr>
                <w:rFonts w:ascii="Arial" w:eastAsia="Times New Roman" w:hAnsi="Arial" w:cs="Arial"/>
                <w:b/>
                <w:bCs/>
                <w:color w:val="000000"/>
                <w:sz w:val="14"/>
                <w:szCs w:val="14"/>
                <w:lang w:val="cs-CZ" w:eastAsia="cs-CZ"/>
              </w:rPr>
            </w:pPr>
          </w:p>
        </w:tc>
        <w:tc>
          <w:tcPr>
            <w:tcW w:w="762" w:type="dxa"/>
            <w:vMerge/>
            <w:tcBorders>
              <w:top w:val="single" w:sz="4" w:space="0" w:color="auto"/>
              <w:left w:val="single" w:sz="4" w:space="0" w:color="auto"/>
              <w:bottom w:val="single" w:sz="4" w:space="0" w:color="000000"/>
              <w:right w:val="single" w:sz="4" w:space="0" w:color="auto"/>
            </w:tcBorders>
            <w:vAlign w:val="center"/>
            <w:hideMark/>
          </w:tcPr>
          <w:p w14:paraId="0A42BD6C" w14:textId="77777777" w:rsidR="00101CBF" w:rsidRPr="00101CBF" w:rsidRDefault="00101CBF" w:rsidP="00101CBF">
            <w:pPr>
              <w:rPr>
                <w:rFonts w:ascii="Arial" w:eastAsia="Times New Roman" w:hAnsi="Arial" w:cs="Arial"/>
                <w:b/>
                <w:bCs/>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3D699A8C"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489" w:type="dxa"/>
            <w:tcBorders>
              <w:top w:val="nil"/>
              <w:left w:val="nil"/>
              <w:bottom w:val="single" w:sz="4" w:space="0" w:color="auto"/>
              <w:right w:val="single" w:sz="4" w:space="0" w:color="auto"/>
            </w:tcBorders>
            <w:shd w:val="clear" w:color="auto" w:fill="auto"/>
            <w:vAlign w:val="center"/>
            <w:hideMark/>
          </w:tcPr>
          <w:p w14:paraId="175ABD2F"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489" w:type="dxa"/>
            <w:tcBorders>
              <w:top w:val="nil"/>
              <w:left w:val="nil"/>
              <w:bottom w:val="single" w:sz="4" w:space="0" w:color="auto"/>
              <w:right w:val="single" w:sz="4" w:space="0" w:color="auto"/>
            </w:tcBorders>
            <w:shd w:val="clear" w:color="auto" w:fill="auto"/>
            <w:vAlign w:val="center"/>
            <w:hideMark/>
          </w:tcPr>
          <w:p w14:paraId="0F188320"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641" w:type="dxa"/>
            <w:tcBorders>
              <w:top w:val="nil"/>
              <w:left w:val="nil"/>
              <w:bottom w:val="single" w:sz="4" w:space="0" w:color="auto"/>
              <w:right w:val="single" w:sz="4" w:space="0" w:color="auto"/>
            </w:tcBorders>
            <w:shd w:val="clear" w:color="auto" w:fill="auto"/>
            <w:vAlign w:val="center"/>
            <w:hideMark/>
          </w:tcPr>
          <w:p w14:paraId="3A6B2E4E"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766" w:type="dxa"/>
            <w:tcBorders>
              <w:top w:val="nil"/>
              <w:left w:val="nil"/>
              <w:bottom w:val="single" w:sz="4" w:space="0" w:color="auto"/>
              <w:right w:val="single" w:sz="4" w:space="0" w:color="auto"/>
            </w:tcBorders>
            <w:shd w:val="clear" w:color="auto" w:fill="auto"/>
            <w:vAlign w:val="center"/>
            <w:hideMark/>
          </w:tcPr>
          <w:p w14:paraId="3CDC2B58"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673" w:type="dxa"/>
            <w:tcBorders>
              <w:top w:val="nil"/>
              <w:left w:val="nil"/>
              <w:bottom w:val="single" w:sz="4" w:space="0" w:color="auto"/>
              <w:right w:val="single" w:sz="4" w:space="0" w:color="auto"/>
            </w:tcBorders>
            <w:shd w:val="clear" w:color="auto" w:fill="auto"/>
            <w:vAlign w:val="center"/>
            <w:hideMark/>
          </w:tcPr>
          <w:p w14:paraId="6577B3F8"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486" w:type="dxa"/>
            <w:tcBorders>
              <w:top w:val="nil"/>
              <w:left w:val="nil"/>
              <w:bottom w:val="single" w:sz="4" w:space="0" w:color="auto"/>
              <w:right w:val="single" w:sz="4" w:space="0" w:color="auto"/>
            </w:tcBorders>
            <w:shd w:val="clear" w:color="auto" w:fill="auto"/>
            <w:vAlign w:val="center"/>
            <w:hideMark/>
          </w:tcPr>
          <w:p w14:paraId="3C402B9A"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486" w:type="dxa"/>
            <w:tcBorders>
              <w:top w:val="nil"/>
              <w:left w:val="nil"/>
              <w:bottom w:val="single" w:sz="4" w:space="0" w:color="auto"/>
              <w:right w:val="single" w:sz="4" w:space="0" w:color="auto"/>
            </w:tcBorders>
            <w:shd w:val="clear" w:color="auto" w:fill="auto"/>
            <w:vAlign w:val="center"/>
            <w:hideMark/>
          </w:tcPr>
          <w:p w14:paraId="04D58C1D"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486" w:type="dxa"/>
            <w:tcBorders>
              <w:top w:val="nil"/>
              <w:left w:val="nil"/>
              <w:bottom w:val="single" w:sz="4" w:space="0" w:color="auto"/>
              <w:right w:val="single" w:sz="4" w:space="0" w:color="auto"/>
            </w:tcBorders>
            <w:shd w:val="clear" w:color="auto" w:fill="auto"/>
            <w:vAlign w:val="center"/>
            <w:hideMark/>
          </w:tcPr>
          <w:p w14:paraId="0F6CEDDC"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486" w:type="dxa"/>
            <w:tcBorders>
              <w:top w:val="nil"/>
              <w:left w:val="nil"/>
              <w:bottom w:val="single" w:sz="4" w:space="0" w:color="auto"/>
              <w:right w:val="single" w:sz="4" w:space="0" w:color="auto"/>
            </w:tcBorders>
            <w:shd w:val="clear" w:color="auto" w:fill="auto"/>
            <w:vAlign w:val="center"/>
            <w:hideMark/>
          </w:tcPr>
          <w:p w14:paraId="60EDC2AC"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863" w:type="dxa"/>
            <w:tcBorders>
              <w:top w:val="nil"/>
              <w:left w:val="nil"/>
              <w:bottom w:val="single" w:sz="4" w:space="0" w:color="auto"/>
              <w:right w:val="single" w:sz="4" w:space="0" w:color="auto"/>
            </w:tcBorders>
            <w:shd w:val="clear" w:color="auto" w:fill="auto"/>
            <w:vAlign w:val="center"/>
            <w:hideMark/>
          </w:tcPr>
          <w:p w14:paraId="1C5231B4" w14:textId="77777777" w:rsidR="00101CBF" w:rsidRPr="00101CBF" w:rsidRDefault="00101CBF" w:rsidP="00101CBF">
            <w:pPr>
              <w:jc w:val="center"/>
              <w:rPr>
                <w:rFonts w:ascii="Arial" w:eastAsia="Times New Roman" w:hAnsi="Arial" w:cs="Arial"/>
                <w:b/>
                <w:bCs/>
                <w:color w:val="000000"/>
                <w:sz w:val="14"/>
                <w:szCs w:val="14"/>
                <w:lang w:val="cs-CZ" w:eastAsia="cs-CZ"/>
              </w:rPr>
            </w:pPr>
            <w:r w:rsidRPr="00101CBF">
              <w:rPr>
                <w:rFonts w:ascii="Arial" w:eastAsia="Times New Roman" w:hAnsi="Arial" w:cs="Arial"/>
                <w:b/>
                <w:bCs/>
                <w:color w:val="000000"/>
                <w:sz w:val="14"/>
                <w:szCs w:val="14"/>
                <w:lang w:val="cs-CZ" w:eastAsia="cs-CZ"/>
              </w:rPr>
              <w:t>Ž</w:t>
            </w:r>
          </w:p>
        </w:tc>
        <w:tc>
          <w:tcPr>
            <w:tcW w:w="723" w:type="dxa"/>
            <w:vMerge/>
            <w:tcBorders>
              <w:top w:val="single" w:sz="4" w:space="0" w:color="auto"/>
              <w:left w:val="single" w:sz="4" w:space="0" w:color="auto"/>
              <w:bottom w:val="single" w:sz="4" w:space="0" w:color="000000"/>
              <w:right w:val="single" w:sz="4" w:space="0" w:color="auto"/>
            </w:tcBorders>
            <w:vAlign w:val="center"/>
            <w:hideMark/>
          </w:tcPr>
          <w:p w14:paraId="18498B7A" w14:textId="77777777" w:rsidR="00101CBF" w:rsidRPr="00101CBF" w:rsidRDefault="00101CBF" w:rsidP="00101CBF">
            <w:pPr>
              <w:rPr>
                <w:rFonts w:ascii="Arial" w:eastAsia="Times New Roman" w:hAnsi="Arial" w:cs="Arial"/>
                <w:b/>
                <w:bCs/>
                <w:color w:val="000000"/>
                <w:sz w:val="14"/>
                <w:szCs w:val="14"/>
                <w:lang w:val="cs-CZ" w:eastAsia="cs-CZ"/>
              </w:rPr>
            </w:pPr>
          </w:p>
        </w:tc>
      </w:tr>
      <w:tr w:rsidR="00101CBF" w:rsidRPr="00101CBF" w14:paraId="5193C032"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23C3567D"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62400/CR01</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17D9AC97"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Neaktivní účastníci, kteří znovu začali hledat zaměstnání po ukončení své účasti</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14BED2A8"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Méně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77A43A8A"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60300 Neaktivní účastníci</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7266B338"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68F66B8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3 334,000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5088AB9B"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62C39A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09AD1F3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r>
      <w:tr w:rsidR="00101CBF" w:rsidRPr="00101CBF" w14:paraId="1D6D1A38"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2C412CFC"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5B678BD3"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E6BF40C"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7E7E3464"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4AACDDD5"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64C717CF"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44E93B7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429B00D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4F7C5CA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70FB21A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6D46B2D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73" w:type="dxa"/>
            <w:tcBorders>
              <w:top w:val="nil"/>
              <w:left w:val="nil"/>
              <w:bottom w:val="single" w:sz="4" w:space="0" w:color="auto"/>
              <w:right w:val="single" w:sz="4" w:space="0" w:color="auto"/>
            </w:tcBorders>
            <w:shd w:val="clear" w:color="auto" w:fill="auto"/>
            <w:vAlign w:val="center"/>
            <w:hideMark/>
          </w:tcPr>
          <w:p w14:paraId="4C48FFA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2783D5F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7B48F6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4EECD2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841C78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1E908F3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23" w:type="dxa"/>
            <w:vMerge/>
            <w:tcBorders>
              <w:top w:val="nil"/>
              <w:left w:val="single" w:sz="4" w:space="0" w:color="auto"/>
              <w:bottom w:val="single" w:sz="4" w:space="0" w:color="000000"/>
              <w:right w:val="single" w:sz="4" w:space="0" w:color="auto"/>
            </w:tcBorders>
            <w:vAlign w:val="center"/>
            <w:hideMark/>
          </w:tcPr>
          <w:p w14:paraId="2AD3E10B"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1B4DE961"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7D93AB29"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251A356A"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97FDE2C"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397B46CE"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49581A63"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53F921BA"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178FCDA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02D0C3B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DF1846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5571F28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0F715CD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73" w:type="dxa"/>
            <w:tcBorders>
              <w:top w:val="nil"/>
              <w:left w:val="nil"/>
              <w:bottom w:val="single" w:sz="4" w:space="0" w:color="auto"/>
              <w:right w:val="single" w:sz="4" w:space="0" w:color="auto"/>
            </w:tcBorders>
            <w:shd w:val="clear" w:color="auto" w:fill="auto"/>
            <w:vAlign w:val="center"/>
            <w:hideMark/>
          </w:tcPr>
          <w:p w14:paraId="0B026D8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772FD4D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1041F6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636A02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8AA757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4E69739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23" w:type="dxa"/>
            <w:vMerge/>
            <w:tcBorders>
              <w:top w:val="nil"/>
              <w:left w:val="single" w:sz="4" w:space="0" w:color="auto"/>
              <w:bottom w:val="single" w:sz="4" w:space="0" w:color="000000"/>
              <w:right w:val="single" w:sz="4" w:space="0" w:color="auto"/>
            </w:tcBorders>
            <w:vAlign w:val="center"/>
            <w:hideMark/>
          </w:tcPr>
          <w:p w14:paraId="3E854FA9"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34D1F266"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16FEDFB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62400/CR01</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4AD85EA5"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Neaktivní účastníci, kteří znovu začali hledat zaměstnání po ukončení své účasti</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9B3B58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Více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2E4726B3"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60300 Neaktivní účastníci</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7AA47F2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13AE40F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166,000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1EFE7F06"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45BCD5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70E24DD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r>
      <w:tr w:rsidR="00101CBF" w:rsidRPr="00101CBF" w14:paraId="471A1492"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754D0818"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273C8724"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81944D2"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5C7216D6"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1FE2F4D3"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60D6F766"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31DDFF7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2C9E31E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4BEE25B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0A28D3E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5B567EF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73" w:type="dxa"/>
            <w:tcBorders>
              <w:top w:val="nil"/>
              <w:left w:val="nil"/>
              <w:bottom w:val="single" w:sz="4" w:space="0" w:color="auto"/>
              <w:right w:val="single" w:sz="4" w:space="0" w:color="auto"/>
            </w:tcBorders>
            <w:shd w:val="clear" w:color="auto" w:fill="auto"/>
            <w:vAlign w:val="center"/>
            <w:hideMark/>
          </w:tcPr>
          <w:p w14:paraId="2051A41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771108C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38BA9B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FFBAED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5707A7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77176FA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23" w:type="dxa"/>
            <w:vMerge/>
            <w:tcBorders>
              <w:top w:val="nil"/>
              <w:left w:val="single" w:sz="4" w:space="0" w:color="auto"/>
              <w:bottom w:val="single" w:sz="4" w:space="0" w:color="000000"/>
              <w:right w:val="single" w:sz="4" w:space="0" w:color="auto"/>
            </w:tcBorders>
            <w:vAlign w:val="center"/>
            <w:hideMark/>
          </w:tcPr>
          <w:p w14:paraId="5923A266"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7CAADEF2"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4E9405FF"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1FB6E320"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6341426"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56F5C142"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2D03D772"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076CFB6C"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7AF60AE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4C0CB08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DDE2EC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6FB6219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3932D99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73" w:type="dxa"/>
            <w:tcBorders>
              <w:top w:val="nil"/>
              <w:left w:val="nil"/>
              <w:bottom w:val="single" w:sz="4" w:space="0" w:color="auto"/>
              <w:right w:val="single" w:sz="4" w:space="0" w:color="auto"/>
            </w:tcBorders>
            <w:shd w:val="clear" w:color="auto" w:fill="auto"/>
            <w:vAlign w:val="center"/>
            <w:hideMark/>
          </w:tcPr>
          <w:p w14:paraId="6ED28A4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1E100C3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8B1002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95ED8A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6A9DF9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DF2D5A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23" w:type="dxa"/>
            <w:vMerge/>
            <w:tcBorders>
              <w:top w:val="nil"/>
              <w:left w:val="single" w:sz="4" w:space="0" w:color="auto"/>
              <w:bottom w:val="single" w:sz="4" w:space="0" w:color="000000"/>
              <w:right w:val="single" w:sz="4" w:space="0" w:color="auto"/>
            </w:tcBorders>
            <w:vAlign w:val="center"/>
            <w:hideMark/>
          </w:tcPr>
          <w:p w14:paraId="17FA696B"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1D681B3A"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4237E924"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62600/CR03</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75F7F466"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kteří získali kvalifikaci po ukončení své účasti</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467E397"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Méně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6092FF7B"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025FF38B"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360ED78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63 500,000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726EA963"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1A6521E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35 132,000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34D2FE0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55,326%</w:t>
            </w:r>
          </w:p>
        </w:tc>
      </w:tr>
      <w:tr w:rsidR="00101CBF" w:rsidRPr="00101CBF" w14:paraId="610D7640"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3DE93AE4"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378506DC"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564EB16"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0B9B5136"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60872A28"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3C691A72"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2728600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52F9CE5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546E47A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2,000</w:t>
            </w:r>
          </w:p>
        </w:tc>
        <w:tc>
          <w:tcPr>
            <w:tcW w:w="641" w:type="dxa"/>
            <w:tcBorders>
              <w:top w:val="nil"/>
              <w:left w:val="nil"/>
              <w:bottom w:val="single" w:sz="4" w:space="0" w:color="auto"/>
              <w:right w:val="single" w:sz="4" w:space="0" w:color="auto"/>
            </w:tcBorders>
            <w:shd w:val="clear" w:color="auto" w:fill="auto"/>
            <w:vAlign w:val="center"/>
            <w:hideMark/>
          </w:tcPr>
          <w:p w14:paraId="25BFE6A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361,000</w:t>
            </w:r>
          </w:p>
        </w:tc>
        <w:tc>
          <w:tcPr>
            <w:tcW w:w="766" w:type="dxa"/>
            <w:tcBorders>
              <w:top w:val="nil"/>
              <w:left w:val="nil"/>
              <w:bottom w:val="single" w:sz="4" w:space="0" w:color="auto"/>
              <w:right w:val="single" w:sz="4" w:space="0" w:color="auto"/>
            </w:tcBorders>
            <w:shd w:val="clear" w:color="auto" w:fill="auto"/>
            <w:vAlign w:val="center"/>
            <w:hideMark/>
          </w:tcPr>
          <w:p w14:paraId="4DFF65D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8 470,000</w:t>
            </w:r>
          </w:p>
        </w:tc>
        <w:tc>
          <w:tcPr>
            <w:tcW w:w="673" w:type="dxa"/>
            <w:tcBorders>
              <w:top w:val="nil"/>
              <w:left w:val="nil"/>
              <w:bottom w:val="single" w:sz="4" w:space="0" w:color="auto"/>
              <w:right w:val="single" w:sz="4" w:space="0" w:color="auto"/>
            </w:tcBorders>
            <w:shd w:val="clear" w:color="auto" w:fill="auto"/>
            <w:vAlign w:val="center"/>
            <w:hideMark/>
          </w:tcPr>
          <w:p w14:paraId="59F38BA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5 260,000</w:t>
            </w:r>
          </w:p>
        </w:tc>
        <w:tc>
          <w:tcPr>
            <w:tcW w:w="486" w:type="dxa"/>
            <w:tcBorders>
              <w:top w:val="nil"/>
              <w:left w:val="nil"/>
              <w:bottom w:val="single" w:sz="4" w:space="0" w:color="auto"/>
              <w:right w:val="single" w:sz="4" w:space="0" w:color="auto"/>
            </w:tcBorders>
            <w:shd w:val="clear" w:color="auto" w:fill="auto"/>
            <w:vAlign w:val="center"/>
            <w:hideMark/>
          </w:tcPr>
          <w:p w14:paraId="6F42551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EC867F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949698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062A1C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02E6516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14 093,000</w:t>
            </w:r>
          </w:p>
        </w:tc>
        <w:tc>
          <w:tcPr>
            <w:tcW w:w="723" w:type="dxa"/>
            <w:vMerge/>
            <w:tcBorders>
              <w:top w:val="nil"/>
              <w:left w:val="single" w:sz="4" w:space="0" w:color="auto"/>
              <w:bottom w:val="single" w:sz="4" w:space="0" w:color="000000"/>
              <w:right w:val="single" w:sz="4" w:space="0" w:color="auto"/>
            </w:tcBorders>
            <w:vAlign w:val="center"/>
            <w:hideMark/>
          </w:tcPr>
          <w:p w14:paraId="58CD8FAB"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301D220E"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5C7E7201"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79E87AC2"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6BA61FB"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174DBD9E"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1C700B4D"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116E4598"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4E7089A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4E5E60D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5B57A9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3,000</w:t>
            </w:r>
          </w:p>
        </w:tc>
        <w:tc>
          <w:tcPr>
            <w:tcW w:w="641" w:type="dxa"/>
            <w:tcBorders>
              <w:top w:val="nil"/>
              <w:left w:val="nil"/>
              <w:bottom w:val="single" w:sz="4" w:space="0" w:color="auto"/>
              <w:right w:val="single" w:sz="4" w:space="0" w:color="auto"/>
            </w:tcBorders>
            <w:shd w:val="clear" w:color="auto" w:fill="auto"/>
            <w:vAlign w:val="center"/>
            <w:hideMark/>
          </w:tcPr>
          <w:p w14:paraId="6E2C909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634,000</w:t>
            </w:r>
          </w:p>
        </w:tc>
        <w:tc>
          <w:tcPr>
            <w:tcW w:w="766" w:type="dxa"/>
            <w:tcBorders>
              <w:top w:val="nil"/>
              <w:left w:val="nil"/>
              <w:bottom w:val="single" w:sz="4" w:space="0" w:color="auto"/>
              <w:right w:val="single" w:sz="4" w:space="0" w:color="auto"/>
            </w:tcBorders>
            <w:shd w:val="clear" w:color="auto" w:fill="auto"/>
            <w:vAlign w:val="center"/>
            <w:hideMark/>
          </w:tcPr>
          <w:p w14:paraId="3EB4420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12 265,000</w:t>
            </w:r>
          </w:p>
        </w:tc>
        <w:tc>
          <w:tcPr>
            <w:tcW w:w="673" w:type="dxa"/>
            <w:tcBorders>
              <w:top w:val="nil"/>
              <w:left w:val="nil"/>
              <w:bottom w:val="single" w:sz="4" w:space="0" w:color="auto"/>
              <w:right w:val="single" w:sz="4" w:space="0" w:color="auto"/>
            </w:tcBorders>
            <w:shd w:val="clear" w:color="auto" w:fill="auto"/>
            <w:vAlign w:val="center"/>
            <w:hideMark/>
          </w:tcPr>
          <w:p w14:paraId="2456F25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8 137,000</w:t>
            </w:r>
          </w:p>
        </w:tc>
        <w:tc>
          <w:tcPr>
            <w:tcW w:w="486" w:type="dxa"/>
            <w:tcBorders>
              <w:top w:val="nil"/>
              <w:left w:val="nil"/>
              <w:bottom w:val="single" w:sz="4" w:space="0" w:color="auto"/>
              <w:right w:val="single" w:sz="4" w:space="0" w:color="auto"/>
            </w:tcBorders>
            <w:shd w:val="clear" w:color="auto" w:fill="auto"/>
            <w:vAlign w:val="center"/>
            <w:hideMark/>
          </w:tcPr>
          <w:p w14:paraId="369B087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4A0541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5C692D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DFBA9C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AAC29A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21 039,000</w:t>
            </w:r>
          </w:p>
        </w:tc>
        <w:tc>
          <w:tcPr>
            <w:tcW w:w="723" w:type="dxa"/>
            <w:vMerge/>
            <w:tcBorders>
              <w:top w:val="nil"/>
              <w:left w:val="single" w:sz="4" w:space="0" w:color="auto"/>
              <w:bottom w:val="single" w:sz="4" w:space="0" w:color="000000"/>
              <w:right w:val="single" w:sz="4" w:space="0" w:color="auto"/>
            </w:tcBorders>
            <w:vAlign w:val="center"/>
            <w:hideMark/>
          </w:tcPr>
          <w:p w14:paraId="69C7C6A9"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491A93D1"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68B032B3"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62600/CR03</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4A95DF09"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kteří získali kvalifikaci po ukončení své účasti</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729A2639"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Více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1EB93D43"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43700430"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3B5D7EE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3 141,000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0CDA391D"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ACDD52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2 164,000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35779EF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68,895%</w:t>
            </w:r>
          </w:p>
        </w:tc>
      </w:tr>
      <w:tr w:rsidR="00101CBF" w:rsidRPr="00101CBF" w14:paraId="4D1B9DE5"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1BA59F35"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3BD96568"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E14269E"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061A3B17"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3759A3F8"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04F426EE"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2586370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28F9D4B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362742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430DF54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1,000</w:t>
            </w:r>
          </w:p>
        </w:tc>
        <w:tc>
          <w:tcPr>
            <w:tcW w:w="766" w:type="dxa"/>
            <w:tcBorders>
              <w:top w:val="nil"/>
              <w:left w:val="nil"/>
              <w:bottom w:val="single" w:sz="4" w:space="0" w:color="auto"/>
              <w:right w:val="single" w:sz="4" w:space="0" w:color="auto"/>
            </w:tcBorders>
            <w:shd w:val="clear" w:color="auto" w:fill="auto"/>
            <w:vAlign w:val="center"/>
            <w:hideMark/>
          </w:tcPr>
          <w:p w14:paraId="0988404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629,000</w:t>
            </w:r>
          </w:p>
        </w:tc>
        <w:tc>
          <w:tcPr>
            <w:tcW w:w="673" w:type="dxa"/>
            <w:tcBorders>
              <w:top w:val="nil"/>
              <w:left w:val="nil"/>
              <w:bottom w:val="single" w:sz="4" w:space="0" w:color="auto"/>
              <w:right w:val="single" w:sz="4" w:space="0" w:color="auto"/>
            </w:tcBorders>
            <w:shd w:val="clear" w:color="auto" w:fill="auto"/>
            <w:vAlign w:val="center"/>
            <w:hideMark/>
          </w:tcPr>
          <w:p w14:paraId="4B15905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266,000</w:t>
            </w:r>
          </w:p>
        </w:tc>
        <w:tc>
          <w:tcPr>
            <w:tcW w:w="486" w:type="dxa"/>
            <w:tcBorders>
              <w:top w:val="nil"/>
              <w:left w:val="nil"/>
              <w:bottom w:val="single" w:sz="4" w:space="0" w:color="auto"/>
              <w:right w:val="single" w:sz="4" w:space="0" w:color="auto"/>
            </w:tcBorders>
            <w:shd w:val="clear" w:color="auto" w:fill="auto"/>
            <w:vAlign w:val="center"/>
            <w:hideMark/>
          </w:tcPr>
          <w:p w14:paraId="154F698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290D0B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8A3C07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D1A7F3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C8F952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896,000</w:t>
            </w:r>
          </w:p>
        </w:tc>
        <w:tc>
          <w:tcPr>
            <w:tcW w:w="723" w:type="dxa"/>
            <w:vMerge/>
            <w:tcBorders>
              <w:top w:val="nil"/>
              <w:left w:val="single" w:sz="4" w:space="0" w:color="auto"/>
              <w:bottom w:val="single" w:sz="4" w:space="0" w:color="000000"/>
              <w:right w:val="single" w:sz="4" w:space="0" w:color="auto"/>
            </w:tcBorders>
            <w:vAlign w:val="center"/>
            <w:hideMark/>
          </w:tcPr>
          <w:p w14:paraId="5B5AFFFE"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0F6978AC"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3785463D"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0EE46928"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BA2D295"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6075A107"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1BAF6FF9"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3467628C"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7D3C6C7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2195E9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724E35B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3D6ED70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3,000</w:t>
            </w:r>
          </w:p>
        </w:tc>
        <w:tc>
          <w:tcPr>
            <w:tcW w:w="766" w:type="dxa"/>
            <w:tcBorders>
              <w:top w:val="nil"/>
              <w:left w:val="nil"/>
              <w:bottom w:val="single" w:sz="4" w:space="0" w:color="auto"/>
              <w:right w:val="single" w:sz="4" w:space="0" w:color="auto"/>
            </w:tcBorders>
            <w:shd w:val="clear" w:color="auto" w:fill="auto"/>
            <w:vAlign w:val="center"/>
            <w:hideMark/>
          </w:tcPr>
          <w:p w14:paraId="603B76E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878,000</w:t>
            </w:r>
          </w:p>
        </w:tc>
        <w:tc>
          <w:tcPr>
            <w:tcW w:w="673" w:type="dxa"/>
            <w:tcBorders>
              <w:top w:val="nil"/>
              <w:left w:val="nil"/>
              <w:bottom w:val="single" w:sz="4" w:space="0" w:color="auto"/>
              <w:right w:val="single" w:sz="4" w:space="0" w:color="auto"/>
            </w:tcBorders>
            <w:shd w:val="clear" w:color="auto" w:fill="auto"/>
            <w:vAlign w:val="center"/>
            <w:hideMark/>
          </w:tcPr>
          <w:p w14:paraId="644DCD4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387,000</w:t>
            </w:r>
          </w:p>
        </w:tc>
        <w:tc>
          <w:tcPr>
            <w:tcW w:w="486" w:type="dxa"/>
            <w:tcBorders>
              <w:top w:val="nil"/>
              <w:left w:val="nil"/>
              <w:bottom w:val="single" w:sz="4" w:space="0" w:color="auto"/>
              <w:right w:val="single" w:sz="4" w:space="0" w:color="auto"/>
            </w:tcBorders>
            <w:shd w:val="clear" w:color="auto" w:fill="auto"/>
            <w:vAlign w:val="center"/>
            <w:hideMark/>
          </w:tcPr>
          <w:p w14:paraId="17C896E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550DBC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A0D2BC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65639A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4EDAD6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1 268,000</w:t>
            </w:r>
          </w:p>
        </w:tc>
        <w:tc>
          <w:tcPr>
            <w:tcW w:w="723" w:type="dxa"/>
            <w:vMerge/>
            <w:tcBorders>
              <w:top w:val="nil"/>
              <w:left w:val="single" w:sz="4" w:space="0" w:color="auto"/>
              <w:bottom w:val="single" w:sz="4" w:space="0" w:color="auto"/>
              <w:right w:val="single" w:sz="4" w:space="0" w:color="auto"/>
            </w:tcBorders>
            <w:vAlign w:val="center"/>
            <w:hideMark/>
          </w:tcPr>
          <w:p w14:paraId="4D213E8D"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4CB90852"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5C4722F8"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62700/CR04</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30155EAF"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zaměstnaní po ukončení své účasti, včetně OSVČ</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EDE2A34"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Méně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6C05E36E"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60100 Nezaměstnaní účastníci, včetně dlouhodobě nezaměstnaných</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38F2EB4C"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5A3991A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55 950,000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6D95CC12"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6C2B9E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107 674,000</w:t>
            </w:r>
          </w:p>
        </w:tc>
        <w:tc>
          <w:tcPr>
            <w:tcW w:w="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6304B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192,447%</w:t>
            </w:r>
          </w:p>
        </w:tc>
      </w:tr>
      <w:tr w:rsidR="00101CBF" w:rsidRPr="00101CBF" w14:paraId="4AF4AB32"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718106D4"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7DEFF96F"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A41126E"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2D6CF096"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47567040"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5A1D2535"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2B2959E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C6B42E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9F3143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2D5AD8D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321,000</w:t>
            </w:r>
          </w:p>
        </w:tc>
        <w:tc>
          <w:tcPr>
            <w:tcW w:w="766" w:type="dxa"/>
            <w:tcBorders>
              <w:top w:val="nil"/>
              <w:left w:val="nil"/>
              <w:bottom w:val="single" w:sz="4" w:space="0" w:color="auto"/>
              <w:right w:val="single" w:sz="4" w:space="0" w:color="auto"/>
            </w:tcBorders>
            <w:shd w:val="clear" w:color="auto" w:fill="auto"/>
            <w:vAlign w:val="center"/>
            <w:hideMark/>
          </w:tcPr>
          <w:p w14:paraId="113DBB0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32 191,000</w:t>
            </w:r>
          </w:p>
        </w:tc>
        <w:tc>
          <w:tcPr>
            <w:tcW w:w="673" w:type="dxa"/>
            <w:tcBorders>
              <w:top w:val="nil"/>
              <w:left w:val="nil"/>
              <w:bottom w:val="single" w:sz="4" w:space="0" w:color="auto"/>
              <w:right w:val="single" w:sz="4" w:space="0" w:color="auto"/>
            </w:tcBorders>
            <w:shd w:val="clear" w:color="auto" w:fill="auto"/>
            <w:vAlign w:val="center"/>
            <w:hideMark/>
          </w:tcPr>
          <w:p w14:paraId="083CA5E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16 048,000</w:t>
            </w:r>
          </w:p>
        </w:tc>
        <w:tc>
          <w:tcPr>
            <w:tcW w:w="486" w:type="dxa"/>
            <w:tcBorders>
              <w:top w:val="nil"/>
              <w:left w:val="nil"/>
              <w:bottom w:val="single" w:sz="4" w:space="0" w:color="auto"/>
              <w:right w:val="single" w:sz="4" w:space="0" w:color="auto"/>
            </w:tcBorders>
            <w:shd w:val="clear" w:color="auto" w:fill="auto"/>
            <w:vAlign w:val="center"/>
            <w:hideMark/>
          </w:tcPr>
          <w:p w14:paraId="19B4744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ADD322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2D955F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6C391C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47BBC60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48 560,000</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9A99CE5"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1F260A61"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27588B3C"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0AE2501F"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7286824"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542FED5E"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4DB20324"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412F6DAB"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538F210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4F3A0B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0169D17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5395B08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140,000</w:t>
            </w:r>
          </w:p>
        </w:tc>
        <w:tc>
          <w:tcPr>
            <w:tcW w:w="766" w:type="dxa"/>
            <w:tcBorders>
              <w:top w:val="nil"/>
              <w:left w:val="nil"/>
              <w:bottom w:val="single" w:sz="4" w:space="0" w:color="auto"/>
              <w:right w:val="single" w:sz="4" w:space="0" w:color="auto"/>
            </w:tcBorders>
            <w:shd w:val="clear" w:color="auto" w:fill="auto"/>
            <w:vAlign w:val="center"/>
            <w:hideMark/>
          </w:tcPr>
          <w:p w14:paraId="30A1ECE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40 150,000</w:t>
            </w:r>
          </w:p>
        </w:tc>
        <w:tc>
          <w:tcPr>
            <w:tcW w:w="673" w:type="dxa"/>
            <w:tcBorders>
              <w:top w:val="nil"/>
              <w:left w:val="nil"/>
              <w:bottom w:val="single" w:sz="4" w:space="0" w:color="auto"/>
              <w:right w:val="single" w:sz="4" w:space="0" w:color="auto"/>
            </w:tcBorders>
            <w:shd w:val="clear" w:color="auto" w:fill="auto"/>
            <w:vAlign w:val="center"/>
            <w:hideMark/>
          </w:tcPr>
          <w:p w14:paraId="4F0A589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18 824,000</w:t>
            </w:r>
          </w:p>
        </w:tc>
        <w:tc>
          <w:tcPr>
            <w:tcW w:w="486" w:type="dxa"/>
            <w:tcBorders>
              <w:top w:val="nil"/>
              <w:left w:val="nil"/>
              <w:bottom w:val="single" w:sz="4" w:space="0" w:color="auto"/>
              <w:right w:val="single" w:sz="4" w:space="0" w:color="auto"/>
            </w:tcBorders>
            <w:shd w:val="clear" w:color="auto" w:fill="auto"/>
            <w:vAlign w:val="center"/>
            <w:hideMark/>
          </w:tcPr>
          <w:p w14:paraId="5AF6AB8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41EEC6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15FF22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8D987A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1C34EDA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59 114,000</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358DE20E"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7DA49984"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1168F62B"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62700/CR04</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02B89BAD"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zaměstnaní po ukončení své účasti, včetně OSVČ</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7F38FD55"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Více rozvinuté regiony</w:t>
            </w:r>
          </w:p>
        </w:tc>
        <w:tc>
          <w:tcPr>
            <w:tcW w:w="2271"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485B9CA4"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60100 Nezaměstnaní účastníci, včetně dlouhodobě nezaměstnaných</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7D952C98"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5EDCCE6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2 790,000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57E8650B"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0979465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8 045,000</w:t>
            </w:r>
          </w:p>
        </w:tc>
        <w:tc>
          <w:tcPr>
            <w:tcW w:w="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8C4E4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288,351%</w:t>
            </w:r>
          </w:p>
        </w:tc>
      </w:tr>
      <w:tr w:rsidR="00101CBF" w:rsidRPr="00101CBF" w14:paraId="766A8778"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2EA249FA"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22FCBA63"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4873524"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single" w:sz="4" w:space="0" w:color="000000"/>
              <w:left w:val="single" w:sz="4" w:space="0" w:color="auto"/>
              <w:bottom w:val="single" w:sz="4" w:space="0" w:color="auto"/>
              <w:right w:val="single" w:sz="4" w:space="0" w:color="auto"/>
            </w:tcBorders>
            <w:vAlign w:val="center"/>
            <w:hideMark/>
          </w:tcPr>
          <w:p w14:paraId="620E835D"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61D26618"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5FA3825B"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1ECCBC8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2F68FD8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9D2FB4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5DFDFD4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73EB432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2 432,000</w:t>
            </w:r>
          </w:p>
        </w:tc>
        <w:tc>
          <w:tcPr>
            <w:tcW w:w="673" w:type="dxa"/>
            <w:tcBorders>
              <w:top w:val="nil"/>
              <w:left w:val="nil"/>
              <w:bottom w:val="single" w:sz="4" w:space="0" w:color="auto"/>
              <w:right w:val="single" w:sz="4" w:space="0" w:color="auto"/>
            </w:tcBorders>
            <w:shd w:val="clear" w:color="auto" w:fill="auto"/>
            <w:vAlign w:val="center"/>
            <w:hideMark/>
          </w:tcPr>
          <w:p w14:paraId="237BC9E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1 262,000</w:t>
            </w:r>
          </w:p>
        </w:tc>
        <w:tc>
          <w:tcPr>
            <w:tcW w:w="486" w:type="dxa"/>
            <w:tcBorders>
              <w:top w:val="nil"/>
              <w:left w:val="nil"/>
              <w:bottom w:val="single" w:sz="4" w:space="0" w:color="auto"/>
              <w:right w:val="single" w:sz="4" w:space="0" w:color="auto"/>
            </w:tcBorders>
            <w:shd w:val="clear" w:color="auto" w:fill="auto"/>
            <w:vAlign w:val="center"/>
            <w:hideMark/>
          </w:tcPr>
          <w:p w14:paraId="5EFE105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3C6B16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88F97C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7BF6AD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55728C0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3 694,000</w:t>
            </w:r>
          </w:p>
        </w:tc>
        <w:tc>
          <w:tcPr>
            <w:tcW w:w="723" w:type="dxa"/>
            <w:vMerge/>
            <w:tcBorders>
              <w:top w:val="nil"/>
              <w:left w:val="single" w:sz="4" w:space="0" w:color="auto"/>
              <w:bottom w:val="single" w:sz="4" w:space="0" w:color="auto"/>
              <w:right w:val="single" w:sz="4" w:space="0" w:color="auto"/>
            </w:tcBorders>
            <w:vAlign w:val="center"/>
            <w:hideMark/>
          </w:tcPr>
          <w:p w14:paraId="2671CA4C"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23E189B4" w14:textId="77777777" w:rsidTr="007D24EE">
        <w:trPr>
          <w:trHeight w:val="20"/>
        </w:trPr>
        <w:tc>
          <w:tcPr>
            <w:tcW w:w="796" w:type="dxa"/>
            <w:vMerge/>
            <w:tcBorders>
              <w:top w:val="nil"/>
              <w:left w:val="single" w:sz="4" w:space="0" w:color="auto"/>
              <w:bottom w:val="single" w:sz="4" w:space="0" w:color="auto"/>
              <w:right w:val="single" w:sz="4" w:space="0" w:color="auto"/>
            </w:tcBorders>
            <w:vAlign w:val="center"/>
            <w:hideMark/>
          </w:tcPr>
          <w:p w14:paraId="6FDBF9D5"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auto"/>
              <w:right w:val="single" w:sz="4" w:space="0" w:color="auto"/>
            </w:tcBorders>
            <w:vAlign w:val="center"/>
            <w:hideMark/>
          </w:tcPr>
          <w:p w14:paraId="650C484D"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33EAFC8"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single" w:sz="4" w:space="0" w:color="000000"/>
              <w:left w:val="single" w:sz="4" w:space="0" w:color="auto"/>
              <w:bottom w:val="single" w:sz="4" w:space="0" w:color="auto"/>
              <w:right w:val="single" w:sz="4" w:space="0" w:color="auto"/>
            </w:tcBorders>
            <w:vAlign w:val="center"/>
            <w:hideMark/>
          </w:tcPr>
          <w:p w14:paraId="36EA3E29"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auto"/>
              <w:right w:val="single" w:sz="4" w:space="0" w:color="auto"/>
            </w:tcBorders>
            <w:vAlign w:val="center"/>
            <w:hideMark/>
          </w:tcPr>
          <w:p w14:paraId="535F6EB4"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auto"/>
              <w:right w:val="single" w:sz="4" w:space="0" w:color="auto"/>
            </w:tcBorders>
            <w:vAlign w:val="center"/>
            <w:hideMark/>
          </w:tcPr>
          <w:p w14:paraId="0F26D7FE"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6038F4A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040D97A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87FF9B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009B109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57D7113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2 900,000</w:t>
            </w:r>
          </w:p>
        </w:tc>
        <w:tc>
          <w:tcPr>
            <w:tcW w:w="673" w:type="dxa"/>
            <w:tcBorders>
              <w:top w:val="nil"/>
              <w:left w:val="nil"/>
              <w:bottom w:val="single" w:sz="4" w:space="0" w:color="auto"/>
              <w:right w:val="single" w:sz="4" w:space="0" w:color="auto"/>
            </w:tcBorders>
            <w:shd w:val="clear" w:color="auto" w:fill="auto"/>
            <w:vAlign w:val="center"/>
            <w:hideMark/>
          </w:tcPr>
          <w:p w14:paraId="70BB7D6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1 451,000</w:t>
            </w:r>
          </w:p>
        </w:tc>
        <w:tc>
          <w:tcPr>
            <w:tcW w:w="486" w:type="dxa"/>
            <w:tcBorders>
              <w:top w:val="nil"/>
              <w:left w:val="nil"/>
              <w:bottom w:val="single" w:sz="4" w:space="0" w:color="auto"/>
              <w:right w:val="single" w:sz="4" w:space="0" w:color="auto"/>
            </w:tcBorders>
            <w:shd w:val="clear" w:color="auto" w:fill="auto"/>
            <w:vAlign w:val="center"/>
            <w:hideMark/>
          </w:tcPr>
          <w:p w14:paraId="63C8018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AF0BD1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092012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C43160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04B1C53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4 351,000</w:t>
            </w:r>
          </w:p>
        </w:tc>
        <w:tc>
          <w:tcPr>
            <w:tcW w:w="723" w:type="dxa"/>
            <w:vMerge/>
            <w:tcBorders>
              <w:top w:val="nil"/>
              <w:left w:val="single" w:sz="4" w:space="0" w:color="auto"/>
              <w:bottom w:val="single" w:sz="4" w:space="0" w:color="auto"/>
              <w:right w:val="single" w:sz="4" w:space="0" w:color="auto"/>
            </w:tcBorders>
            <w:vAlign w:val="center"/>
            <w:hideMark/>
          </w:tcPr>
          <w:p w14:paraId="32E8B12B"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616987FD" w14:textId="77777777" w:rsidTr="007D24EE">
        <w:trPr>
          <w:trHeight w:val="20"/>
        </w:trPr>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6C7205"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62800/CR05</w:t>
            </w:r>
          </w:p>
        </w:tc>
        <w:tc>
          <w:tcPr>
            <w:tcW w:w="27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5EE310"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Znevýhodnění účastníci, kteří po ukončení své účasti hledají zaměstnání, jsou v procesu vzdělávání/ odborné přípravy, rozšiřují si kvalifikaci nebo jsou zaměstnaní, a to i OSVČ**</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39ADF5"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Méně rozvinuté regiony</w:t>
            </w:r>
          </w:p>
        </w:tc>
        <w:tc>
          <w:tcPr>
            <w:tcW w:w="22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D38557"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7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AF45D5"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16AD2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40 005,000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23FDBAE3"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57F76AE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44 940,000</w:t>
            </w:r>
          </w:p>
        </w:tc>
        <w:tc>
          <w:tcPr>
            <w:tcW w:w="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D3B5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112,336%</w:t>
            </w:r>
          </w:p>
        </w:tc>
      </w:tr>
      <w:tr w:rsidR="00101CBF" w:rsidRPr="00101CBF" w14:paraId="67373635"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2892CE87"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2309CDD0"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A2963F4"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single" w:sz="4" w:space="0" w:color="000000"/>
              <w:left w:val="single" w:sz="4" w:space="0" w:color="auto"/>
              <w:bottom w:val="single" w:sz="4" w:space="0" w:color="000000"/>
              <w:right w:val="single" w:sz="4" w:space="0" w:color="auto"/>
            </w:tcBorders>
            <w:vAlign w:val="center"/>
            <w:hideMark/>
          </w:tcPr>
          <w:p w14:paraId="30EC54BE"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757BD357"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2A679409"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62A6F89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A9C3C4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6C083A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4,000</w:t>
            </w:r>
          </w:p>
        </w:tc>
        <w:tc>
          <w:tcPr>
            <w:tcW w:w="641" w:type="dxa"/>
            <w:tcBorders>
              <w:top w:val="nil"/>
              <w:left w:val="nil"/>
              <w:bottom w:val="single" w:sz="4" w:space="0" w:color="auto"/>
              <w:right w:val="single" w:sz="4" w:space="0" w:color="auto"/>
            </w:tcBorders>
            <w:shd w:val="clear" w:color="auto" w:fill="auto"/>
            <w:vAlign w:val="center"/>
            <w:hideMark/>
          </w:tcPr>
          <w:p w14:paraId="7288333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217,000</w:t>
            </w:r>
          </w:p>
        </w:tc>
        <w:tc>
          <w:tcPr>
            <w:tcW w:w="766" w:type="dxa"/>
            <w:tcBorders>
              <w:top w:val="nil"/>
              <w:left w:val="nil"/>
              <w:bottom w:val="single" w:sz="4" w:space="0" w:color="auto"/>
              <w:right w:val="single" w:sz="4" w:space="0" w:color="auto"/>
            </w:tcBorders>
            <w:shd w:val="clear" w:color="auto" w:fill="auto"/>
            <w:vAlign w:val="center"/>
            <w:hideMark/>
          </w:tcPr>
          <w:p w14:paraId="6E2123E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15 057,000</w:t>
            </w:r>
          </w:p>
        </w:tc>
        <w:tc>
          <w:tcPr>
            <w:tcW w:w="673" w:type="dxa"/>
            <w:tcBorders>
              <w:top w:val="nil"/>
              <w:left w:val="nil"/>
              <w:bottom w:val="single" w:sz="4" w:space="0" w:color="auto"/>
              <w:right w:val="single" w:sz="4" w:space="0" w:color="auto"/>
            </w:tcBorders>
            <w:shd w:val="clear" w:color="auto" w:fill="auto"/>
            <w:vAlign w:val="center"/>
            <w:hideMark/>
          </w:tcPr>
          <w:p w14:paraId="086C842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5 689,000</w:t>
            </w:r>
          </w:p>
        </w:tc>
        <w:tc>
          <w:tcPr>
            <w:tcW w:w="486" w:type="dxa"/>
            <w:tcBorders>
              <w:top w:val="nil"/>
              <w:left w:val="nil"/>
              <w:bottom w:val="single" w:sz="4" w:space="0" w:color="auto"/>
              <w:right w:val="single" w:sz="4" w:space="0" w:color="auto"/>
            </w:tcBorders>
            <w:shd w:val="clear" w:color="auto" w:fill="auto"/>
            <w:vAlign w:val="center"/>
            <w:hideMark/>
          </w:tcPr>
          <w:p w14:paraId="4615CD0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D66E2E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F1C7B1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2AABE6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B5847B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20 967,000</w:t>
            </w:r>
          </w:p>
        </w:tc>
        <w:tc>
          <w:tcPr>
            <w:tcW w:w="723" w:type="dxa"/>
            <w:vMerge/>
            <w:tcBorders>
              <w:top w:val="nil"/>
              <w:left w:val="single" w:sz="4" w:space="0" w:color="auto"/>
              <w:bottom w:val="single" w:sz="4" w:space="0" w:color="auto"/>
              <w:right w:val="single" w:sz="4" w:space="0" w:color="auto"/>
            </w:tcBorders>
            <w:vAlign w:val="center"/>
            <w:hideMark/>
          </w:tcPr>
          <w:p w14:paraId="34C43BCF"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448F051F"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4C27906E"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24DCAB7F"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0ABF151"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single" w:sz="4" w:space="0" w:color="000000"/>
              <w:left w:val="single" w:sz="4" w:space="0" w:color="auto"/>
              <w:bottom w:val="single" w:sz="4" w:space="0" w:color="000000"/>
              <w:right w:val="single" w:sz="4" w:space="0" w:color="auto"/>
            </w:tcBorders>
            <w:vAlign w:val="center"/>
            <w:hideMark/>
          </w:tcPr>
          <w:p w14:paraId="1F558386"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2EA37004"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4F0D161B"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4415DCA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5BFD50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7B5B606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2,000</w:t>
            </w:r>
          </w:p>
        </w:tc>
        <w:tc>
          <w:tcPr>
            <w:tcW w:w="641" w:type="dxa"/>
            <w:tcBorders>
              <w:top w:val="nil"/>
              <w:left w:val="nil"/>
              <w:bottom w:val="single" w:sz="4" w:space="0" w:color="auto"/>
              <w:right w:val="single" w:sz="4" w:space="0" w:color="auto"/>
            </w:tcBorders>
            <w:shd w:val="clear" w:color="auto" w:fill="auto"/>
            <w:vAlign w:val="center"/>
            <w:hideMark/>
          </w:tcPr>
          <w:p w14:paraId="7B8D3AF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316,000</w:t>
            </w:r>
          </w:p>
        </w:tc>
        <w:tc>
          <w:tcPr>
            <w:tcW w:w="766" w:type="dxa"/>
            <w:tcBorders>
              <w:top w:val="nil"/>
              <w:left w:val="nil"/>
              <w:bottom w:val="single" w:sz="4" w:space="0" w:color="auto"/>
              <w:right w:val="single" w:sz="4" w:space="0" w:color="auto"/>
            </w:tcBorders>
            <w:shd w:val="clear" w:color="auto" w:fill="auto"/>
            <w:vAlign w:val="center"/>
            <w:hideMark/>
          </w:tcPr>
          <w:p w14:paraId="741CB5F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16 712,000</w:t>
            </w:r>
          </w:p>
        </w:tc>
        <w:tc>
          <w:tcPr>
            <w:tcW w:w="673" w:type="dxa"/>
            <w:tcBorders>
              <w:top w:val="nil"/>
              <w:left w:val="nil"/>
              <w:bottom w:val="single" w:sz="4" w:space="0" w:color="auto"/>
              <w:right w:val="single" w:sz="4" w:space="0" w:color="auto"/>
            </w:tcBorders>
            <w:shd w:val="clear" w:color="auto" w:fill="auto"/>
            <w:vAlign w:val="center"/>
            <w:hideMark/>
          </w:tcPr>
          <w:p w14:paraId="0C7E2F5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6 943,000</w:t>
            </w:r>
          </w:p>
        </w:tc>
        <w:tc>
          <w:tcPr>
            <w:tcW w:w="486" w:type="dxa"/>
            <w:tcBorders>
              <w:top w:val="nil"/>
              <w:left w:val="nil"/>
              <w:bottom w:val="single" w:sz="4" w:space="0" w:color="auto"/>
              <w:right w:val="single" w:sz="4" w:space="0" w:color="auto"/>
            </w:tcBorders>
            <w:shd w:val="clear" w:color="auto" w:fill="auto"/>
            <w:vAlign w:val="center"/>
            <w:hideMark/>
          </w:tcPr>
          <w:p w14:paraId="5FEA9EE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6DFDC2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50D161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2152EF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71B8C0C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23 973,000</w:t>
            </w:r>
          </w:p>
        </w:tc>
        <w:tc>
          <w:tcPr>
            <w:tcW w:w="723" w:type="dxa"/>
            <w:vMerge/>
            <w:tcBorders>
              <w:top w:val="nil"/>
              <w:left w:val="single" w:sz="4" w:space="0" w:color="auto"/>
              <w:bottom w:val="single" w:sz="4" w:space="0" w:color="auto"/>
              <w:right w:val="single" w:sz="4" w:space="0" w:color="auto"/>
            </w:tcBorders>
            <w:vAlign w:val="center"/>
            <w:hideMark/>
          </w:tcPr>
          <w:p w14:paraId="57C891D2"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0A1A12DE"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3DC45C51"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62800/CR05</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3116520A"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Znevýhodnění účastníci, kteří po ukončení své účasti hledají zaměstnání, jsou v procesu vzdělávání/ odborné přípravy, rozšiřují si kvalifikaci nebo jsou zaměstnaní, a to i OSVČ**</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0560F77"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Více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409C2D29"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427D4B1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5BB5CED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1 995,000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68CC53F5"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01BDE00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3 011,000</w:t>
            </w:r>
          </w:p>
        </w:tc>
        <w:tc>
          <w:tcPr>
            <w:tcW w:w="7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4765D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150,927%</w:t>
            </w:r>
          </w:p>
        </w:tc>
      </w:tr>
      <w:tr w:rsidR="00101CBF" w:rsidRPr="00101CBF" w14:paraId="4B99E4DD"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25529682"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6C64B41E"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E5EDA42"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47E7FD74"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29F31F23"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6EFE4CF1"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2CDAA17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5A719CC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5397BDB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7F558C8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1,000</w:t>
            </w:r>
          </w:p>
        </w:tc>
        <w:tc>
          <w:tcPr>
            <w:tcW w:w="766" w:type="dxa"/>
            <w:tcBorders>
              <w:top w:val="nil"/>
              <w:left w:val="nil"/>
              <w:bottom w:val="single" w:sz="4" w:space="0" w:color="auto"/>
              <w:right w:val="single" w:sz="4" w:space="0" w:color="auto"/>
            </w:tcBorders>
            <w:shd w:val="clear" w:color="auto" w:fill="auto"/>
            <w:vAlign w:val="center"/>
            <w:hideMark/>
          </w:tcPr>
          <w:p w14:paraId="0FFE58E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1 127,000</w:t>
            </w:r>
          </w:p>
        </w:tc>
        <w:tc>
          <w:tcPr>
            <w:tcW w:w="673" w:type="dxa"/>
            <w:tcBorders>
              <w:top w:val="nil"/>
              <w:left w:val="nil"/>
              <w:bottom w:val="single" w:sz="4" w:space="0" w:color="auto"/>
              <w:right w:val="single" w:sz="4" w:space="0" w:color="auto"/>
            </w:tcBorders>
            <w:shd w:val="clear" w:color="auto" w:fill="auto"/>
            <w:vAlign w:val="center"/>
            <w:hideMark/>
          </w:tcPr>
          <w:p w14:paraId="2BA5D25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340,000</w:t>
            </w:r>
          </w:p>
        </w:tc>
        <w:tc>
          <w:tcPr>
            <w:tcW w:w="486" w:type="dxa"/>
            <w:tcBorders>
              <w:top w:val="nil"/>
              <w:left w:val="nil"/>
              <w:bottom w:val="single" w:sz="4" w:space="0" w:color="auto"/>
              <w:right w:val="single" w:sz="4" w:space="0" w:color="auto"/>
            </w:tcBorders>
            <w:shd w:val="clear" w:color="auto" w:fill="auto"/>
            <w:vAlign w:val="center"/>
            <w:hideMark/>
          </w:tcPr>
          <w:p w14:paraId="13840CF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BF1DE4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8EA453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E6EBBA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922D47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1 468,000</w:t>
            </w:r>
          </w:p>
        </w:tc>
        <w:tc>
          <w:tcPr>
            <w:tcW w:w="723" w:type="dxa"/>
            <w:vMerge/>
            <w:tcBorders>
              <w:top w:val="nil"/>
              <w:left w:val="single" w:sz="4" w:space="0" w:color="auto"/>
              <w:bottom w:val="single" w:sz="4" w:space="0" w:color="000000"/>
              <w:right w:val="single" w:sz="4" w:space="0" w:color="auto"/>
            </w:tcBorders>
            <w:vAlign w:val="center"/>
            <w:hideMark/>
          </w:tcPr>
          <w:p w14:paraId="383E5D9B"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52C2F714"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69EDDF27"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6596D872"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6FA823A"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3362CBBB"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702E848C"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439FD0DE"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651C9E9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5FD5E8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41F253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29E2E10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1,000</w:t>
            </w:r>
          </w:p>
        </w:tc>
        <w:tc>
          <w:tcPr>
            <w:tcW w:w="766" w:type="dxa"/>
            <w:tcBorders>
              <w:top w:val="nil"/>
              <w:left w:val="nil"/>
              <w:bottom w:val="single" w:sz="4" w:space="0" w:color="auto"/>
              <w:right w:val="single" w:sz="4" w:space="0" w:color="auto"/>
            </w:tcBorders>
            <w:shd w:val="clear" w:color="auto" w:fill="auto"/>
            <w:vAlign w:val="center"/>
            <w:hideMark/>
          </w:tcPr>
          <w:p w14:paraId="7FE0B38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1 190,000</w:t>
            </w:r>
          </w:p>
        </w:tc>
        <w:tc>
          <w:tcPr>
            <w:tcW w:w="673" w:type="dxa"/>
            <w:tcBorders>
              <w:top w:val="nil"/>
              <w:left w:val="nil"/>
              <w:bottom w:val="single" w:sz="4" w:space="0" w:color="auto"/>
              <w:right w:val="single" w:sz="4" w:space="0" w:color="auto"/>
            </w:tcBorders>
            <w:shd w:val="clear" w:color="auto" w:fill="auto"/>
            <w:vAlign w:val="center"/>
            <w:hideMark/>
          </w:tcPr>
          <w:p w14:paraId="6A53E28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352,000</w:t>
            </w:r>
          </w:p>
        </w:tc>
        <w:tc>
          <w:tcPr>
            <w:tcW w:w="486" w:type="dxa"/>
            <w:tcBorders>
              <w:top w:val="nil"/>
              <w:left w:val="nil"/>
              <w:bottom w:val="single" w:sz="4" w:space="0" w:color="auto"/>
              <w:right w:val="single" w:sz="4" w:space="0" w:color="auto"/>
            </w:tcBorders>
            <w:shd w:val="clear" w:color="auto" w:fill="auto"/>
            <w:vAlign w:val="center"/>
            <w:hideMark/>
          </w:tcPr>
          <w:p w14:paraId="2F2781D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9AD9CB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4617FA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B6C0B5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1AFB7C8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1 543,000</w:t>
            </w:r>
          </w:p>
        </w:tc>
        <w:tc>
          <w:tcPr>
            <w:tcW w:w="723" w:type="dxa"/>
            <w:vMerge/>
            <w:tcBorders>
              <w:top w:val="nil"/>
              <w:left w:val="single" w:sz="4" w:space="0" w:color="auto"/>
              <w:bottom w:val="single" w:sz="4" w:space="0" w:color="000000"/>
              <w:right w:val="single" w:sz="4" w:space="0" w:color="auto"/>
            </w:tcBorders>
            <w:vAlign w:val="center"/>
            <w:hideMark/>
          </w:tcPr>
          <w:p w14:paraId="3CE5B0F8"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13737885"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1C8DA411"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lastRenderedPageBreak/>
              <w:t>62900/CR06</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00DBE5F0"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zaměstnaní 6 měsíců po ukončení své účasti, včetně OSVČ</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F10DFCA"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Méně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1565F35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60100 Nezaměstnaní účastníci, včetně dlouhodobě nezaměstnaných</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033452D8"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095ACD3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78 105,000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7B7FCDFF"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710EB75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84 505,000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5C9D23C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108,194%</w:t>
            </w:r>
          </w:p>
        </w:tc>
      </w:tr>
      <w:tr w:rsidR="00101CBF" w:rsidRPr="00101CBF" w14:paraId="3DADD377"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4FE34242"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5C71C3CD"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37189E9"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05C45B7B"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58F63B20"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7947125D"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36986E8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0D4E48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524F93F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2,000</w:t>
            </w:r>
          </w:p>
        </w:tc>
        <w:tc>
          <w:tcPr>
            <w:tcW w:w="641" w:type="dxa"/>
            <w:tcBorders>
              <w:top w:val="nil"/>
              <w:left w:val="nil"/>
              <w:bottom w:val="single" w:sz="4" w:space="0" w:color="auto"/>
              <w:right w:val="single" w:sz="4" w:space="0" w:color="auto"/>
            </w:tcBorders>
            <w:shd w:val="clear" w:color="auto" w:fill="auto"/>
            <w:vAlign w:val="center"/>
            <w:hideMark/>
          </w:tcPr>
          <w:p w14:paraId="51ED2A4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894,000</w:t>
            </w:r>
          </w:p>
        </w:tc>
        <w:tc>
          <w:tcPr>
            <w:tcW w:w="766" w:type="dxa"/>
            <w:tcBorders>
              <w:top w:val="nil"/>
              <w:left w:val="nil"/>
              <w:bottom w:val="single" w:sz="4" w:space="0" w:color="auto"/>
              <w:right w:val="single" w:sz="4" w:space="0" w:color="auto"/>
            </w:tcBorders>
            <w:shd w:val="clear" w:color="auto" w:fill="auto"/>
            <w:vAlign w:val="center"/>
            <w:hideMark/>
          </w:tcPr>
          <w:p w14:paraId="127C9A3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23 891,000</w:t>
            </w:r>
          </w:p>
        </w:tc>
        <w:tc>
          <w:tcPr>
            <w:tcW w:w="673" w:type="dxa"/>
            <w:tcBorders>
              <w:top w:val="nil"/>
              <w:left w:val="nil"/>
              <w:bottom w:val="single" w:sz="4" w:space="0" w:color="auto"/>
              <w:right w:val="single" w:sz="4" w:space="0" w:color="auto"/>
            </w:tcBorders>
            <w:shd w:val="clear" w:color="auto" w:fill="auto"/>
            <w:vAlign w:val="center"/>
            <w:hideMark/>
          </w:tcPr>
          <w:p w14:paraId="5134624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11 716,000</w:t>
            </w:r>
          </w:p>
        </w:tc>
        <w:tc>
          <w:tcPr>
            <w:tcW w:w="486" w:type="dxa"/>
            <w:tcBorders>
              <w:top w:val="nil"/>
              <w:left w:val="nil"/>
              <w:bottom w:val="single" w:sz="4" w:space="0" w:color="auto"/>
              <w:right w:val="single" w:sz="4" w:space="0" w:color="auto"/>
            </w:tcBorders>
            <w:shd w:val="clear" w:color="auto" w:fill="auto"/>
            <w:vAlign w:val="center"/>
            <w:hideMark/>
          </w:tcPr>
          <w:p w14:paraId="61AB302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F62693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D6BF75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1FBB41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037E1B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36 503,000</w:t>
            </w:r>
          </w:p>
        </w:tc>
        <w:tc>
          <w:tcPr>
            <w:tcW w:w="723" w:type="dxa"/>
            <w:vMerge/>
            <w:tcBorders>
              <w:top w:val="nil"/>
              <w:left w:val="single" w:sz="4" w:space="0" w:color="auto"/>
              <w:bottom w:val="single" w:sz="4" w:space="0" w:color="000000"/>
              <w:right w:val="single" w:sz="4" w:space="0" w:color="auto"/>
            </w:tcBorders>
            <w:vAlign w:val="center"/>
            <w:hideMark/>
          </w:tcPr>
          <w:p w14:paraId="1ADA2443"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098F4E3D"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50964DC0"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3131B091"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A4F8124"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371A3372"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03346F70"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0DA3D90F"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61CABED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A08E76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02A2EA7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3,000</w:t>
            </w:r>
          </w:p>
        </w:tc>
        <w:tc>
          <w:tcPr>
            <w:tcW w:w="641" w:type="dxa"/>
            <w:tcBorders>
              <w:top w:val="nil"/>
              <w:left w:val="nil"/>
              <w:bottom w:val="single" w:sz="4" w:space="0" w:color="auto"/>
              <w:right w:val="single" w:sz="4" w:space="0" w:color="auto"/>
            </w:tcBorders>
            <w:shd w:val="clear" w:color="auto" w:fill="auto"/>
            <w:vAlign w:val="center"/>
            <w:hideMark/>
          </w:tcPr>
          <w:p w14:paraId="3F0A5F2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1 255,000</w:t>
            </w:r>
          </w:p>
        </w:tc>
        <w:tc>
          <w:tcPr>
            <w:tcW w:w="766" w:type="dxa"/>
            <w:tcBorders>
              <w:top w:val="nil"/>
              <w:left w:val="nil"/>
              <w:bottom w:val="single" w:sz="4" w:space="0" w:color="auto"/>
              <w:right w:val="single" w:sz="4" w:space="0" w:color="auto"/>
            </w:tcBorders>
            <w:shd w:val="clear" w:color="auto" w:fill="auto"/>
            <w:vAlign w:val="center"/>
            <w:hideMark/>
          </w:tcPr>
          <w:p w14:paraId="0BF044C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31 607,000</w:t>
            </w:r>
          </w:p>
        </w:tc>
        <w:tc>
          <w:tcPr>
            <w:tcW w:w="673" w:type="dxa"/>
            <w:tcBorders>
              <w:top w:val="nil"/>
              <w:left w:val="nil"/>
              <w:bottom w:val="single" w:sz="4" w:space="0" w:color="auto"/>
              <w:right w:val="single" w:sz="4" w:space="0" w:color="auto"/>
            </w:tcBorders>
            <w:shd w:val="clear" w:color="auto" w:fill="auto"/>
            <w:vAlign w:val="center"/>
            <w:hideMark/>
          </w:tcPr>
          <w:p w14:paraId="1B8BD50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15 137,000</w:t>
            </w:r>
          </w:p>
        </w:tc>
        <w:tc>
          <w:tcPr>
            <w:tcW w:w="486" w:type="dxa"/>
            <w:tcBorders>
              <w:top w:val="nil"/>
              <w:left w:val="nil"/>
              <w:bottom w:val="single" w:sz="4" w:space="0" w:color="auto"/>
              <w:right w:val="single" w:sz="4" w:space="0" w:color="auto"/>
            </w:tcBorders>
            <w:shd w:val="clear" w:color="auto" w:fill="auto"/>
            <w:vAlign w:val="center"/>
            <w:hideMark/>
          </w:tcPr>
          <w:p w14:paraId="5E78004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CAF670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00F689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A2BE01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040A28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48 002,000</w:t>
            </w:r>
          </w:p>
        </w:tc>
        <w:tc>
          <w:tcPr>
            <w:tcW w:w="723" w:type="dxa"/>
            <w:vMerge/>
            <w:tcBorders>
              <w:top w:val="nil"/>
              <w:left w:val="single" w:sz="4" w:space="0" w:color="auto"/>
              <w:bottom w:val="single" w:sz="4" w:space="0" w:color="000000"/>
              <w:right w:val="single" w:sz="4" w:space="0" w:color="auto"/>
            </w:tcBorders>
            <w:vAlign w:val="center"/>
            <w:hideMark/>
          </w:tcPr>
          <w:p w14:paraId="2AA7FC85"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52CEF03D"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59B93E6B"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62900/CR06</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329C7AEB"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zaměstnaní 6 měsíců po ukončení své účasti, včetně OSVČ</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824605D"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Více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6691A534"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60100 Nezaměstnaní účastníci, včetně dlouhodobě nezaměstnaných</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7C7B986C"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2C9373F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3 895,000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2FD40FEA"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7573474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6 411,000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6282E66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164,596%</w:t>
            </w:r>
          </w:p>
        </w:tc>
      </w:tr>
      <w:tr w:rsidR="00101CBF" w:rsidRPr="00101CBF" w14:paraId="440DB0F6"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67E32BAD"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110F6BAF"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7A2D844"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5D4F6B50"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4AD4C842"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601370E7"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64DF417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3DF02C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7D7ADEB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6DBE07F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2E4361B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1 891,000</w:t>
            </w:r>
          </w:p>
        </w:tc>
        <w:tc>
          <w:tcPr>
            <w:tcW w:w="673" w:type="dxa"/>
            <w:tcBorders>
              <w:top w:val="nil"/>
              <w:left w:val="nil"/>
              <w:bottom w:val="single" w:sz="4" w:space="0" w:color="auto"/>
              <w:right w:val="single" w:sz="4" w:space="0" w:color="auto"/>
            </w:tcBorders>
            <w:shd w:val="clear" w:color="auto" w:fill="auto"/>
            <w:vAlign w:val="center"/>
            <w:hideMark/>
          </w:tcPr>
          <w:p w14:paraId="6A08C07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922,000</w:t>
            </w:r>
          </w:p>
        </w:tc>
        <w:tc>
          <w:tcPr>
            <w:tcW w:w="486" w:type="dxa"/>
            <w:tcBorders>
              <w:top w:val="nil"/>
              <w:left w:val="nil"/>
              <w:bottom w:val="single" w:sz="4" w:space="0" w:color="auto"/>
              <w:right w:val="single" w:sz="4" w:space="0" w:color="auto"/>
            </w:tcBorders>
            <w:shd w:val="clear" w:color="auto" w:fill="auto"/>
            <w:vAlign w:val="center"/>
            <w:hideMark/>
          </w:tcPr>
          <w:p w14:paraId="6CCC48E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416B90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6C581B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20EDFB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0FA84D5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2 813,000</w:t>
            </w:r>
          </w:p>
        </w:tc>
        <w:tc>
          <w:tcPr>
            <w:tcW w:w="723" w:type="dxa"/>
            <w:vMerge/>
            <w:tcBorders>
              <w:top w:val="nil"/>
              <w:left w:val="single" w:sz="4" w:space="0" w:color="auto"/>
              <w:bottom w:val="single" w:sz="4" w:space="0" w:color="000000"/>
              <w:right w:val="single" w:sz="4" w:space="0" w:color="auto"/>
            </w:tcBorders>
            <w:vAlign w:val="center"/>
            <w:hideMark/>
          </w:tcPr>
          <w:p w14:paraId="46ABB363"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3CC02C30"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5C4A9898"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34CCE725"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3CC4DCF"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3FD1D019"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6F291703"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1664B651"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30B30E6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03B679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203041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28C0010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68F539B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2 430,000</w:t>
            </w:r>
          </w:p>
        </w:tc>
        <w:tc>
          <w:tcPr>
            <w:tcW w:w="673" w:type="dxa"/>
            <w:tcBorders>
              <w:top w:val="nil"/>
              <w:left w:val="nil"/>
              <w:bottom w:val="single" w:sz="4" w:space="0" w:color="auto"/>
              <w:right w:val="single" w:sz="4" w:space="0" w:color="auto"/>
            </w:tcBorders>
            <w:shd w:val="clear" w:color="auto" w:fill="auto"/>
            <w:vAlign w:val="center"/>
            <w:hideMark/>
          </w:tcPr>
          <w:p w14:paraId="22B52F0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1 168,000</w:t>
            </w:r>
          </w:p>
        </w:tc>
        <w:tc>
          <w:tcPr>
            <w:tcW w:w="486" w:type="dxa"/>
            <w:tcBorders>
              <w:top w:val="nil"/>
              <w:left w:val="nil"/>
              <w:bottom w:val="single" w:sz="4" w:space="0" w:color="auto"/>
              <w:right w:val="single" w:sz="4" w:space="0" w:color="auto"/>
            </w:tcBorders>
            <w:shd w:val="clear" w:color="auto" w:fill="auto"/>
            <w:vAlign w:val="center"/>
            <w:hideMark/>
          </w:tcPr>
          <w:p w14:paraId="1BDAD75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583373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5E9E4F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901A31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4EDB38A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3 598,000</w:t>
            </w:r>
          </w:p>
        </w:tc>
        <w:tc>
          <w:tcPr>
            <w:tcW w:w="723" w:type="dxa"/>
            <w:vMerge/>
            <w:tcBorders>
              <w:top w:val="nil"/>
              <w:left w:val="single" w:sz="4" w:space="0" w:color="auto"/>
              <w:bottom w:val="single" w:sz="4" w:space="0" w:color="000000"/>
              <w:right w:val="single" w:sz="4" w:space="0" w:color="auto"/>
            </w:tcBorders>
            <w:vAlign w:val="center"/>
            <w:hideMark/>
          </w:tcPr>
          <w:p w14:paraId="4B19EDAF"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67927571"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336C109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63000/CR07</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53C4706D"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jejichž situace na trhu práce se 6 měsíců po ukončení jejich účasti zlepšila</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219F910"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Méně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2974B12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60500 Zaměstnaní, včetně OSVČ</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7CBC226A"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58813E2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1 619,000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7139817B"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4629317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1 653,000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355A62F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102,100%</w:t>
            </w:r>
          </w:p>
        </w:tc>
      </w:tr>
      <w:tr w:rsidR="00101CBF" w:rsidRPr="00101CBF" w14:paraId="7E72A180"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78B04B3C"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1E433F2D"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4DB56ED"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3DA270B4"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1BCA827C"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42FC8166"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6BFD024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44DC1B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60DC55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2957E94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2C9E1B3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726,000</w:t>
            </w:r>
          </w:p>
        </w:tc>
        <w:tc>
          <w:tcPr>
            <w:tcW w:w="673" w:type="dxa"/>
            <w:tcBorders>
              <w:top w:val="nil"/>
              <w:left w:val="nil"/>
              <w:bottom w:val="single" w:sz="4" w:space="0" w:color="auto"/>
              <w:right w:val="single" w:sz="4" w:space="0" w:color="auto"/>
            </w:tcBorders>
            <w:shd w:val="clear" w:color="auto" w:fill="auto"/>
            <w:vAlign w:val="center"/>
            <w:hideMark/>
          </w:tcPr>
          <w:p w14:paraId="4888056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2544C94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AEAF98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374254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9C7288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086B8A8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726,000</w:t>
            </w:r>
          </w:p>
        </w:tc>
        <w:tc>
          <w:tcPr>
            <w:tcW w:w="723" w:type="dxa"/>
            <w:vMerge/>
            <w:tcBorders>
              <w:top w:val="nil"/>
              <w:left w:val="single" w:sz="4" w:space="0" w:color="auto"/>
              <w:bottom w:val="single" w:sz="4" w:space="0" w:color="000000"/>
              <w:right w:val="single" w:sz="4" w:space="0" w:color="auto"/>
            </w:tcBorders>
            <w:vAlign w:val="center"/>
            <w:hideMark/>
          </w:tcPr>
          <w:p w14:paraId="20AF418E"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5E8D7D61"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0EAA9F31"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42A9DFA9"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9F62D77"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443AE441"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22536A08"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75177544"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1FFAB30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FB3012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4140782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614D7C1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749EE3C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927,000</w:t>
            </w:r>
          </w:p>
        </w:tc>
        <w:tc>
          <w:tcPr>
            <w:tcW w:w="673" w:type="dxa"/>
            <w:tcBorders>
              <w:top w:val="nil"/>
              <w:left w:val="nil"/>
              <w:bottom w:val="single" w:sz="4" w:space="0" w:color="auto"/>
              <w:right w:val="single" w:sz="4" w:space="0" w:color="auto"/>
            </w:tcBorders>
            <w:shd w:val="clear" w:color="auto" w:fill="auto"/>
            <w:vAlign w:val="center"/>
            <w:hideMark/>
          </w:tcPr>
          <w:p w14:paraId="0E9576E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16FF508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BC08E3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51C27D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4318A3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1B8F7C4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927,000</w:t>
            </w:r>
          </w:p>
        </w:tc>
        <w:tc>
          <w:tcPr>
            <w:tcW w:w="723" w:type="dxa"/>
            <w:vMerge/>
            <w:tcBorders>
              <w:top w:val="nil"/>
              <w:left w:val="single" w:sz="4" w:space="0" w:color="auto"/>
              <w:bottom w:val="single" w:sz="4" w:space="0" w:color="000000"/>
              <w:right w:val="single" w:sz="4" w:space="0" w:color="auto"/>
            </w:tcBorders>
            <w:vAlign w:val="center"/>
            <w:hideMark/>
          </w:tcPr>
          <w:p w14:paraId="6A9E8627"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12B64925"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750FCBB3"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63000/CR07</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7A068D95"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jejichž situace na trhu práce se 6 měsíců po ukončení jejich účasti zlepšila</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8727B3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Více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0AED26ED"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60500 Zaměstnaní, včetně OSVČ</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46FB0BF1"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2805FF1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81,000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09179D00"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9EED0B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110,000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09C9831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135,802%</w:t>
            </w:r>
          </w:p>
        </w:tc>
      </w:tr>
      <w:tr w:rsidR="00101CBF" w:rsidRPr="00101CBF" w14:paraId="7C630DCD"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7620D0BA"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63F469ED"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2909AC4"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708E19BB"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167E148C"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7DE6EAD7"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1ECC2BD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9BAF37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41B92B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20D973C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513BF46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50,000</w:t>
            </w:r>
          </w:p>
        </w:tc>
        <w:tc>
          <w:tcPr>
            <w:tcW w:w="673" w:type="dxa"/>
            <w:tcBorders>
              <w:top w:val="nil"/>
              <w:left w:val="nil"/>
              <w:bottom w:val="single" w:sz="4" w:space="0" w:color="auto"/>
              <w:right w:val="single" w:sz="4" w:space="0" w:color="auto"/>
            </w:tcBorders>
            <w:shd w:val="clear" w:color="auto" w:fill="auto"/>
            <w:vAlign w:val="center"/>
            <w:hideMark/>
          </w:tcPr>
          <w:p w14:paraId="041B31F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225791F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487790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C3B32F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61F591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BA9B10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50,000</w:t>
            </w:r>
          </w:p>
        </w:tc>
        <w:tc>
          <w:tcPr>
            <w:tcW w:w="723" w:type="dxa"/>
            <w:vMerge/>
            <w:tcBorders>
              <w:top w:val="nil"/>
              <w:left w:val="single" w:sz="4" w:space="0" w:color="auto"/>
              <w:bottom w:val="single" w:sz="4" w:space="0" w:color="000000"/>
              <w:right w:val="single" w:sz="4" w:space="0" w:color="auto"/>
            </w:tcBorders>
            <w:vAlign w:val="center"/>
            <w:hideMark/>
          </w:tcPr>
          <w:p w14:paraId="27F851B3"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09885D35"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7F156023"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721629DB"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7509C3C"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4A86965E"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2843758F"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3F01A785"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3D84787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E0EAE0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436DD8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37DCF9C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3367258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60,000</w:t>
            </w:r>
          </w:p>
        </w:tc>
        <w:tc>
          <w:tcPr>
            <w:tcW w:w="673" w:type="dxa"/>
            <w:tcBorders>
              <w:top w:val="nil"/>
              <w:left w:val="nil"/>
              <w:bottom w:val="single" w:sz="4" w:space="0" w:color="auto"/>
              <w:right w:val="single" w:sz="4" w:space="0" w:color="auto"/>
            </w:tcBorders>
            <w:shd w:val="clear" w:color="auto" w:fill="auto"/>
            <w:vAlign w:val="center"/>
            <w:hideMark/>
          </w:tcPr>
          <w:p w14:paraId="17187F6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21DC121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2AFED3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22CAC3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6D804F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8432DA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60,000</w:t>
            </w:r>
          </w:p>
        </w:tc>
        <w:tc>
          <w:tcPr>
            <w:tcW w:w="723" w:type="dxa"/>
            <w:vMerge/>
            <w:tcBorders>
              <w:top w:val="nil"/>
              <w:left w:val="single" w:sz="4" w:space="0" w:color="auto"/>
              <w:bottom w:val="single" w:sz="4" w:space="0" w:color="000000"/>
              <w:right w:val="single" w:sz="4" w:space="0" w:color="auto"/>
            </w:tcBorders>
            <w:vAlign w:val="center"/>
            <w:hideMark/>
          </w:tcPr>
          <w:p w14:paraId="343C54A7"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777DB39E"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4F6C5D82"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63100/CR08</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0B4C1C9C"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ve věku nad 54 let zaměstnaní 6 měsíců po ukončení své účasti, včetně OSVČ</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1F23656"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Méně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hideMark/>
          </w:tcPr>
          <w:p w14:paraId="441B346B"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60100 Nezaměstnaní účastníci, včetně dlouhodobě nezaměstnaných, 60700 účastníci ve věku nad 54 let, 60400 Neaktivní osoby, které nejsou v procesu vzdělávání nebo odborné přípravy</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62B6C909"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194B38C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11 716,000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75CE3AAD"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03ADFFE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10 860,000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453E061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92,694%</w:t>
            </w:r>
          </w:p>
        </w:tc>
      </w:tr>
      <w:tr w:rsidR="00101CBF" w:rsidRPr="00101CBF" w14:paraId="763E8E23"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2C60A4DE"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12A1A4DB"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E3E0E9E"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0DC3B1EC"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278D5B24"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74EE3497"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71646DC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4D36A5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2DA374B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1,000</w:t>
            </w:r>
          </w:p>
        </w:tc>
        <w:tc>
          <w:tcPr>
            <w:tcW w:w="641" w:type="dxa"/>
            <w:tcBorders>
              <w:top w:val="nil"/>
              <w:left w:val="nil"/>
              <w:bottom w:val="single" w:sz="4" w:space="0" w:color="auto"/>
              <w:right w:val="single" w:sz="4" w:space="0" w:color="auto"/>
            </w:tcBorders>
            <w:shd w:val="clear" w:color="auto" w:fill="auto"/>
            <w:vAlign w:val="center"/>
            <w:hideMark/>
          </w:tcPr>
          <w:p w14:paraId="72C1FDB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55,000</w:t>
            </w:r>
          </w:p>
        </w:tc>
        <w:tc>
          <w:tcPr>
            <w:tcW w:w="766" w:type="dxa"/>
            <w:tcBorders>
              <w:top w:val="nil"/>
              <w:left w:val="nil"/>
              <w:bottom w:val="single" w:sz="4" w:space="0" w:color="auto"/>
              <w:right w:val="single" w:sz="4" w:space="0" w:color="auto"/>
            </w:tcBorders>
            <w:shd w:val="clear" w:color="auto" w:fill="auto"/>
            <w:vAlign w:val="center"/>
            <w:hideMark/>
          </w:tcPr>
          <w:p w14:paraId="172EBF1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4 204,000</w:t>
            </w:r>
          </w:p>
        </w:tc>
        <w:tc>
          <w:tcPr>
            <w:tcW w:w="673" w:type="dxa"/>
            <w:tcBorders>
              <w:top w:val="nil"/>
              <w:left w:val="nil"/>
              <w:bottom w:val="single" w:sz="4" w:space="0" w:color="auto"/>
              <w:right w:val="single" w:sz="4" w:space="0" w:color="auto"/>
            </w:tcBorders>
            <w:shd w:val="clear" w:color="auto" w:fill="auto"/>
            <w:vAlign w:val="center"/>
            <w:hideMark/>
          </w:tcPr>
          <w:p w14:paraId="7765304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2 322,000</w:t>
            </w:r>
          </w:p>
        </w:tc>
        <w:tc>
          <w:tcPr>
            <w:tcW w:w="486" w:type="dxa"/>
            <w:tcBorders>
              <w:top w:val="nil"/>
              <w:left w:val="nil"/>
              <w:bottom w:val="single" w:sz="4" w:space="0" w:color="auto"/>
              <w:right w:val="single" w:sz="4" w:space="0" w:color="auto"/>
            </w:tcBorders>
            <w:shd w:val="clear" w:color="auto" w:fill="auto"/>
            <w:vAlign w:val="center"/>
            <w:hideMark/>
          </w:tcPr>
          <w:p w14:paraId="7FF97DE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160525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744002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6C7314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32BB8CA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6 582,000</w:t>
            </w:r>
          </w:p>
        </w:tc>
        <w:tc>
          <w:tcPr>
            <w:tcW w:w="723" w:type="dxa"/>
            <w:vMerge/>
            <w:tcBorders>
              <w:top w:val="nil"/>
              <w:left w:val="single" w:sz="4" w:space="0" w:color="auto"/>
              <w:bottom w:val="single" w:sz="4" w:space="0" w:color="000000"/>
              <w:right w:val="single" w:sz="4" w:space="0" w:color="auto"/>
            </w:tcBorders>
            <w:vAlign w:val="center"/>
            <w:hideMark/>
          </w:tcPr>
          <w:p w14:paraId="60108EAE"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028FE314"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58DFC841"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1C12430D"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3A3109C"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21C0DDB5"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7F062298"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296A2A1D"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68DE6EF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85461D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83B042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2,000</w:t>
            </w:r>
          </w:p>
        </w:tc>
        <w:tc>
          <w:tcPr>
            <w:tcW w:w="641" w:type="dxa"/>
            <w:tcBorders>
              <w:top w:val="nil"/>
              <w:left w:val="nil"/>
              <w:bottom w:val="single" w:sz="4" w:space="0" w:color="auto"/>
              <w:right w:val="single" w:sz="4" w:space="0" w:color="auto"/>
            </w:tcBorders>
            <w:shd w:val="clear" w:color="auto" w:fill="auto"/>
            <w:vAlign w:val="center"/>
            <w:hideMark/>
          </w:tcPr>
          <w:p w14:paraId="2B19F2E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33,000</w:t>
            </w:r>
          </w:p>
        </w:tc>
        <w:tc>
          <w:tcPr>
            <w:tcW w:w="766" w:type="dxa"/>
            <w:tcBorders>
              <w:top w:val="nil"/>
              <w:left w:val="nil"/>
              <w:bottom w:val="single" w:sz="4" w:space="0" w:color="auto"/>
              <w:right w:val="single" w:sz="4" w:space="0" w:color="auto"/>
            </w:tcBorders>
            <w:shd w:val="clear" w:color="auto" w:fill="auto"/>
            <w:vAlign w:val="center"/>
            <w:hideMark/>
          </w:tcPr>
          <w:p w14:paraId="1D875E8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2 775,000</w:t>
            </w:r>
          </w:p>
        </w:tc>
        <w:tc>
          <w:tcPr>
            <w:tcW w:w="673" w:type="dxa"/>
            <w:tcBorders>
              <w:top w:val="nil"/>
              <w:left w:val="nil"/>
              <w:bottom w:val="single" w:sz="4" w:space="0" w:color="auto"/>
              <w:right w:val="single" w:sz="4" w:space="0" w:color="auto"/>
            </w:tcBorders>
            <w:shd w:val="clear" w:color="auto" w:fill="auto"/>
            <w:vAlign w:val="center"/>
            <w:hideMark/>
          </w:tcPr>
          <w:p w14:paraId="6D41609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1 468,000</w:t>
            </w:r>
          </w:p>
        </w:tc>
        <w:tc>
          <w:tcPr>
            <w:tcW w:w="486" w:type="dxa"/>
            <w:tcBorders>
              <w:top w:val="nil"/>
              <w:left w:val="nil"/>
              <w:bottom w:val="single" w:sz="4" w:space="0" w:color="auto"/>
              <w:right w:val="single" w:sz="4" w:space="0" w:color="auto"/>
            </w:tcBorders>
            <w:shd w:val="clear" w:color="auto" w:fill="auto"/>
            <w:vAlign w:val="center"/>
            <w:hideMark/>
          </w:tcPr>
          <w:p w14:paraId="00245A8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DB0B6E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F65333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86B1D9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405A9D3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4 278,000</w:t>
            </w:r>
          </w:p>
        </w:tc>
        <w:tc>
          <w:tcPr>
            <w:tcW w:w="723" w:type="dxa"/>
            <w:vMerge/>
            <w:tcBorders>
              <w:top w:val="nil"/>
              <w:left w:val="single" w:sz="4" w:space="0" w:color="auto"/>
              <w:bottom w:val="single" w:sz="4" w:space="0" w:color="000000"/>
              <w:right w:val="single" w:sz="4" w:space="0" w:color="auto"/>
            </w:tcBorders>
            <w:vAlign w:val="center"/>
            <w:hideMark/>
          </w:tcPr>
          <w:p w14:paraId="6F4D4653"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464B01CC"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650732BB"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63100/CR08</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6032202D"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účastníci  ve věku nad 54 let zaměstnaní 6 měsíců po ukončení své účasti, včetně OSVČ</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7E0952EF"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Více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hideMark/>
          </w:tcPr>
          <w:p w14:paraId="46BF8CF1"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60100 Nezaměstnaní účastníci, včetně dlouhodobě nezaměstnaných, 60700 účastníci ve věku nad 54 let, 60400 Neaktivní osoby, které nejsou v procesu vzdělávání nebo odborné přípravy</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3D8EC59A"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293F8CC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584,000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06093E83"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BAFD73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824,000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13E1537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141,096%</w:t>
            </w:r>
          </w:p>
        </w:tc>
      </w:tr>
      <w:tr w:rsidR="00101CBF" w:rsidRPr="00101CBF" w14:paraId="08D134BA"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4690D097"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3C9F16C2"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E38EB84"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28AFF508"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0157F1BA"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25E11A6E"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47BFA7B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E92980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78DDF8B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769C421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63A0B86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326,000</w:t>
            </w:r>
          </w:p>
        </w:tc>
        <w:tc>
          <w:tcPr>
            <w:tcW w:w="673" w:type="dxa"/>
            <w:tcBorders>
              <w:top w:val="nil"/>
              <w:left w:val="nil"/>
              <w:bottom w:val="single" w:sz="4" w:space="0" w:color="auto"/>
              <w:right w:val="single" w:sz="4" w:space="0" w:color="auto"/>
            </w:tcBorders>
            <w:shd w:val="clear" w:color="auto" w:fill="auto"/>
            <w:vAlign w:val="center"/>
            <w:hideMark/>
          </w:tcPr>
          <w:p w14:paraId="27CE78D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183,000</w:t>
            </w:r>
          </w:p>
        </w:tc>
        <w:tc>
          <w:tcPr>
            <w:tcW w:w="486" w:type="dxa"/>
            <w:tcBorders>
              <w:top w:val="nil"/>
              <w:left w:val="nil"/>
              <w:bottom w:val="single" w:sz="4" w:space="0" w:color="auto"/>
              <w:right w:val="single" w:sz="4" w:space="0" w:color="auto"/>
            </w:tcBorders>
            <w:shd w:val="clear" w:color="auto" w:fill="auto"/>
            <w:vAlign w:val="center"/>
            <w:hideMark/>
          </w:tcPr>
          <w:p w14:paraId="36FDD56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2EF897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A7A2A1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BACCE1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F6AB18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509,000</w:t>
            </w:r>
          </w:p>
        </w:tc>
        <w:tc>
          <w:tcPr>
            <w:tcW w:w="723" w:type="dxa"/>
            <w:vMerge/>
            <w:tcBorders>
              <w:top w:val="nil"/>
              <w:left w:val="single" w:sz="4" w:space="0" w:color="auto"/>
              <w:bottom w:val="single" w:sz="4" w:space="0" w:color="000000"/>
              <w:right w:val="single" w:sz="4" w:space="0" w:color="auto"/>
            </w:tcBorders>
            <w:vAlign w:val="center"/>
            <w:hideMark/>
          </w:tcPr>
          <w:p w14:paraId="6B286C57"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2604F84D"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5CE0856E"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2C6BC034"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CB94C4E"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2BB115C4"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439CDA58"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73712926"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5744861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7AD856B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5882FC0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340B5AB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nil"/>
              <w:left w:val="nil"/>
              <w:bottom w:val="single" w:sz="4" w:space="0" w:color="auto"/>
              <w:right w:val="single" w:sz="4" w:space="0" w:color="auto"/>
            </w:tcBorders>
            <w:shd w:val="clear" w:color="auto" w:fill="auto"/>
            <w:vAlign w:val="center"/>
            <w:hideMark/>
          </w:tcPr>
          <w:p w14:paraId="32A39424"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205,000</w:t>
            </w:r>
          </w:p>
        </w:tc>
        <w:tc>
          <w:tcPr>
            <w:tcW w:w="673" w:type="dxa"/>
            <w:tcBorders>
              <w:top w:val="nil"/>
              <w:left w:val="nil"/>
              <w:bottom w:val="single" w:sz="4" w:space="0" w:color="auto"/>
              <w:right w:val="single" w:sz="4" w:space="0" w:color="auto"/>
            </w:tcBorders>
            <w:shd w:val="clear" w:color="auto" w:fill="auto"/>
            <w:vAlign w:val="center"/>
            <w:hideMark/>
          </w:tcPr>
          <w:p w14:paraId="4877005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110,000</w:t>
            </w:r>
          </w:p>
        </w:tc>
        <w:tc>
          <w:tcPr>
            <w:tcW w:w="486" w:type="dxa"/>
            <w:tcBorders>
              <w:top w:val="nil"/>
              <w:left w:val="nil"/>
              <w:bottom w:val="single" w:sz="4" w:space="0" w:color="auto"/>
              <w:right w:val="single" w:sz="4" w:space="0" w:color="auto"/>
            </w:tcBorders>
            <w:shd w:val="clear" w:color="auto" w:fill="auto"/>
            <w:vAlign w:val="center"/>
            <w:hideMark/>
          </w:tcPr>
          <w:p w14:paraId="1856077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768461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6563B4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52DA30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2D359B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315,000</w:t>
            </w:r>
          </w:p>
        </w:tc>
        <w:tc>
          <w:tcPr>
            <w:tcW w:w="723" w:type="dxa"/>
            <w:vMerge/>
            <w:tcBorders>
              <w:top w:val="nil"/>
              <w:left w:val="single" w:sz="4" w:space="0" w:color="auto"/>
              <w:bottom w:val="single" w:sz="4" w:space="0" w:color="000000"/>
              <w:right w:val="single" w:sz="4" w:space="0" w:color="auto"/>
            </w:tcBorders>
            <w:vAlign w:val="center"/>
            <w:hideMark/>
          </w:tcPr>
          <w:p w14:paraId="6126BBF1"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7BA6CE64"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27B65D18"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63200/CR09</w:t>
            </w:r>
          </w:p>
        </w:tc>
        <w:tc>
          <w:tcPr>
            <w:tcW w:w="2725" w:type="dxa"/>
            <w:vMerge w:val="restart"/>
            <w:tcBorders>
              <w:top w:val="nil"/>
              <w:left w:val="single" w:sz="4" w:space="0" w:color="auto"/>
              <w:bottom w:val="single" w:sz="4" w:space="0" w:color="000000"/>
              <w:right w:val="single" w:sz="4" w:space="0" w:color="auto"/>
            </w:tcBorders>
            <w:shd w:val="clear" w:color="auto" w:fill="auto"/>
            <w:vAlign w:val="center"/>
            <w:hideMark/>
          </w:tcPr>
          <w:p w14:paraId="1A1E2143"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Znevýhodnění účastníci zaměstnaní 6 měsíců po ukončení své účasti včetně OSVČ**</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10EEBC05"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Méně rozvinuté regiony</w:t>
            </w:r>
          </w:p>
        </w:tc>
        <w:tc>
          <w:tcPr>
            <w:tcW w:w="2271" w:type="dxa"/>
            <w:vMerge w:val="restart"/>
            <w:tcBorders>
              <w:top w:val="nil"/>
              <w:left w:val="single" w:sz="4" w:space="0" w:color="auto"/>
              <w:bottom w:val="single" w:sz="4" w:space="0" w:color="000000"/>
              <w:right w:val="single" w:sz="4" w:space="0" w:color="auto"/>
            </w:tcBorders>
            <w:shd w:val="clear" w:color="auto" w:fill="auto"/>
            <w:vAlign w:val="center"/>
            <w:hideMark/>
          </w:tcPr>
          <w:p w14:paraId="31AFB388"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14:paraId="3C872639"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nil"/>
              <w:left w:val="single" w:sz="4" w:space="0" w:color="auto"/>
              <w:bottom w:val="single" w:sz="4" w:space="0" w:color="000000"/>
              <w:right w:val="single" w:sz="4" w:space="0" w:color="auto"/>
            </w:tcBorders>
            <w:shd w:val="clear" w:color="auto" w:fill="auto"/>
            <w:vAlign w:val="center"/>
            <w:hideMark/>
          </w:tcPr>
          <w:p w14:paraId="27D22CE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39 052,000</w:t>
            </w:r>
          </w:p>
        </w:tc>
        <w:tc>
          <w:tcPr>
            <w:tcW w:w="5495" w:type="dxa"/>
            <w:gridSpan w:val="10"/>
            <w:tcBorders>
              <w:top w:val="single" w:sz="4" w:space="0" w:color="auto"/>
              <w:left w:val="nil"/>
              <w:bottom w:val="single" w:sz="4" w:space="0" w:color="auto"/>
              <w:right w:val="single" w:sz="4" w:space="0" w:color="000000"/>
            </w:tcBorders>
            <w:shd w:val="clear" w:color="auto" w:fill="auto"/>
            <w:vAlign w:val="center"/>
            <w:hideMark/>
          </w:tcPr>
          <w:p w14:paraId="4512603B"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6D0292F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24 847,000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16CE1921"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63,625%</w:t>
            </w:r>
          </w:p>
        </w:tc>
      </w:tr>
      <w:tr w:rsidR="00101CBF" w:rsidRPr="00101CBF" w14:paraId="26C073E0"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4948D680"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000000"/>
              <w:right w:val="single" w:sz="4" w:space="0" w:color="auto"/>
            </w:tcBorders>
            <w:vAlign w:val="center"/>
            <w:hideMark/>
          </w:tcPr>
          <w:p w14:paraId="0A59D63A"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37C2DDC"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000000"/>
              <w:right w:val="single" w:sz="4" w:space="0" w:color="auto"/>
            </w:tcBorders>
            <w:vAlign w:val="center"/>
            <w:hideMark/>
          </w:tcPr>
          <w:p w14:paraId="3DF83301"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000000"/>
              <w:right w:val="single" w:sz="4" w:space="0" w:color="auto"/>
            </w:tcBorders>
            <w:vAlign w:val="center"/>
            <w:hideMark/>
          </w:tcPr>
          <w:p w14:paraId="75C97E48"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000000"/>
              <w:right w:val="single" w:sz="4" w:space="0" w:color="auto"/>
            </w:tcBorders>
            <w:vAlign w:val="center"/>
            <w:hideMark/>
          </w:tcPr>
          <w:p w14:paraId="4DFE96F4"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3AF1DFC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6C23175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1943E92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2,000</w:t>
            </w:r>
          </w:p>
        </w:tc>
        <w:tc>
          <w:tcPr>
            <w:tcW w:w="641" w:type="dxa"/>
            <w:tcBorders>
              <w:top w:val="nil"/>
              <w:left w:val="nil"/>
              <w:bottom w:val="single" w:sz="4" w:space="0" w:color="auto"/>
              <w:right w:val="single" w:sz="4" w:space="0" w:color="auto"/>
            </w:tcBorders>
            <w:shd w:val="clear" w:color="auto" w:fill="auto"/>
            <w:vAlign w:val="center"/>
            <w:hideMark/>
          </w:tcPr>
          <w:p w14:paraId="5D53868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215,000</w:t>
            </w:r>
          </w:p>
        </w:tc>
        <w:tc>
          <w:tcPr>
            <w:tcW w:w="766" w:type="dxa"/>
            <w:tcBorders>
              <w:top w:val="nil"/>
              <w:left w:val="nil"/>
              <w:bottom w:val="single" w:sz="4" w:space="0" w:color="auto"/>
              <w:right w:val="single" w:sz="4" w:space="0" w:color="auto"/>
            </w:tcBorders>
            <w:shd w:val="clear" w:color="auto" w:fill="auto"/>
            <w:vAlign w:val="center"/>
            <w:hideMark/>
          </w:tcPr>
          <w:p w14:paraId="685DE12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7 994,000</w:t>
            </w:r>
          </w:p>
        </w:tc>
        <w:tc>
          <w:tcPr>
            <w:tcW w:w="673" w:type="dxa"/>
            <w:tcBorders>
              <w:top w:val="nil"/>
              <w:left w:val="nil"/>
              <w:bottom w:val="single" w:sz="4" w:space="0" w:color="auto"/>
              <w:right w:val="single" w:sz="4" w:space="0" w:color="auto"/>
            </w:tcBorders>
            <w:shd w:val="clear" w:color="auto" w:fill="auto"/>
            <w:vAlign w:val="center"/>
            <w:hideMark/>
          </w:tcPr>
          <w:p w14:paraId="74949B9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3 186,000</w:t>
            </w:r>
          </w:p>
        </w:tc>
        <w:tc>
          <w:tcPr>
            <w:tcW w:w="486" w:type="dxa"/>
            <w:tcBorders>
              <w:top w:val="nil"/>
              <w:left w:val="nil"/>
              <w:bottom w:val="single" w:sz="4" w:space="0" w:color="auto"/>
              <w:right w:val="single" w:sz="4" w:space="0" w:color="auto"/>
            </w:tcBorders>
            <w:shd w:val="clear" w:color="auto" w:fill="auto"/>
            <w:vAlign w:val="center"/>
            <w:hideMark/>
          </w:tcPr>
          <w:p w14:paraId="0422EA8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A8CB0E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26CA3E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CD7CD8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2DF45EE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11 397,000</w:t>
            </w:r>
          </w:p>
        </w:tc>
        <w:tc>
          <w:tcPr>
            <w:tcW w:w="723" w:type="dxa"/>
            <w:vMerge/>
            <w:tcBorders>
              <w:top w:val="nil"/>
              <w:left w:val="single" w:sz="4" w:space="0" w:color="auto"/>
              <w:bottom w:val="single" w:sz="4" w:space="0" w:color="000000"/>
              <w:right w:val="single" w:sz="4" w:space="0" w:color="auto"/>
            </w:tcBorders>
            <w:vAlign w:val="center"/>
            <w:hideMark/>
          </w:tcPr>
          <w:p w14:paraId="12E999DD"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334F3562" w14:textId="77777777" w:rsidTr="007D24EE">
        <w:trPr>
          <w:trHeight w:val="20"/>
        </w:trPr>
        <w:tc>
          <w:tcPr>
            <w:tcW w:w="796" w:type="dxa"/>
            <w:vMerge/>
            <w:tcBorders>
              <w:top w:val="nil"/>
              <w:left w:val="single" w:sz="4" w:space="0" w:color="auto"/>
              <w:bottom w:val="single" w:sz="4" w:space="0" w:color="auto"/>
              <w:right w:val="single" w:sz="4" w:space="0" w:color="auto"/>
            </w:tcBorders>
            <w:vAlign w:val="center"/>
            <w:hideMark/>
          </w:tcPr>
          <w:p w14:paraId="402A21E1"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nil"/>
              <w:left w:val="single" w:sz="4" w:space="0" w:color="auto"/>
              <w:bottom w:val="single" w:sz="4" w:space="0" w:color="auto"/>
              <w:right w:val="single" w:sz="4" w:space="0" w:color="auto"/>
            </w:tcBorders>
            <w:vAlign w:val="center"/>
            <w:hideMark/>
          </w:tcPr>
          <w:p w14:paraId="2B6295D9"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01B68E6"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nil"/>
              <w:left w:val="single" w:sz="4" w:space="0" w:color="auto"/>
              <w:bottom w:val="single" w:sz="4" w:space="0" w:color="auto"/>
              <w:right w:val="single" w:sz="4" w:space="0" w:color="auto"/>
            </w:tcBorders>
            <w:vAlign w:val="center"/>
            <w:hideMark/>
          </w:tcPr>
          <w:p w14:paraId="3693E279"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nil"/>
              <w:left w:val="single" w:sz="4" w:space="0" w:color="auto"/>
              <w:bottom w:val="single" w:sz="4" w:space="0" w:color="auto"/>
              <w:right w:val="single" w:sz="4" w:space="0" w:color="auto"/>
            </w:tcBorders>
            <w:vAlign w:val="center"/>
            <w:hideMark/>
          </w:tcPr>
          <w:p w14:paraId="62640829"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nil"/>
              <w:left w:val="single" w:sz="4" w:space="0" w:color="auto"/>
              <w:bottom w:val="single" w:sz="4" w:space="0" w:color="auto"/>
              <w:right w:val="single" w:sz="4" w:space="0" w:color="auto"/>
            </w:tcBorders>
            <w:vAlign w:val="center"/>
            <w:hideMark/>
          </w:tcPr>
          <w:p w14:paraId="3299EAB5"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nil"/>
              <w:left w:val="nil"/>
              <w:bottom w:val="single" w:sz="4" w:space="0" w:color="auto"/>
              <w:right w:val="single" w:sz="4" w:space="0" w:color="auto"/>
            </w:tcBorders>
            <w:shd w:val="clear" w:color="auto" w:fill="auto"/>
            <w:vAlign w:val="center"/>
            <w:hideMark/>
          </w:tcPr>
          <w:p w14:paraId="55CDE51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56DB6EB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nil"/>
              <w:left w:val="nil"/>
              <w:bottom w:val="single" w:sz="4" w:space="0" w:color="auto"/>
              <w:right w:val="single" w:sz="4" w:space="0" w:color="auto"/>
            </w:tcBorders>
            <w:shd w:val="clear" w:color="auto" w:fill="auto"/>
            <w:vAlign w:val="center"/>
            <w:hideMark/>
          </w:tcPr>
          <w:p w14:paraId="3B32380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nil"/>
              <w:left w:val="nil"/>
              <w:bottom w:val="single" w:sz="4" w:space="0" w:color="auto"/>
              <w:right w:val="single" w:sz="4" w:space="0" w:color="auto"/>
            </w:tcBorders>
            <w:shd w:val="clear" w:color="auto" w:fill="auto"/>
            <w:vAlign w:val="center"/>
            <w:hideMark/>
          </w:tcPr>
          <w:p w14:paraId="109BE8B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248,000</w:t>
            </w:r>
          </w:p>
        </w:tc>
        <w:tc>
          <w:tcPr>
            <w:tcW w:w="766" w:type="dxa"/>
            <w:tcBorders>
              <w:top w:val="nil"/>
              <w:left w:val="nil"/>
              <w:bottom w:val="single" w:sz="4" w:space="0" w:color="auto"/>
              <w:right w:val="single" w:sz="4" w:space="0" w:color="auto"/>
            </w:tcBorders>
            <w:shd w:val="clear" w:color="auto" w:fill="auto"/>
            <w:vAlign w:val="center"/>
            <w:hideMark/>
          </w:tcPr>
          <w:p w14:paraId="483C7B1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9 685,000</w:t>
            </w:r>
          </w:p>
        </w:tc>
        <w:tc>
          <w:tcPr>
            <w:tcW w:w="673" w:type="dxa"/>
            <w:tcBorders>
              <w:top w:val="nil"/>
              <w:left w:val="nil"/>
              <w:bottom w:val="single" w:sz="4" w:space="0" w:color="auto"/>
              <w:right w:val="single" w:sz="4" w:space="0" w:color="auto"/>
            </w:tcBorders>
            <w:shd w:val="clear" w:color="auto" w:fill="auto"/>
            <w:vAlign w:val="center"/>
            <w:hideMark/>
          </w:tcPr>
          <w:p w14:paraId="534B18C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3 517,000</w:t>
            </w:r>
          </w:p>
        </w:tc>
        <w:tc>
          <w:tcPr>
            <w:tcW w:w="486" w:type="dxa"/>
            <w:tcBorders>
              <w:top w:val="nil"/>
              <w:left w:val="nil"/>
              <w:bottom w:val="single" w:sz="4" w:space="0" w:color="auto"/>
              <w:right w:val="single" w:sz="4" w:space="0" w:color="auto"/>
            </w:tcBorders>
            <w:shd w:val="clear" w:color="auto" w:fill="auto"/>
            <w:vAlign w:val="center"/>
            <w:hideMark/>
          </w:tcPr>
          <w:p w14:paraId="0302EBC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21B13F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3D8F3A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508E64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nil"/>
              <w:left w:val="nil"/>
              <w:bottom w:val="single" w:sz="4" w:space="0" w:color="auto"/>
              <w:right w:val="single" w:sz="4" w:space="0" w:color="auto"/>
            </w:tcBorders>
            <w:shd w:val="clear" w:color="auto" w:fill="auto"/>
            <w:vAlign w:val="center"/>
            <w:hideMark/>
          </w:tcPr>
          <w:p w14:paraId="3176EEA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13 450,000</w:t>
            </w:r>
          </w:p>
        </w:tc>
        <w:tc>
          <w:tcPr>
            <w:tcW w:w="723" w:type="dxa"/>
            <w:vMerge/>
            <w:tcBorders>
              <w:top w:val="nil"/>
              <w:left w:val="single" w:sz="4" w:space="0" w:color="auto"/>
              <w:bottom w:val="single" w:sz="4" w:space="0" w:color="000000"/>
              <w:right w:val="single" w:sz="4" w:space="0" w:color="auto"/>
            </w:tcBorders>
            <w:vAlign w:val="center"/>
            <w:hideMark/>
          </w:tcPr>
          <w:p w14:paraId="3AADA993"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4D35E1B8" w14:textId="77777777" w:rsidTr="007D24EE">
        <w:trPr>
          <w:trHeight w:val="20"/>
        </w:trPr>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FC74C"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63200/CR09</w:t>
            </w:r>
          </w:p>
        </w:tc>
        <w:tc>
          <w:tcPr>
            <w:tcW w:w="27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4D6827"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Znevýhodnění účastníci zaměstnaní 6 měsíců po ukončení své účasti včetně OSVČ**</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18D31"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Více rozvinuté regiony</w:t>
            </w:r>
          </w:p>
        </w:tc>
        <w:tc>
          <w:tcPr>
            <w:tcW w:w="22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25AC1"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7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082AA" w14:textId="77777777" w:rsidR="00101CBF" w:rsidRPr="00101CBF" w:rsidRDefault="00101CBF" w:rsidP="00101CBF">
            <w:pP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Osoby</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B1AAD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1 948,000</w:t>
            </w:r>
          </w:p>
        </w:tc>
        <w:tc>
          <w:tcPr>
            <w:tcW w:w="54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2F305E5" w14:textId="77777777" w:rsidR="00101CBF" w:rsidRPr="00101CBF" w:rsidRDefault="00101CBF" w:rsidP="00101CBF">
            <w:pPr>
              <w:jc w:val="center"/>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5E03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1 851,000</w:t>
            </w:r>
          </w:p>
        </w:tc>
        <w:tc>
          <w:tcPr>
            <w:tcW w:w="723" w:type="dxa"/>
            <w:vMerge w:val="restart"/>
            <w:tcBorders>
              <w:top w:val="nil"/>
              <w:left w:val="single" w:sz="4" w:space="0" w:color="auto"/>
              <w:bottom w:val="single" w:sz="4" w:space="0" w:color="000000"/>
              <w:right w:val="single" w:sz="4" w:space="0" w:color="auto"/>
            </w:tcBorders>
            <w:shd w:val="clear" w:color="auto" w:fill="auto"/>
            <w:vAlign w:val="center"/>
            <w:hideMark/>
          </w:tcPr>
          <w:p w14:paraId="7DE8208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95,021%</w:t>
            </w:r>
          </w:p>
        </w:tc>
      </w:tr>
      <w:tr w:rsidR="00101CBF" w:rsidRPr="00101CBF" w14:paraId="6186F012" w14:textId="77777777" w:rsidTr="007D24EE">
        <w:trPr>
          <w:trHeight w:val="20"/>
        </w:trPr>
        <w:tc>
          <w:tcPr>
            <w:tcW w:w="796" w:type="dxa"/>
            <w:vMerge/>
            <w:tcBorders>
              <w:top w:val="single" w:sz="4" w:space="0" w:color="auto"/>
              <w:left w:val="single" w:sz="4" w:space="0" w:color="auto"/>
              <w:bottom w:val="single" w:sz="4" w:space="0" w:color="auto"/>
              <w:right w:val="single" w:sz="4" w:space="0" w:color="auto"/>
            </w:tcBorders>
            <w:vAlign w:val="center"/>
            <w:hideMark/>
          </w:tcPr>
          <w:p w14:paraId="27212CAF"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single" w:sz="4" w:space="0" w:color="auto"/>
              <w:left w:val="single" w:sz="4" w:space="0" w:color="auto"/>
              <w:bottom w:val="single" w:sz="4" w:space="0" w:color="auto"/>
              <w:right w:val="single" w:sz="4" w:space="0" w:color="auto"/>
            </w:tcBorders>
            <w:vAlign w:val="center"/>
            <w:hideMark/>
          </w:tcPr>
          <w:p w14:paraId="3EBBEB13"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4A3605E7"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single" w:sz="4" w:space="0" w:color="auto"/>
              <w:left w:val="single" w:sz="4" w:space="0" w:color="auto"/>
              <w:bottom w:val="single" w:sz="4" w:space="0" w:color="auto"/>
              <w:right w:val="single" w:sz="4" w:space="0" w:color="auto"/>
            </w:tcBorders>
            <w:vAlign w:val="center"/>
            <w:hideMark/>
          </w:tcPr>
          <w:p w14:paraId="158D4C22"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14:paraId="68AE6654"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14:paraId="05988447"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4717508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64789EAF"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026C8B6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single" w:sz="4" w:space="0" w:color="auto"/>
              <w:left w:val="nil"/>
              <w:bottom w:val="single" w:sz="4" w:space="0" w:color="auto"/>
              <w:right w:val="single" w:sz="4" w:space="0" w:color="auto"/>
            </w:tcBorders>
            <w:shd w:val="clear" w:color="auto" w:fill="auto"/>
            <w:vAlign w:val="center"/>
            <w:hideMark/>
          </w:tcPr>
          <w:p w14:paraId="192C8A2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5CBC68D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626,000</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430FB256"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244,000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C39751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34DEA1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F1B56E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6E23CEE"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30483BEC"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870,000</w:t>
            </w:r>
          </w:p>
        </w:tc>
        <w:tc>
          <w:tcPr>
            <w:tcW w:w="723" w:type="dxa"/>
            <w:vMerge/>
            <w:tcBorders>
              <w:top w:val="nil"/>
              <w:left w:val="single" w:sz="4" w:space="0" w:color="auto"/>
              <w:bottom w:val="single" w:sz="4" w:space="0" w:color="000000"/>
              <w:right w:val="single" w:sz="4" w:space="0" w:color="auto"/>
            </w:tcBorders>
            <w:vAlign w:val="center"/>
            <w:hideMark/>
          </w:tcPr>
          <w:p w14:paraId="5E2F8ED2" w14:textId="77777777" w:rsidR="00101CBF" w:rsidRPr="00101CBF" w:rsidRDefault="00101CBF" w:rsidP="00101CBF">
            <w:pPr>
              <w:rPr>
                <w:rFonts w:ascii="Arial" w:eastAsia="Times New Roman" w:hAnsi="Arial" w:cs="Arial"/>
                <w:color w:val="000000"/>
                <w:sz w:val="14"/>
                <w:szCs w:val="14"/>
                <w:lang w:val="cs-CZ" w:eastAsia="cs-CZ"/>
              </w:rPr>
            </w:pPr>
          </w:p>
        </w:tc>
      </w:tr>
      <w:tr w:rsidR="00101CBF" w:rsidRPr="00101CBF" w14:paraId="333EF8E4" w14:textId="77777777" w:rsidTr="007D24EE">
        <w:trPr>
          <w:trHeight w:val="20"/>
        </w:trPr>
        <w:tc>
          <w:tcPr>
            <w:tcW w:w="796" w:type="dxa"/>
            <w:vMerge/>
            <w:tcBorders>
              <w:top w:val="single" w:sz="4" w:space="0" w:color="auto"/>
              <w:left w:val="single" w:sz="4" w:space="0" w:color="auto"/>
              <w:bottom w:val="single" w:sz="4" w:space="0" w:color="000000"/>
              <w:right w:val="single" w:sz="4" w:space="0" w:color="auto"/>
            </w:tcBorders>
            <w:vAlign w:val="center"/>
            <w:hideMark/>
          </w:tcPr>
          <w:p w14:paraId="10B4BDF4" w14:textId="77777777" w:rsidR="00101CBF" w:rsidRPr="00101CBF" w:rsidRDefault="00101CBF" w:rsidP="00101CBF">
            <w:pPr>
              <w:rPr>
                <w:rFonts w:ascii="Arial" w:eastAsia="Times New Roman" w:hAnsi="Arial" w:cs="Arial"/>
                <w:color w:val="000000"/>
                <w:sz w:val="14"/>
                <w:szCs w:val="14"/>
                <w:lang w:val="cs-CZ" w:eastAsia="cs-CZ"/>
              </w:rPr>
            </w:pPr>
          </w:p>
        </w:tc>
        <w:tc>
          <w:tcPr>
            <w:tcW w:w="2725" w:type="dxa"/>
            <w:vMerge/>
            <w:tcBorders>
              <w:top w:val="single" w:sz="4" w:space="0" w:color="auto"/>
              <w:left w:val="single" w:sz="4" w:space="0" w:color="auto"/>
              <w:bottom w:val="single" w:sz="4" w:space="0" w:color="000000"/>
              <w:right w:val="single" w:sz="4" w:space="0" w:color="auto"/>
            </w:tcBorders>
            <w:vAlign w:val="center"/>
            <w:hideMark/>
          </w:tcPr>
          <w:p w14:paraId="00E80433" w14:textId="77777777" w:rsidR="00101CBF" w:rsidRPr="00101CBF" w:rsidRDefault="00101CBF" w:rsidP="00101CBF">
            <w:pPr>
              <w:rPr>
                <w:rFonts w:ascii="Arial" w:eastAsia="Times New Roman" w:hAnsi="Arial" w:cs="Arial"/>
                <w:color w:val="000000"/>
                <w:sz w:val="14"/>
                <w:szCs w:val="14"/>
                <w:lang w:val="cs-CZ" w:eastAsia="cs-CZ"/>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14:paraId="5FF5C1BC" w14:textId="77777777" w:rsidR="00101CBF" w:rsidRPr="00101CBF" w:rsidRDefault="00101CBF" w:rsidP="00101CBF">
            <w:pPr>
              <w:rPr>
                <w:rFonts w:ascii="Arial" w:eastAsia="Times New Roman" w:hAnsi="Arial" w:cs="Arial"/>
                <w:color w:val="000000"/>
                <w:sz w:val="14"/>
                <w:szCs w:val="14"/>
                <w:lang w:val="cs-CZ" w:eastAsia="cs-CZ"/>
              </w:rPr>
            </w:pPr>
          </w:p>
        </w:tc>
        <w:tc>
          <w:tcPr>
            <w:tcW w:w="2271" w:type="dxa"/>
            <w:vMerge/>
            <w:tcBorders>
              <w:top w:val="single" w:sz="4" w:space="0" w:color="auto"/>
              <w:left w:val="single" w:sz="4" w:space="0" w:color="auto"/>
              <w:bottom w:val="single" w:sz="4" w:space="0" w:color="000000"/>
              <w:right w:val="single" w:sz="4" w:space="0" w:color="auto"/>
            </w:tcBorders>
            <w:vAlign w:val="center"/>
            <w:hideMark/>
          </w:tcPr>
          <w:p w14:paraId="721645C0" w14:textId="77777777" w:rsidR="00101CBF" w:rsidRPr="00101CBF" w:rsidRDefault="00101CBF" w:rsidP="00101CBF">
            <w:pPr>
              <w:rPr>
                <w:rFonts w:ascii="Arial" w:eastAsia="Times New Roman" w:hAnsi="Arial" w:cs="Arial"/>
                <w:color w:val="000000"/>
                <w:sz w:val="14"/>
                <w:szCs w:val="14"/>
                <w:lang w:val="cs-CZ" w:eastAsia="cs-CZ"/>
              </w:rPr>
            </w:pPr>
          </w:p>
        </w:tc>
        <w:tc>
          <w:tcPr>
            <w:tcW w:w="788" w:type="dxa"/>
            <w:vMerge/>
            <w:tcBorders>
              <w:top w:val="single" w:sz="4" w:space="0" w:color="auto"/>
              <w:left w:val="single" w:sz="4" w:space="0" w:color="auto"/>
              <w:bottom w:val="single" w:sz="4" w:space="0" w:color="000000"/>
              <w:right w:val="single" w:sz="4" w:space="0" w:color="auto"/>
            </w:tcBorders>
            <w:vAlign w:val="center"/>
            <w:hideMark/>
          </w:tcPr>
          <w:p w14:paraId="5B7ED71A" w14:textId="77777777" w:rsidR="00101CBF" w:rsidRPr="00101CBF" w:rsidRDefault="00101CBF" w:rsidP="00101CBF">
            <w:pPr>
              <w:rPr>
                <w:rFonts w:ascii="Arial" w:eastAsia="Times New Roman" w:hAnsi="Arial" w:cs="Arial"/>
                <w:color w:val="000000"/>
                <w:sz w:val="14"/>
                <w:szCs w:val="14"/>
                <w:lang w:val="cs-CZ" w:eastAsia="cs-CZ"/>
              </w:rPr>
            </w:pPr>
          </w:p>
        </w:tc>
        <w:tc>
          <w:tcPr>
            <w:tcW w:w="762" w:type="dxa"/>
            <w:vMerge/>
            <w:tcBorders>
              <w:top w:val="single" w:sz="4" w:space="0" w:color="auto"/>
              <w:left w:val="single" w:sz="4" w:space="0" w:color="auto"/>
              <w:bottom w:val="single" w:sz="4" w:space="0" w:color="000000"/>
              <w:right w:val="single" w:sz="4" w:space="0" w:color="auto"/>
            </w:tcBorders>
            <w:vAlign w:val="center"/>
            <w:hideMark/>
          </w:tcPr>
          <w:p w14:paraId="2C0EE021" w14:textId="77777777" w:rsidR="00101CBF" w:rsidRPr="00101CBF" w:rsidRDefault="00101CBF" w:rsidP="00101CBF">
            <w:pPr>
              <w:rPr>
                <w:rFonts w:ascii="Arial" w:eastAsia="Times New Roman" w:hAnsi="Arial" w:cs="Arial"/>
                <w:color w:val="000000"/>
                <w:sz w:val="14"/>
                <w:szCs w:val="14"/>
                <w:lang w:val="cs-CZ" w:eastAsia="cs-CZ"/>
              </w:rPr>
            </w:pP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51B92A1A"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479118A9"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246BF6D8"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641" w:type="dxa"/>
            <w:tcBorders>
              <w:top w:val="single" w:sz="4" w:space="0" w:color="auto"/>
              <w:left w:val="nil"/>
              <w:bottom w:val="single" w:sz="4" w:space="0" w:color="auto"/>
              <w:right w:val="single" w:sz="4" w:space="0" w:color="auto"/>
            </w:tcBorders>
            <w:shd w:val="clear" w:color="auto" w:fill="auto"/>
            <w:vAlign w:val="center"/>
            <w:hideMark/>
          </w:tcPr>
          <w:p w14:paraId="5CE98213"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0,000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0530094B"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720,000</w:t>
            </w:r>
          </w:p>
        </w:tc>
        <w:tc>
          <w:tcPr>
            <w:tcW w:w="673" w:type="dxa"/>
            <w:tcBorders>
              <w:top w:val="single" w:sz="4" w:space="0" w:color="auto"/>
              <w:left w:val="nil"/>
              <w:bottom w:val="single" w:sz="4" w:space="0" w:color="auto"/>
              <w:right w:val="single" w:sz="4" w:space="0" w:color="auto"/>
            </w:tcBorders>
            <w:shd w:val="clear" w:color="auto" w:fill="auto"/>
            <w:vAlign w:val="center"/>
            <w:hideMark/>
          </w:tcPr>
          <w:p w14:paraId="1EE1356D"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261,000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0CB4C65"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23EA890"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8D58F67"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3EB3C42" w14:textId="77777777"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 </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327381A6" w14:textId="785F568B" w:rsidR="00101CBF" w:rsidRPr="00101CBF" w:rsidRDefault="00101CBF" w:rsidP="00101CBF">
            <w:pPr>
              <w:jc w:val="right"/>
              <w:rPr>
                <w:rFonts w:ascii="Arial" w:eastAsia="Times New Roman" w:hAnsi="Arial" w:cs="Arial"/>
                <w:color w:val="000000"/>
                <w:sz w:val="14"/>
                <w:szCs w:val="14"/>
                <w:lang w:val="cs-CZ" w:eastAsia="cs-CZ"/>
              </w:rPr>
            </w:pPr>
            <w:r w:rsidRPr="00101CBF">
              <w:rPr>
                <w:rFonts w:ascii="Arial" w:eastAsia="Times New Roman" w:hAnsi="Arial" w:cs="Arial"/>
                <w:color w:val="000000"/>
                <w:sz w:val="14"/>
                <w:szCs w:val="14"/>
                <w:lang w:val="cs-CZ" w:eastAsia="cs-CZ"/>
              </w:rPr>
              <w:t>981,000</w:t>
            </w:r>
          </w:p>
        </w:tc>
        <w:tc>
          <w:tcPr>
            <w:tcW w:w="723" w:type="dxa"/>
            <w:vMerge/>
            <w:tcBorders>
              <w:top w:val="nil"/>
              <w:left w:val="single" w:sz="4" w:space="0" w:color="auto"/>
              <w:bottom w:val="single" w:sz="4" w:space="0" w:color="000000"/>
              <w:right w:val="single" w:sz="4" w:space="0" w:color="auto"/>
            </w:tcBorders>
            <w:vAlign w:val="center"/>
            <w:hideMark/>
          </w:tcPr>
          <w:p w14:paraId="144196B2" w14:textId="77777777" w:rsidR="00101CBF" w:rsidRPr="00101CBF" w:rsidRDefault="00101CBF" w:rsidP="00101CBF">
            <w:pPr>
              <w:rPr>
                <w:rFonts w:ascii="Arial" w:eastAsia="Times New Roman" w:hAnsi="Arial" w:cs="Arial"/>
                <w:color w:val="000000"/>
                <w:sz w:val="14"/>
                <w:szCs w:val="14"/>
                <w:lang w:val="cs-CZ" w:eastAsia="cs-CZ"/>
              </w:rPr>
            </w:pPr>
          </w:p>
        </w:tc>
      </w:tr>
    </w:tbl>
    <w:p w14:paraId="2E55B0D6" w14:textId="77777777" w:rsidR="00541D74" w:rsidRPr="002F2BE4" w:rsidRDefault="00541D74" w:rsidP="00541D74">
      <w:pPr>
        <w:keepNext/>
        <w:ind w:right="106"/>
        <w:jc w:val="both"/>
        <w:rPr>
          <w:rFonts w:ascii="Arial" w:eastAsia="Arial" w:hAnsi="Arial" w:cs="Arial"/>
          <w:color w:val="000000"/>
          <w:sz w:val="20"/>
          <w:lang w:val="cs-CZ"/>
        </w:rPr>
      </w:pPr>
    </w:p>
    <w:p w14:paraId="30A57F8E"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581B3BA8" w14:textId="77777777" w:rsidR="00FD35AB" w:rsidRPr="002F2BE4" w:rsidRDefault="00FD35AB" w:rsidP="00FD35AB">
      <w:pPr>
        <w:keepNext/>
        <w:ind w:left="115" w:right="106"/>
        <w:jc w:val="both"/>
        <w:rPr>
          <w:rFonts w:ascii="Arial" w:eastAsia="Arial" w:hAnsi="Arial" w:cs="Arial"/>
          <w:color w:val="000000"/>
          <w:sz w:val="20"/>
          <w:lang w:val="cs-CZ"/>
        </w:rPr>
      </w:pPr>
    </w:p>
    <w:p w14:paraId="27CC8A67" w14:textId="77777777" w:rsidR="00FD35AB" w:rsidRPr="002F2BE4"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03.1.49 Trvalé začlenění mladých lidí na trh práce, mimo jiné pomocí “záruky pro mladé lidi”, a to zejména těch, kteří nejsou ve vzdělávání, v zaměstnání nebo v profesní přípravě, včetně těch mladých lidí, kterým hrozí sociální vyloučení, a mladých lidí z marginalizovaných komunit</w:t>
      </w:r>
    </w:p>
    <w:tbl>
      <w:tblPr>
        <w:tblW w:w="0" w:type="auto"/>
        <w:tblInd w:w="58" w:type="dxa"/>
        <w:tblLayout w:type="fixed"/>
        <w:tblCellMar>
          <w:left w:w="0" w:type="dxa"/>
          <w:right w:w="0" w:type="dxa"/>
        </w:tblCellMar>
        <w:tblLook w:val="04A0" w:firstRow="1" w:lastRow="0" w:firstColumn="1" w:lastColumn="0" w:noHBand="0" w:noVBand="1"/>
      </w:tblPr>
      <w:tblGrid>
        <w:gridCol w:w="472"/>
        <w:gridCol w:w="986"/>
        <w:gridCol w:w="846"/>
        <w:gridCol w:w="1166"/>
        <w:gridCol w:w="711"/>
        <w:gridCol w:w="915"/>
        <w:gridCol w:w="797"/>
        <w:gridCol w:w="857"/>
        <w:gridCol w:w="857"/>
        <w:gridCol w:w="858"/>
        <w:gridCol w:w="861"/>
        <w:gridCol w:w="857"/>
        <w:gridCol w:w="858"/>
        <w:gridCol w:w="857"/>
        <w:gridCol w:w="857"/>
        <w:gridCol w:w="864"/>
        <w:gridCol w:w="1177"/>
        <w:gridCol w:w="890"/>
      </w:tblGrid>
      <w:tr w:rsidR="00A91BEF" w:rsidRPr="002F2BE4" w14:paraId="4EDDFC87" w14:textId="77777777" w:rsidTr="00A91BEF">
        <w:trPr>
          <w:cantSplit/>
          <w:trHeight w:val="649"/>
          <w:tblHeader/>
        </w:trPr>
        <w:tc>
          <w:tcPr>
            <w:tcW w:w="4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E65A3F"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ID</w:t>
            </w:r>
          </w:p>
        </w:tc>
        <w:tc>
          <w:tcPr>
            <w:tcW w:w="98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C211201"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Indikátor</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BBC9896"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Kategorie regionu</w:t>
            </w:r>
          </w:p>
        </w:tc>
        <w:tc>
          <w:tcPr>
            <w:tcW w:w="116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D36A5BC"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Společný indikátor výstupů použitý jako základ pro stanovení cíle</w:t>
            </w:r>
          </w:p>
        </w:tc>
        <w:tc>
          <w:tcPr>
            <w:tcW w:w="71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480DEDD"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Měrná jednotka pro výchozí hodnotu a cíl</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EF27549"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Cílová hodnota (2023)</w:t>
            </w:r>
          </w:p>
          <w:p w14:paraId="168A69C8"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(Rozdělení podle pohlaví je pro cíl nepovinné)</w:t>
            </w:r>
          </w:p>
        </w:tc>
        <w:tc>
          <w:tcPr>
            <w:tcW w:w="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08E596"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0B5C93B9"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2014</w:t>
            </w:r>
          </w:p>
          <w:p w14:paraId="799BC6B8"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3689E"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31716545"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2015</w:t>
            </w:r>
          </w:p>
          <w:p w14:paraId="6646C2CF"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AC68A0"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48368B68"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2016</w:t>
            </w:r>
          </w:p>
          <w:p w14:paraId="6F8EE0FB"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59F2F8"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30CB029D"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2017</w:t>
            </w:r>
          </w:p>
          <w:p w14:paraId="773017CD"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0DFA5A"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324A114F"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2018</w:t>
            </w:r>
          </w:p>
          <w:p w14:paraId="5E86C988"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EE4B55"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17CCEF6C"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2019</w:t>
            </w:r>
          </w:p>
          <w:p w14:paraId="2C09B94F"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16D296"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62997186"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2020</w:t>
            </w:r>
          </w:p>
          <w:p w14:paraId="33A501E4"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4643FF"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0EAB6202"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2021</w:t>
            </w:r>
          </w:p>
          <w:p w14:paraId="5FDBAE6E"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BFABA6"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1928B22F"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2022</w:t>
            </w:r>
          </w:p>
          <w:p w14:paraId="4948755D"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CB44C7"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401A77E2"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2023</w:t>
            </w:r>
          </w:p>
          <w:p w14:paraId="52760107"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11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1240EA"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Kumulativní hodnota</w:t>
            </w:r>
          </w:p>
          <w:p w14:paraId="1B50FC8B"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(vypočítána automaticky)</w:t>
            </w:r>
          </w:p>
        </w:tc>
        <w:tc>
          <w:tcPr>
            <w:tcW w:w="8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CF5286E" w14:textId="77777777" w:rsidR="00FD35AB" w:rsidRPr="002F2BE4" w:rsidRDefault="00FD35AB" w:rsidP="00487A54">
            <w:pPr>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Míra splnění</w:t>
            </w:r>
          </w:p>
          <w:p w14:paraId="341CC5D3" w14:textId="77777777" w:rsidR="00FD35AB" w:rsidRPr="002F2BE4" w:rsidRDefault="00FD35AB" w:rsidP="00487A54">
            <w:pPr>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Rozdělení podle pohlaví je nepovinné</w:t>
            </w:r>
          </w:p>
        </w:tc>
      </w:tr>
      <w:tr w:rsidR="00FD35AB" w:rsidRPr="002F2BE4" w14:paraId="2DADD0CE" w14:textId="77777777" w:rsidTr="00A91BEF">
        <w:trPr>
          <w:cantSplit/>
          <w:trHeight w:val="509"/>
          <w:tblHeader/>
        </w:trPr>
        <w:tc>
          <w:tcPr>
            <w:tcW w:w="4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52DAED2" w14:textId="77777777" w:rsidR="00FD35AB" w:rsidRPr="002F2BE4" w:rsidRDefault="00FD35AB" w:rsidP="00487A54">
            <w:pPr>
              <w:rPr>
                <w:lang w:val="cs-CZ"/>
              </w:rPr>
            </w:pPr>
          </w:p>
        </w:tc>
        <w:tc>
          <w:tcPr>
            <w:tcW w:w="9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49877B8" w14:textId="77777777" w:rsidR="00FD35AB" w:rsidRPr="002F2BE4" w:rsidRDefault="00FD35AB" w:rsidP="00487A54">
            <w:pPr>
              <w:rPr>
                <w:lang w:val="cs-CZ"/>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35A7FB" w14:textId="77777777" w:rsidR="00FD35AB" w:rsidRPr="002F2BE4" w:rsidRDefault="00FD35AB" w:rsidP="00487A54">
            <w:pPr>
              <w:rPr>
                <w:lang w:val="cs-CZ"/>
              </w:rPr>
            </w:pPr>
          </w:p>
        </w:tc>
        <w:tc>
          <w:tcPr>
            <w:tcW w:w="116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7A35BB" w14:textId="77777777" w:rsidR="00FD35AB" w:rsidRPr="002F2BE4" w:rsidRDefault="00FD35AB" w:rsidP="00487A54">
            <w:pPr>
              <w:rPr>
                <w:lang w:val="cs-CZ"/>
              </w:rPr>
            </w:pPr>
          </w:p>
        </w:tc>
        <w:tc>
          <w:tcPr>
            <w:tcW w:w="71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6C0FD6" w14:textId="77777777" w:rsidR="00FD35AB" w:rsidRPr="002F2BE4" w:rsidRDefault="00FD35AB" w:rsidP="00487A54">
            <w:pPr>
              <w:rPr>
                <w:lang w:val="cs-CZ"/>
              </w:rPr>
            </w:pPr>
          </w:p>
        </w:tc>
        <w:tc>
          <w:tcPr>
            <w:tcW w:w="9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A87AD4" w14:textId="77777777" w:rsidR="00FD35AB" w:rsidRPr="002F2BE4" w:rsidRDefault="00FD35AB" w:rsidP="00487A54">
            <w:pPr>
              <w:rPr>
                <w:lang w:val="cs-CZ"/>
              </w:rPr>
            </w:pPr>
          </w:p>
        </w:tc>
        <w:tc>
          <w:tcPr>
            <w:tcW w:w="8523"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14:paraId="0A7CFB0C"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77B7C1B7"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Roční hodnota</w:t>
            </w:r>
          </w:p>
          <w:p w14:paraId="5F8F78D3"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11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1B0D7F"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0EE1889F"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Celkem</w:t>
            </w:r>
          </w:p>
          <w:p w14:paraId="7D42FA2C"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D8475F4" w14:textId="77777777" w:rsidR="00FD35AB" w:rsidRPr="002F2BE4" w:rsidRDefault="00FD35AB" w:rsidP="00487A54">
            <w:pPr>
              <w:rPr>
                <w:lang w:val="cs-CZ"/>
              </w:rPr>
            </w:pPr>
          </w:p>
        </w:tc>
      </w:tr>
      <w:tr w:rsidR="00A91BEF" w:rsidRPr="002F2BE4" w14:paraId="4DD4ADD2" w14:textId="77777777" w:rsidTr="00A91BEF">
        <w:trPr>
          <w:cantSplit/>
          <w:trHeight w:val="165"/>
          <w:tblHeader/>
        </w:trPr>
        <w:tc>
          <w:tcPr>
            <w:tcW w:w="4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0304D66" w14:textId="77777777" w:rsidR="00FD35AB" w:rsidRPr="002F2BE4" w:rsidRDefault="00FD35AB" w:rsidP="00487A54">
            <w:pPr>
              <w:rPr>
                <w:lang w:val="cs-CZ"/>
              </w:rPr>
            </w:pPr>
          </w:p>
        </w:tc>
        <w:tc>
          <w:tcPr>
            <w:tcW w:w="9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815FE5F" w14:textId="77777777" w:rsidR="00FD35AB" w:rsidRPr="002F2BE4" w:rsidRDefault="00FD35AB" w:rsidP="00487A54">
            <w:pPr>
              <w:rPr>
                <w:lang w:val="cs-CZ"/>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ECC64D1" w14:textId="77777777" w:rsidR="00FD35AB" w:rsidRPr="002F2BE4" w:rsidRDefault="00FD35AB" w:rsidP="00487A54">
            <w:pPr>
              <w:rPr>
                <w:lang w:val="cs-CZ"/>
              </w:rPr>
            </w:pPr>
          </w:p>
        </w:tc>
        <w:tc>
          <w:tcPr>
            <w:tcW w:w="116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2449A23" w14:textId="77777777" w:rsidR="00FD35AB" w:rsidRPr="002F2BE4" w:rsidRDefault="00FD35AB" w:rsidP="00487A54">
            <w:pPr>
              <w:rPr>
                <w:lang w:val="cs-CZ"/>
              </w:rPr>
            </w:pPr>
          </w:p>
        </w:tc>
        <w:tc>
          <w:tcPr>
            <w:tcW w:w="71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CDA2659" w14:textId="77777777" w:rsidR="00FD35AB" w:rsidRPr="002F2BE4" w:rsidRDefault="00FD35AB" w:rsidP="00487A54">
            <w:pPr>
              <w:rPr>
                <w:lang w:val="cs-CZ"/>
              </w:rPr>
            </w:pPr>
          </w:p>
        </w:tc>
        <w:tc>
          <w:tcPr>
            <w:tcW w:w="9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FE2B47" w14:textId="77777777" w:rsidR="00FD35AB" w:rsidRPr="002F2BE4" w:rsidRDefault="00FD35AB" w:rsidP="00487A54">
            <w:pPr>
              <w:rPr>
                <w:lang w:val="cs-CZ"/>
              </w:rPr>
            </w:pPr>
          </w:p>
        </w:tc>
        <w:tc>
          <w:tcPr>
            <w:tcW w:w="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CF21E0"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537B79"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4966B"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B48F5"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2AC0CA"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2BA6E"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26FEE2"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CCD63"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302C07"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15D2F3"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11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4A75E9"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69A7057" w14:textId="77777777" w:rsidR="00FD35AB" w:rsidRPr="002F2BE4" w:rsidRDefault="00FD35AB" w:rsidP="00487A54">
            <w:pPr>
              <w:rPr>
                <w:lang w:val="cs-CZ"/>
              </w:rPr>
            </w:pPr>
          </w:p>
        </w:tc>
      </w:tr>
      <w:tr w:rsidR="00A91BEF" w:rsidRPr="002F2BE4" w14:paraId="583FA0C3" w14:textId="77777777" w:rsidTr="00A91BEF">
        <w:trPr>
          <w:cantSplit/>
          <w:trHeight w:val="177"/>
          <w:tblHeader/>
        </w:trPr>
        <w:tc>
          <w:tcPr>
            <w:tcW w:w="4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31D208F" w14:textId="77777777" w:rsidR="00FD35AB" w:rsidRPr="002F2BE4" w:rsidRDefault="00FD35AB" w:rsidP="00487A54">
            <w:pPr>
              <w:rPr>
                <w:lang w:val="cs-CZ"/>
              </w:rPr>
            </w:pPr>
          </w:p>
        </w:tc>
        <w:tc>
          <w:tcPr>
            <w:tcW w:w="9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7714E5" w14:textId="77777777" w:rsidR="00FD35AB" w:rsidRPr="002F2BE4" w:rsidRDefault="00FD35AB" w:rsidP="00487A54">
            <w:pPr>
              <w:rPr>
                <w:lang w:val="cs-CZ"/>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6697446" w14:textId="77777777" w:rsidR="00FD35AB" w:rsidRPr="002F2BE4" w:rsidRDefault="00FD35AB" w:rsidP="00487A54">
            <w:pPr>
              <w:rPr>
                <w:lang w:val="cs-CZ"/>
              </w:rPr>
            </w:pPr>
          </w:p>
        </w:tc>
        <w:tc>
          <w:tcPr>
            <w:tcW w:w="116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69E8E87" w14:textId="77777777" w:rsidR="00FD35AB" w:rsidRPr="002F2BE4" w:rsidRDefault="00FD35AB" w:rsidP="00487A54">
            <w:pPr>
              <w:rPr>
                <w:lang w:val="cs-CZ"/>
              </w:rPr>
            </w:pPr>
          </w:p>
        </w:tc>
        <w:tc>
          <w:tcPr>
            <w:tcW w:w="71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CE9681" w14:textId="77777777" w:rsidR="00FD35AB" w:rsidRPr="002F2BE4" w:rsidRDefault="00FD35AB" w:rsidP="00487A54">
            <w:pPr>
              <w:rPr>
                <w:lang w:val="cs-CZ"/>
              </w:rPr>
            </w:pPr>
          </w:p>
        </w:tc>
        <w:tc>
          <w:tcPr>
            <w:tcW w:w="9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F7094F4" w14:textId="77777777" w:rsidR="00FD35AB" w:rsidRPr="002F2BE4" w:rsidRDefault="00FD35AB" w:rsidP="00487A54">
            <w:pPr>
              <w:rPr>
                <w:lang w:val="cs-CZ"/>
              </w:rPr>
            </w:pPr>
          </w:p>
        </w:tc>
        <w:tc>
          <w:tcPr>
            <w:tcW w:w="7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F1010"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E7EADD"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29EAD6"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2309AE"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372E73"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FDF49B"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D977B"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913DE"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0BD861"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78EBF1"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11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0022D6"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4564FA" w14:textId="77777777" w:rsidR="00FD35AB" w:rsidRPr="002F2BE4" w:rsidRDefault="00FD35AB" w:rsidP="00487A54">
            <w:pPr>
              <w:rPr>
                <w:lang w:val="cs-CZ"/>
              </w:rPr>
            </w:pPr>
          </w:p>
        </w:tc>
      </w:tr>
    </w:tbl>
    <w:p w14:paraId="4A9FCDEA" w14:textId="10E9B4E0" w:rsidR="0040414E" w:rsidRPr="0040414E" w:rsidRDefault="00FD35AB" w:rsidP="0040414E">
      <w:pPr>
        <w:pStyle w:val="Odstavecseseznamem"/>
        <w:numPr>
          <w:ilvl w:val="0"/>
          <w:numId w:val="24"/>
        </w:numPr>
        <w:tabs>
          <w:tab w:val="left" w:pos="392"/>
        </w:tabs>
        <w:ind w:right="815"/>
        <w:rPr>
          <w:rFonts w:ascii="Arial" w:eastAsia="Arial" w:hAnsi="Arial" w:cs="Arial"/>
          <w:color w:val="000000"/>
          <w:sz w:val="16"/>
          <w:lang w:val="cs-CZ"/>
        </w:rPr>
      </w:pPr>
      <w:r w:rsidRPr="0040414E">
        <w:rPr>
          <w:rFonts w:ascii="Arial" w:eastAsia="Arial" w:hAnsi="Arial" w:cs="Arial"/>
          <w:color w:val="000000"/>
          <w:sz w:val="16"/>
          <w:lang w:val="cs-CZ"/>
        </w:rPr>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w:t>
      </w:r>
      <w:r w:rsidR="0040414E" w:rsidRPr="0040414E">
        <w:rPr>
          <w:rFonts w:ascii="Arial" w:eastAsia="Arial" w:hAnsi="Arial" w:cs="Arial"/>
          <w:color w:val="000000"/>
          <w:sz w:val="16"/>
          <w:lang w:val="cs-CZ"/>
        </w:rPr>
        <w:t xml:space="preserve"> jsou poskytnuty pro každý rok.</w:t>
      </w:r>
    </w:p>
    <w:p w14:paraId="7A172047" w14:textId="39AF6FF2" w:rsidR="0040414E" w:rsidRDefault="0040414E" w:rsidP="007D24EE">
      <w:pPr>
        <w:ind w:right="108"/>
        <w:jc w:val="both"/>
        <w:rPr>
          <w:rFonts w:ascii="Arial" w:eastAsia="Arial" w:hAnsi="Arial" w:cs="Arial"/>
          <w:color w:val="000000"/>
          <w:sz w:val="20"/>
          <w:lang w:val="cs-CZ"/>
        </w:rPr>
      </w:pPr>
    </w:p>
    <w:p w14:paraId="4E7AE244" w14:textId="4D6D6DB9" w:rsidR="0040414E" w:rsidRDefault="00FD35AB" w:rsidP="0040414E">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03.1.51 Rovnost žen a mužů ve všech oblastech, a to i pokud jde o přístup k zaměstnání a kariérní postup, sladění pracovního a soukromého života a podpora stejné odměny za stejnou práci</w:t>
      </w:r>
    </w:p>
    <w:tbl>
      <w:tblPr>
        <w:tblW w:w="15845" w:type="dxa"/>
        <w:tblInd w:w="75" w:type="dxa"/>
        <w:tblCellMar>
          <w:left w:w="70" w:type="dxa"/>
          <w:right w:w="70" w:type="dxa"/>
        </w:tblCellMar>
        <w:tblLook w:val="04A0" w:firstRow="1" w:lastRow="0" w:firstColumn="1" w:lastColumn="0" w:noHBand="0" w:noVBand="1"/>
      </w:tblPr>
      <w:tblGrid>
        <w:gridCol w:w="927"/>
        <w:gridCol w:w="2492"/>
        <w:gridCol w:w="972"/>
        <w:gridCol w:w="2455"/>
        <w:gridCol w:w="776"/>
        <w:gridCol w:w="887"/>
        <w:gridCol w:w="491"/>
        <w:gridCol w:w="491"/>
        <w:gridCol w:w="491"/>
        <w:gridCol w:w="647"/>
        <w:gridCol w:w="724"/>
        <w:gridCol w:w="724"/>
        <w:gridCol w:w="480"/>
        <w:gridCol w:w="480"/>
        <w:gridCol w:w="480"/>
        <w:gridCol w:w="483"/>
        <w:gridCol w:w="1004"/>
        <w:gridCol w:w="841"/>
      </w:tblGrid>
      <w:tr w:rsidR="001A7407" w:rsidRPr="001A7407" w14:paraId="711B265F" w14:textId="77777777" w:rsidTr="007D24EE">
        <w:trPr>
          <w:trHeight w:val="20"/>
          <w:tblHeader/>
        </w:trPr>
        <w:tc>
          <w:tcPr>
            <w:tcW w:w="7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804EC2"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ID</w:t>
            </w:r>
          </w:p>
        </w:tc>
        <w:tc>
          <w:tcPr>
            <w:tcW w:w="28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5A6E39"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Indikátor</w:t>
            </w:r>
          </w:p>
        </w:tc>
        <w:tc>
          <w:tcPr>
            <w:tcW w:w="10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436363"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Kategorie regionu</w:t>
            </w:r>
          </w:p>
        </w:tc>
        <w:tc>
          <w:tcPr>
            <w:tcW w:w="27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48AF45"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Společný indikátor výstupů použitý jako základ pro stanovení cíle</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78CFE5"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Měrná jednotka pro výchozí hodnotu a cíl</w:t>
            </w:r>
          </w:p>
        </w:tc>
        <w:tc>
          <w:tcPr>
            <w:tcW w:w="7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CC5843"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Cílová hodnota (2023) (Rozdělení podle pohlaví je pro cíl nepovinné)</w:t>
            </w:r>
          </w:p>
        </w:tc>
        <w:tc>
          <w:tcPr>
            <w:tcW w:w="490" w:type="dxa"/>
            <w:tcBorders>
              <w:top w:val="single" w:sz="4" w:space="0" w:color="auto"/>
              <w:left w:val="nil"/>
              <w:bottom w:val="single" w:sz="4" w:space="0" w:color="auto"/>
              <w:right w:val="single" w:sz="4" w:space="0" w:color="auto"/>
            </w:tcBorders>
            <w:shd w:val="clear" w:color="auto" w:fill="auto"/>
            <w:vAlign w:val="center"/>
            <w:hideMark/>
          </w:tcPr>
          <w:p w14:paraId="2B62D48A"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2014</w:t>
            </w:r>
          </w:p>
        </w:tc>
        <w:tc>
          <w:tcPr>
            <w:tcW w:w="490" w:type="dxa"/>
            <w:tcBorders>
              <w:top w:val="single" w:sz="4" w:space="0" w:color="auto"/>
              <w:left w:val="nil"/>
              <w:bottom w:val="single" w:sz="4" w:space="0" w:color="auto"/>
              <w:right w:val="single" w:sz="4" w:space="0" w:color="auto"/>
            </w:tcBorders>
            <w:shd w:val="clear" w:color="auto" w:fill="auto"/>
            <w:vAlign w:val="center"/>
            <w:hideMark/>
          </w:tcPr>
          <w:p w14:paraId="09806F94"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2015</w:t>
            </w:r>
          </w:p>
        </w:tc>
        <w:tc>
          <w:tcPr>
            <w:tcW w:w="490" w:type="dxa"/>
            <w:tcBorders>
              <w:top w:val="single" w:sz="4" w:space="0" w:color="auto"/>
              <w:left w:val="nil"/>
              <w:bottom w:val="single" w:sz="4" w:space="0" w:color="auto"/>
              <w:right w:val="single" w:sz="4" w:space="0" w:color="auto"/>
            </w:tcBorders>
            <w:shd w:val="clear" w:color="auto" w:fill="auto"/>
            <w:vAlign w:val="center"/>
            <w:hideMark/>
          </w:tcPr>
          <w:p w14:paraId="1F453225"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2016</w:t>
            </w:r>
          </w:p>
        </w:tc>
        <w:tc>
          <w:tcPr>
            <w:tcW w:w="557" w:type="dxa"/>
            <w:tcBorders>
              <w:top w:val="single" w:sz="4" w:space="0" w:color="auto"/>
              <w:left w:val="nil"/>
              <w:bottom w:val="single" w:sz="4" w:space="0" w:color="auto"/>
              <w:right w:val="single" w:sz="4" w:space="0" w:color="auto"/>
            </w:tcBorders>
            <w:shd w:val="clear" w:color="auto" w:fill="auto"/>
            <w:vAlign w:val="center"/>
            <w:hideMark/>
          </w:tcPr>
          <w:p w14:paraId="3CA183D1"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2017</w:t>
            </w:r>
          </w:p>
        </w:tc>
        <w:tc>
          <w:tcPr>
            <w:tcW w:w="648" w:type="dxa"/>
            <w:tcBorders>
              <w:top w:val="single" w:sz="4" w:space="0" w:color="auto"/>
              <w:left w:val="nil"/>
              <w:bottom w:val="single" w:sz="4" w:space="0" w:color="auto"/>
              <w:right w:val="single" w:sz="4" w:space="0" w:color="auto"/>
            </w:tcBorders>
            <w:shd w:val="clear" w:color="auto" w:fill="auto"/>
            <w:vAlign w:val="center"/>
            <w:hideMark/>
          </w:tcPr>
          <w:p w14:paraId="1B4AC29E"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2018</w:t>
            </w:r>
          </w:p>
        </w:tc>
        <w:tc>
          <w:tcPr>
            <w:tcW w:w="712" w:type="dxa"/>
            <w:tcBorders>
              <w:top w:val="single" w:sz="4" w:space="0" w:color="auto"/>
              <w:left w:val="nil"/>
              <w:bottom w:val="single" w:sz="4" w:space="0" w:color="auto"/>
              <w:right w:val="single" w:sz="4" w:space="0" w:color="auto"/>
            </w:tcBorders>
            <w:shd w:val="clear" w:color="auto" w:fill="auto"/>
            <w:vAlign w:val="center"/>
            <w:hideMark/>
          </w:tcPr>
          <w:p w14:paraId="1E18EB23"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2019</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3D0158FC"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2020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77BF8905"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2021</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9F87DFB"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2022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1D05AEB9"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2023</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7E0CACF2"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Kumulativní hodnota (vypočítána automaticky)</w:t>
            </w:r>
          </w:p>
        </w:tc>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53B387"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Míra splnění Rozdělení podle pohlaví je nepovinné</w:t>
            </w:r>
          </w:p>
        </w:tc>
      </w:tr>
      <w:tr w:rsidR="001A7407" w:rsidRPr="001A7407" w14:paraId="3C840931" w14:textId="77777777" w:rsidTr="007D24EE">
        <w:trPr>
          <w:trHeight w:val="20"/>
          <w:tblHeader/>
        </w:trPr>
        <w:tc>
          <w:tcPr>
            <w:tcW w:w="798" w:type="dxa"/>
            <w:vMerge/>
            <w:tcBorders>
              <w:top w:val="single" w:sz="4" w:space="0" w:color="auto"/>
              <w:left w:val="single" w:sz="4" w:space="0" w:color="auto"/>
              <w:bottom w:val="single" w:sz="4" w:space="0" w:color="000000"/>
              <w:right w:val="single" w:sz="4" w:space="0" w:color="auto"/>
            </w:tcBorders>
            <w:vAlign w:val="center"/>
            <w:hideMark/>
          </w:tcPr>
          <w:p w14:paraId="399BECAB" w14:textId="77777777" w:rsidR="001A7407" w:rsidRPr="001A7407" w:rsidRDefault="001A7407" w:rsidP="001A7407">
            <w:pPr>
              <w:rPr>
                <w:rFonts w:ascii="Arial" w:eastAsia="Times New Roman" w:hAnsi="Arial" w:cs="Arial"/>
                <w:b/>
                <w:bCs/>
                <w:color w:val="000000"/>
                <w:sz w:val="14"/>
                <w:szCs w:val="14"/>
                <w:lang w:val="cs-CZ" w:eastAsia="cs-CZ"/>
              </w:rPr>
            </w:pPr>
          </w:p>
        </w:tc>
        <w:tc>
          <w:tcPr>
            <w:tcW w:w="2825" w:type="dxa"/>
            <w:vMerge/>
            <w:tcBorders>
              <w:top w:val="single" w:sz="4" w:space="0" w:color="auto"/>
              <w:left w:val="single" w:sz="4" w:space="0" w:color="auto"/>
              <w:bottom w:val="single" w:sz="4" w:space="0" w:color="000000"/>
              <w:right w:val="single" w:sz="4" w:space="0" w:color="auto"/>
            </w:tcBorders>
            <w:vAlign w:val="center"/>
            <w:hideMark/>
          </w:tcPr>
          <w:p w14:paraId="2DD3342A" w14:textId="77777777" w:rsidR="001A7407" w:rsidRPr="001A7407" w:rsidRDefault="001A7407" w:rsidP="001A7407">
            <w:pPr>
              <w:rPr>
                <w:rFonts w:ascii="Arial" w:eastAsia="Times New Roman" w:hAnsi="Arial" w:cs="Arial"/>
                <w:b/>
                <w:bCs/>
                <w:color w:val="000000"/>
                <w:sz w:val="14"/>
                <w:szCs w:val="14"/>
                <w:lang w:val="cs-CZ" w:eastAsia="cs-CZ"/>
              </w:rPr>
            </w:pPr>
          </w:p>
        </w:tc>
        <w:tc>
          <w:tcPr>
            <w:tcW w:w="1015" w:type="dxa"/>
            <w:vMerge/>
            <w:tcBorders>
              <w:top w:val="single" w:sz="4" w:space="0" w:color="auto"/>
              <w:left w:val="single" w:sz="4" w:space="0" w:color="auto"/>
              <w:bottom w:val="single" w:sz="4" w:space="0" w:color="000000"/>
              <w:right w:val="single" w:sz="4" w:space="0" w:color="auto"/>
            </w:tcBorders>
            <w:vAlign w:val="center"/>
            <w:hideMark/>
          </w:tcPr>
          <w:p w14:paraId="1A84F325" w14:textId="77777777" w:rsidR="001A7407" w:rsidRPr="001A7407" w:rsidRDefault="001A7407" w:rsidP="001A7407">
            <w:pPr>
              <w:rPr>
                <w:rFonts w:ascii="Arial" w:eastAsia="Times New Roman" w:hAnsi="Arial" w:cs="Arial"/>
                <w:b/>
                <w:bCs/>
                <w:color w:val="000000"/>
                <w:sz w:val="14"/>
                <w:szCs w:val="14"/>
                <w:lang w:val="cs-CZ" w:eastAsia="cs-CZ"/>
              </w:rPr>
            </w:pPr>
          </w:p>
        </w:tc>
        <w:tc>
          <w:tcPr>
            <w:tcW w:w="2731" w:type="dxa"/>
            <w:vMerge/>
            <w:tcBorders>
              <w:top w:val="single" w:sz="4" w:space="0" w:color="auto"/>
              <w:left w:val="single" w:sz="4" w:space="0" w:color="auto"/>
              <w:bottom w:val="single" w:sz="4" w:space="0" w:color="000000"/>
              <w:right w:val="single" w:sz="4" w:space="0" w:color="auto"/>
            </w:tcBorders>
            <w:vAlign w:val="center"/>
            <w:hideMark/>
          </w:tcPr>
          <w:p w14:paraId="79709BA5" w14:textId="77777777" w:rsidR="001A7407" w:rsidRPr="001A7407" w:rsidRDefault="001A7407" w:rsidP="001A7407">
            <w:pPr>
              <w:rPr>
                <w:rFonts w:ascii="Arial" w:eastAsia="Times New Roman" w:hAnsi="Arial" w:cs="Arial"/>
                <w:b/>
                <w:bCs/>
                <w:color w:val="000000"/>
                <w:sz w:val="14"/>
                <w:szCs w:val="14"/>
                <w:lang w:val="cs-CZ" w:eastAsia="cs-CZ"/>
              </w:rPr>
            </w:pPr>
          </w:p>
        </w:tc>
        <w:tc>
          <w:tcPr>
            <w:tcW w:w="789" w:type="dxa"/>
            <w:vMerge/>
            <w:tcBorders>
              <w:top w:val="single" w:sz="4" w:space="0" w:color="auto"/>
              <w:left w:val="single" w:sz="4" w:space="0" w:color="auto"/>
              <w:bottom w:val="single" w:sz="4" w:space="0" w:color="auto"/>
              <w:right w:val="single" w:sz="4" w:space="0" w:color="auto"/>
            </w:tcBorders>
            <w:vAlign w:val="center"/>
            <w:hideMark/>
          </w:tcPr>
          <w:p w14:paraId="700FF489" w14:textId="77777777" w:rsidR="001A7407" w:rsidRPr="001A7407" w:rsidRDefault="001A7407" w:rsidP="001A7407">
            <w:pPr>
              <w:rPr>
                <w:rFonts w:ascii="Arial" w:eastAsia="Times New Roman" w:hAnsi="Arial" w:cs="Arial"/>
                <w:b/>
                <w:bCs/>
                <w:color w:val="000000"/>
                <w:sz w:val="14"/>
                <w:szCs w:val="14"/>
                <w:lang w:val="cs-CZ" w:eastAsia="cs-CZ"/>
              </w:rPr>
            </w:pPr>
          </w:p>
        </w:tc>
        <w:tc>
          <w:tcPr>
            <w:tcW w:w="764" w:type="dxa"/>
            <w:vMerge/>
            <w:tcBorders>
              <w:top w:val="single" w:sz="4" w:space="0" w:color="auto"/>
              <w:left w:val="single" w:sz="4" w:space="0" w:color="auto"/>
              <w:bottom w:val="single" w:sz="4" w:space="0" w:color="000000"/>
              <w:right w:val="single" w:sz="4" w:space="0" w:color="auto"/>
            </w:tcBorders>
            <w:vAlign w:val="center"/>
            <w:hideMark/>
          </w:tcPr>
          <w:p w14:paraId="2F2525AE" w14:textId="77777777" w:rsidR="001A7407" w:rsidRPr="001A7407" w:rsidRDefault="001A7407" w:rsidP="001A7407">
            <w:pPr>
              <w:rPr>
                <w:rFonts w:ascii="Arial" w:eastAsia="Times New Roman" w:hAnsi="Arial" w:cs="Arial"/>
                <w:b/>
                <w:bCs/>
                <w:color w:val="000000"/>
                <w:sz w:val="14"/>
                <w:szCs w:val="14"/>
                <w:lang w:val="cs-CZ" w:eastAsia="cs-CZ"/>
              </w:rPr>
            </w:pP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3F234C11"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Roční hodnota</w:t>
            </w:r>
          </w:p>
        </w:tc>
        <w:tc>
          <w:tcPr>
            <w:tcW w:w="864" w:type="dxa"/>
            <w:tcBorders>
              <w:top w:val="nil"/>
              <w:left w:val="nil"/>
              <w:bottom w:val="single" w:sz="4" w:space="0" w:color="auto"/>
              <w:right w:val="single" w:sz="4" w:space="0" w:color="auto"/>
            </w:tcBorders>
            <w:shd w:val="clear" w:color="auto" w:fill="auto"/>
            <w:vAlign w:val="center"/>
            <w:hideMark/>
          </w:tcPr>
          <w:p w14:paraId="482A096F"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Celkem</w:t>
            </w:r>
          </w:p>
        </w:tc>
        <w:tc>
          <w:tcPr>
            <w:tcW w:w="724" w:type="dxa"/>
            <w:vMerge/>
            <w:tcBorders>
              <w:top w:val="single" w:sz="4" w:space="0" w:color="auto"/>
              <w:left w:val="single" w:sz="4" w:space="0" w:color="auto"/>
              <w:bottom w:val="single" w:sz="4" w:space="0" w:color="000000"/>
              <w:right w:val="single" w:sz="4" w:space="0" w:color="auto"/>
            </w:tcBorders>
            <w:vAlign w:val="center"/>
            <w:hideMark/>
          </w:tcPr>
          <w:p w14:paraId="0FB8B853" w14:textId="77777777" w:rsidR="001A7407" w:rsidRPr="001A7407" w:rsidRDefault="001A7407" w:rsidP="001A7407">
            <w:pPr>
              <w:rPr>
                <w:rFonts w:ascii="Arial" w:eastAsia="Times New Roman" w:hAnsi="Arial" w:cs="Arial"/>
                <w:b/>
                <w:bCs/>
                <w:color w:val="000000"/>
                <w:sz w:val="14"/>
                <w:szCs w:val="14"/>
                <w:lang w:val="cs-CZ" w:eastAsia="cs-CZ"/>
              </w:rPr>
            </w:pPr>
          </w:p>
        </w:tc>
      </w:tr>
      <w:tr w:rsidR="001A7407" w:rsidRPr="001A7407" w14:paraId="6E5EF7C9" w14:textId="77777777" w:rsidTr="007D24EE">
        <w:trPr>
          <w:trHeight w:val="20"/>
          <w:tblHeader/>
        </w:trPr>
        <w:tc>
          <w:tcPr>
            <w:tcW w:w="798" w:type="dxa"/>
            <w:vMerge/>
            <w:tcBorders>
              <w:top w:val="single" w:sz="4" w:space="0" w:color="auto"/>
              <w:left w:val="single" w:sz="4" w:space="0" w:color="auto"/>
              <w:bottom w:val="single" w:sz="4" w:space="0" w:color="000000"/>
              <w:right w:val="single" w:sz="4" w:space="0" w:color="auto"/>
            </w:tcBorders>
            <w:vAlign w:val="center"/>
            <w:hideMark/>
          </w:tcPr>
          <w:p w14:paraId="306169C1" w14:textId="77777777" w:rsidR="001A7407" w:rsidRPr="001A7407" w:rsidRDefault="001A7407" w:rsidP="001A7407">
            <w:pPr>
              <w:rPr>
                <w:rFonts w:ascii="Arial" w:eastAsia="Times New Roman" w:hAnsi="Arial" w:cs="Arial"/>
                <w:b/>
                <w:bCs/>
                <w:color w:val="000000"/>
                <w:sz w:val="14"/>
                <w:szCs w:val="14"/>
                <w:lang w:val="cs-CZ" w:eastAsia="cs-CZ"/>
              </w:rPr>
            </w:pPr>
          </w:p>
        </w:tc>
        <w:tc>
          <w:tcPr>
            <w:tcW w:w="2825" w:type="dxa"/>
            <w:vMerge/>
            <w:tcBorders>
              <w:top w:val="single" w:sz="4" w:space="0" w:color="auto"/>
              <w:left w:val="single" w:sz="4" w:space="0" w:color="auto"/>
              <w:bottom w:val="single" w:sz="4" w:space="0" w:color="000000"/>
              <w:right w:val="single" w:sz="4" w:space="0" w:color="auto"/>
            </w:tcBorders>
            <w:vAlign w:val="center"/>
            <w:hideMark/>
          </w:tcPr>
          <w:p w14:paraId="2422D97F" w14:textId="77777777" w:rsidR="001A7407" w:rsidRPr="001A7407" w:rsidRDefault="001A7407" w:rsidP="001A7407">
            <w:pPr>
              <w:rPr>
                <w:rFonts w:ascii="Arial" w:eastAsia="Times New Roman" w:hAnsi="Arial" w:cs="Arial"/>
                <w:b/>
                <w:bCs/>
                <w:color w:val="000000"/>
                <w:sz w:val="14"/>
                <w:szCs w:val="14"/>
                <w:lang w:val="cs-CZ" w:eastAsia="cs-CZ"/>
              </w:rPr>
            </w:pPr>
          </w:p>
        </w:tc>
        <w:tc>
          <w:tcPr>
            <w:tcW w:w="1015" w:type="dxa"/>
            <w:vMerge/>
            <w:tcBorders>
              <w:top w:val="single" w:sz="4" w:space="0" w:color="auto"/>
              <w:left w:val="single" w:sz="4" w:space="0" w:color="auto"/>
              <w:bottom w:val="single" w:sz="4" w:space="0" w:color="000000"/>
              <w:right w:val="single" w:sz="4" w:space="0" w:color="auto"/>
            </w:tcBorders>
            <w:vAlign w:val="center"/>
            <w:hideMark/>
          </w:tcPr>
          <w:p w14:paraId="67FEA271" w14:textId="77777777" w:rsidR="001A7407" w:rsidRPr="001A7407" w:rsidRDefault="001A7407" w:rsidP="001A7407">
            <w:pPr>
              <w:rPr>
                <w:rFonts w:ascii="Arial" w:eastAsia="Times New Roman" w:hAnsi="Arial" w:cs="Arial"/>
                <w:b/>
                <w:bCs/>
                <w:color w:val="000000"/>
                <w:sz w:val="14"/>
                <w:szCs w:val="14"/>
                <w:lang w:val="cs-CZ" w:eastAsia="cs-CZ"/>
              </w:rPr>
            </w:pPr>
          </w:p>
        </w:tc>
        <w:tc>
          <w:tcPr>
            <w:tcW w:w="2731" w:type="dxa"/>
            <w:vMerge/>
            <w:tcBorders>
              <w:top w:val="single" w:sz="4" w:space="0" w:color="auto"/>
              <w:left w:val="single" w:sz="4" w:space="0" w:color="auto"/>
              <w:bottom w:val="single" w:sz="4" w:space="0" w:color="000000"/>
              <w:right w:val="single" w:sz="4" w:space="0" w:color="auto"/>
            </w:tcBorders>
            <w:vAlign w:val="center"/>
            <w:hideMark/>
          </w:tcPr>
          <w:p w14:paraId="2EAAC9EE" w14:textId="77777777" w:rsidR="001A7407" w:rsidRPr="001A7407" w:rsidRDefault="001A7407" w:rsidP="001A7407">
            <w:pPr>
              <w:rPr>
                <w:rFonts w:ascii="Arial" w:eastAsia="Times New Roman" w:hAnsi="Arial" w:cs="Arial"/>
                <w:b/>
                <w:bCs/>
                <w:color w:val="000000"/>
                <w:sz w:val="14"/>
                <w:szCs w:val="14"/>
                <w:lang w:val="cs-CZ" w:eastAsia="cs-CZ"/>
              </w:rPr>
            </w:pPr>
          </w:p>
        </w:tc>
        <w:tc>
          <w:tcPr>
            <w:tcW w:w="789" w:type="dxa"/>
            <w:vMerge/>
            <w:tcBorders>
              <w:top w:val="single" w:sz="4" w:space="0" w:color="auto"/>
              <w:left w:val="single" w:sz="4" w:space="0" w:color="auto"/>
              <w:bottom w:val="single" w:sz="4" w:space="0" w:color="auto"/>
              <w:right w:val="single" w:sz="4" w:space="0" w:color="auto"/>
            </w:tcBorders>
            <w:vAlign w:val="center"/>
            <w:hideMark/>
          </w:tcPr>
          <w:p w14:paraId="6911731E" w14:textId="77777777" w:rsidR="001A7407" w:rsidRPr="001A7407" w:rsidRDefault="001A7407" w:rsidP="001A7407">
            <w:pPr>
              <w:rPr>
                <w:rFonts w:ascii="Arial" w:eastAsia="Times New Roman" w:hAnsi="Arial" w:cs="Arial"/>
                <w:b/>
                <w:bCs/>
                <w:color w:val="000000"/>
                <w:sz w:val="14"/>
                <w:szCs w:val="14"/>
                <w:lang w:val="cs-CZ" w:eastAsia="cs-CZ"/>
              </w:rPr>
            </w:pPr>
          </w:p>
        </w:tc>
        <w:tc>
          <w:tcPr>
            <w:tcW w:w="764" w:type="dxa"/>
            <w:vMerge/>
            <w:tcBorders>
              <w:top w:val="single" w:sz="4" w:space="0" w:color="auto"/>
              <w:left w:val="single" w:sz="4" w:space="0" w:color="auto"/>
              <w:bottom w:val="single" w:sz="4" w:space="0" w:color="000000"/>
              <w:right w:val="single" w:sz="4" w:space="0" w:color="auto"/>
            </w:tcBorders>
            <w:vAlign w:val="center"/>
            <w:hideMark/>
          </w:tcPr>
          <w:p w14:paraId="5D7A46EC" w14:textId="77777777" w:rsidR="001A7407" w:rsidRPr="001A7407" w:rsidRDefault="001A7407" w:rsidP="001A7407">
            <w:pPr>
              <w:rPr>
                <w:rFonts w:ascii="Arial" w:eastAsia="Times New Roman" w:hAnsi="Arial" w:cs="Arial"/>
                <w:b/>
                <w:bCs/>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36FFC3B2"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490" w:type="dxa"/>
            <w:tcBorders>
              <w:top w:val="nil"/>
              <w:left w:val="nil"/>
              <w:bottom w:val="single" w:sz="4" w:space="0" w:color="auto"/>
              <w:right w:val="single" w:sz="4" w:space="0" w:color="auto"/>
            </w:tcBorders>
            <w:shd w:val="clear" w:color="auto" w:fill="auto"/>
            <w:vAlign w:val="center"/>
            <w:hideMark/>
          </w:tcPr>
          <w:p w14:paraId="0D035617"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490" w:type="dxa"/>
            <w:tcBorders>
              <w:top w:val="nil"/>
              <w:left w:val="nil"/>
              <w:bottom w:val="single" w:sz="4" w:space="0" w:color="auto"/>
              <w:right w:val="single" w:sz="4" w:space="0" w:color="auto"/>
            </w:tcBorders>
            <w:shd w:val="clear" w:color="auto" w:fill="auto"/>
            <w:vAlign w:val="center"/>
            <w:hideMark/>
          </w:tcPr>
          <w:p w14:paraId="540A5C56"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557" w:type="dxa"/>
            <w:tcBorders>
              <w:top w:val="nil"/>
              <w:left w:val="nil"/>
              <w:bottom w:val="single" w:sz="4" w:space="0" w:color="auto"/>
              <w:right w:val="single" w:sz="4" w:space="0" w:color="auto"/>
            </w:tcBorders>
            <w:shd w:val="clear" w:color="auto" w:fill="auto"/>
            <w:vAlign w:val="center"/>
            <w:hideMark/>
          </w:tcPr>
          <w:p w14:paraId="2C8540FC"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648" w:type="dxa"/>
            <w:tcBorders>
              <w:top w:val="nil"/>
              <w:left w:val="nil"/>
              <w:bottom w:val="single" w:sz="4" w:space="0" w:color="auto"/>
              <w:right w:val="single" w:sz="4" w:space="0" w:color="auto"/>
            </w:tcBorders>
            <w:shd w:val="clear" w:color="auto" w:fill="auto"/>
            <w:vAlign w:val="center"/>
            <w:hideMark/>
          </w:tcPr>
          <w:p w14:paraId="0F1AD30D"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712" w:type="dxa"/>
            <w:tcBorders>
              <w:top w:val="nil"/>
              <w:left w:val="nil"/>
              <w:bottom w:val="single" w:sz="4" w:space="0" w:color="auto"/>
              <w:right w:val="single" w:sz="4" w:space="0" w:color="auto"/>
            </w:tcBorders>
            <w:shd w:val="clear" w:color="auto" w:fill="auto"/>
            <w:vAlign w:val="center"/>
            <w:hideMark/>
          </w:tcPr>
          <w:p w14:paraId="131F427D"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486" w:type="dxa"/>
            <w:tcBorders>
              <w:top w:val="nil"/>
              <w:left w:val="nil"/>
              <w:bottom w:val="single" w:sz="4" w:space="0" w:color="auto"/>
              <w:right w:val="single" w:sz="4" w:space="0" w:color="auto"/>
            </w:tcBorders>
            <w:shd w:val="clear" w:color="auto" w:fill="auto"/>
            <w:vAlign w:val="center"/>
            <w:hideMark/>
          </w:tcPr>
          <w:p w14:paraId="314661B2"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486" w:type="dxa"/>
            <w:tcBorders>
              <w:top w:val="nil"/>
              <w:left w:val="nil"/>
              <w:bottom w:val="single" w:sz="4" w:space="0" w:color="auto"/>
              <w:right w:val="single" w:sz="4" w:space="0" w:color="auto"/>
            </w:tcBorders>
            <w:shd w:val="clear" w:color="auto" w:fill="auto"/>
            <w:vAlign w:val="center"/>
            <w:hideMark/>
          </w:tcPr>
          <w:p w14:paraId="741EAA8D"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486" w:type="dxa"/>
            <w:tcBorders>
              <w:top w:val="nil"/>
              <w:left w:val="nil"/>
              <w:bottom w:val="single" w:sz="4" w:space="0" w:color="auto"/>
              <w:right w:val="single" w:sz="4" w:space="0" w:color="auto"/>
            </w:tcBorders>
            <w:shd w:val="clear" w:color="auto" w:fill="auto"/>
            <w:vAlign w:val="center"/>
            <w:hideMark/>
          </w:tcPr>
          <w:p w14:paraId="5781C899"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486" w:type="dxa"/>
            <w:tcBorders>
              <w:top w:val="nil"/>
              <w:left w:val="nil"/>
              <w:bottom w:val="single" w:sz="4" w:space="0" w:color="auto"/>
              <w:right w:val="single" w:sz="4" w:space="0" w:color="auto"/>
            </w:tcBorders>
            <w:shd w:val="clear" w:color="auto" w:fill="auto"/>
            <w:vAlign w:val="center"/>
            <w:hideMark/>
          </w:tcPr>
          <w:p w14:paraId="28F98CA5"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864" w:type="dxa"/>
            <w:tcBorders>
              <w:top w:val="nil"/>
              <w:left w:val="nil"/>
              <w:bottom w:val="single" w:sz="4" w:space="0" w:color="auto"/>
              <w:right w:val="single" w:sz="4" w:space="0" w:color="auto"/>
            </w:tcBorders>
            <w:shd w:val="clear" w:color="auto" w:fill="auto"/>
            <w:vAlign w:val="center"/>
            <w:hideMark/>
          </w:tcPr>
          <w:p w14:paraId="08956179"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M</w:t>
            </w:r>
          </w:p>
        </w:tc>
        <w:tc>
          <w:tcPr>
            <w:tcW w:w="724" w:type="dxa"/>
            <w:vMerge/>
            <w:tcBorders>
              <w:top w:val="single" w:sz="4" w:space="0" w:color="auto"/>
              <w:left w:val="single" w:sz="4" w:space="0" w:color="auto"/>
              <w:bottom w:val="single" w:sz="4" w:space="0" w:color="000000"/>
              <w:right w:val="single" w:sz="4" w:space="0" w:color="auto"/>
            </w:tcBorders>
            <w:vAlign w:val="center"/>
            <w:hideMark/>
          </w:tcPr>
          <w:p w14:paraId="65C91607" w14:textId="77777777" w:rsidR="001A7407" w:rsidRPr="001A7407" w:rsidRDefault="001A7407" w:rsidP="001A7407">
            <w:pPr>
              <w:rPr>
                <w:rFonts w:ascii="Arial" w:eastAsia="Times New Roman" w:hAnsi="Arial" w:cs="Arial"/>
                <w:b/>
                <w:bCs/>
                <w:color w:val="000000"/>
                <w:sz w:val="14"/>
                <w:szCs w:val="14"/>
                <w:lang w:val="cs-CZ" w:eastAsia="cs-CZ"/>
              </w:rPr>
            </w:pPr>
          </w:p>
        </w:tc>
      </w:tr>
      <w:tr w:rsidR="001A7407" w:rsidRPr="001A7407" w14:paraId="64F5E65F" w14:textId="77777777" w:rsidTr="007D24EE">
        <w:trPr>
          <w:trHeight w:val="20"/>
          <w:tblHeader/>
        </w:trPr>
        <w:tc>
          <w:tcPr>
            <w:tcW w:w="798" w:type="dxa"/>
            <w:vMerge/>
            <w:tcBorders>
              <w:top w:val="single" w:sz="4" w:space="0" w:color="auto"/>
              <w:left w:val="single" w:sz="4" w:space="0" w:color="auto"/>
              <w:bottom w:val="single" w:sz="4" w:space="0" w:color="000000"/>
              <w:right w:val="single" w:sz="4" w:space="0" w:color="auto"/>
            </w:tcBorders>
            <w:vAlign w:val="center"/>
            <w:hideMark/>
          </w:tcPr>
          <w:p w14:paraId="4C54D3C7" w14:textId="77777777" w:rsidR="001A7407" w:rsidRPr="001A7407" w:rsidRDefault="001A7407" w:rsidP="001A7407">
            <w:pPr>
              <w:rPr>
                <w:rFonts w:ascii="Arial" w:eastAsia="Times New Roman" w:hAnsi="Arial" w:cs="Arial"/>
                <w:b/>
                <w:bCs/>
                <w:color w:val="000000"/>
                <w:sz w:val="14"/>
                <w:szCs w:val="14"/>
                <w:lang w:val="cs-CZ" w:eastAsia="cs-CZ"/>
              </w:rPr>
            </w:pPr>
          </w:p>
        </w:tc>
        <w:tc>
          <w:tcPr>
            <w:tcW w:w="2825" w:type="dxa"/>
            <w:vMerge/>
            <w:tcBorders>
              <w:top w:val="single" w:sz="4" w:space="0" w:color="auto"/>
              <w:left w:val="single" w:sz="4" w:space="0" w:color="auto"/>
              <w:bottom w:val="single" w:sz="4" w:space="0" w:color="000000"/>
              <w:right w:val="single" w:sz="4" w:space="0" w:color="auto"/>
            </w:tcBorders>
            <w:vAlign w:val="center"/>
            <w:hideMark/>
          </w:tcPr>
          <w:p w14:paraId="6D4D5993" w14:textId="77777777" w:rsidR="001A7407" w:rsidRPr="001A7407" w:rsidRDefault="001A7407" w:rsidP="001A7407">
            <w:pPr>
              <w:rPr>
                <w:rFonts w:ascii="Arial" w:eastAsia="Times New Roman" w:hAnsi="Arial" w:cs="Arial"/>
                <w:b/>
                <w:bCs/>
                <w:color w:val="000000"/>
                <w:sz w:val="14"/>
                <w:szCs w:val="14"/>
                <w:lang w:val="cs-CZ" w:eastAsia="cs-CZ"/>
              </w:rPr>
            </w:pPr>
          </w:p>
        </w:tc>
        <w:tc>
          <w:tcPr>
            <w:tcW w:w="1015" w:type="dxa"/>
            <w:vMerge/>
            <w:tcBorders>
              <w:top w:val="single" w:sz="4" w:space="0" w:color="auto"/>
              <w:left w:val="single" w:sz="4" w:space="0" w:color="auto"/>
              <w:bottom w:val="single" w:sz="4" w:space="0" w:color="000000"/>
              <w:right w:val="single" w:sz="4" w:space="0" w:color="auto"/>
            </w:tcBorders>
            <w:vAlign w:val="center"/>
            <w:hideMark/>
          </w:tcPr>
          <w:p w14:paraId="4B7245E7" w14:textId="77777777" w:rsidR="001A7407" w:rsidRPr="001A7407" w:rsidRDefault="001A7407" w:rsidP="001A7407">
            <w:pPr>
              <w:rPr>
                <w:rFonts w:ascii="Arial" w:eastAsia="Times New Roman" w:hAnsi="Arial" w:cs="Arial"/>
                <w:b/>
                <w:bCs/>
                <w:color w:val="000000"/>
                <w:sz w:val="14"/>
                <w:szCs w:val="14"/>
                <w:lang w:val="cs-CZ" w:eastAsia="cs-CZ"/>
              </w:rPr>
            </w:pPr>
          </w:p>
        </w:tc>
        <w:tc>
          <w:tcPr>
            <w:tcW w:w="2731" w:type="dxa"/>
            <w:vMerge/>
            <w:tcBorders>
              <w:top w:val="single" w:sz="4" w:space="0" w:color="auto"/>
              <w:left w:val="single" w:sz="4" w:space="0" w:color="auto"/>
              <w:bottom w:val="single" w:sz="4" w:space="0" w:color="000000"/>
              <w:right w:val="single" w:sz="4" w:space="0" w:color="auto"/>
            </w:tcBorders>
            <w:vAlign w:val="center"/>
            <w:hideMark/>
          </w:tcPr>
          <w:p w14:paraId="79F07F2A" w14:textId="77777777" w:rsidR="001A7407" w:rsidRPr="001A7407" w:rsidRDefault="001A7407" w:rsidP="001A7407">
            <w:pPr>
              <w:rPr>
                <w:rFonts w:ascii="Arial" w:eastAsia="Times New Roman" w:hAnsi="Arial" w:cs="Arial"/>
                <w:b/>
                <w:bCs/>
                <w:color w:val="000000"/>
                <w:sz w:val="14"/>
                <w:szCs w:val="14"/>
                <w:lang w:val="cs-CZ" w:eastAsia="cs-CZ"/>
              </w:rPr>
            </w:pPr>
          </w:p>
        </w:tc>
        <w:tc>
          <w:tcPr>
            <w:tcW w:w="789" w:type="dxa"/>
            <w:vMerge/>
            <w:tcBorders>
              <w:top w:val="single" w:sz="4" w:space="0" w:color="auto"/>
              <w:left w:val="single" w:sz="4" w:space="0" w:color="auto"/>
              <w:bottom w:val="single" w:sz="4" w:space="0" w:color="auto"/>
              <w:right w:val="single" w:sz="4" w:space="0" w:color="auto"/>
            </w:tcBorders>
            <w:vAlign w:val="center"/>
            <w:hideMark/>
          </w:tcPr>
          <w:p w14:paraId="1A4B5CB4" w14:textId="77777777" w:rsidR="001A7407" w:rsidRPr="001A7407" w:rsidRDefault="001A7407" w:rsidP="001A7407">
            <w:pPr>
              <w:rPr>
                <w:rFonts w:ascii="Arial" w:eastAsia="Times New Roman" w:hAnsi="Arial" w:cs="Arial"/>
                <w:b/>
                <w:bCs/>
                <w:color w:val="000000"/>
                <w:sz w:val="14"/>
                <w:szCs w:val="14"/>
                <w:lang w:val="cs-CZ" w:eastAsia="cs-CZ"/>
              </w:rPr>
            </w:pPr>
          </w:p>
        </w:tc>
        <w:tc>
          <w:tcPr>
            <w:tcW w:w="764" w:type="dxa"/>
            <w:vMerge/>
            <w:tcBorders>
              <w:top w:val="single" w:sz="4" w:space="0" w:color="auto"/>
              <w:left w:val="single" w:sz="4" w:space="0" w:color="auto"/>
              <w:bottom w:val="single" w:sz="4" w:space="0" w:color="000000"/>
              <w:right w:val="single" w:sz="4" w:space="0" w:color="auto"/>
            </w:tcBorders>
            <w:vAlign w:val="center"/>
            <w:hideMark/>
          </w:tcPr>
          <w:p w14:paraId="58303557" w14:textId="77777777" w:rsidR="001A7407" w:rsidRPr="001A7407" w:rsidRDefault="001A7407" w:rsidP="001A7407">
            <w:pPr>
              <w:rPr>
                <w:rFonts w:ascii="Arial" w:eastAsia="Times New Roman" w:hAnsi="Arial" w:cs="Arial"/>
                <w:b/>
                <w:bCs/>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4C7B1D2D"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490" w:type="dxa"/>
            <w:tcBorders>
              <w:top w:val="nil"/>
              <w:left w:val="nil"/>
              <w:bottom w:val="single" w:sz="4" w:space="0" w:color="auto"/>
              <w:right w:val="single" w:sz="4" w:space="0" w:color="auto"/>
            </w:tcBorders>
            <w:shd w:val="clear" w:color="auto" w:fill="auto"/>
            <w:vAlign w:val="center"/>
            <w:hideMark/>
          </w:tcPr>
          <w:p w14:paraId="2A1B27A2"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490" w:type="dxa"/>
            <w:tcBorders>
              <w:top w:val="nil"/>
              <w:left w:val="nil"/>
              <w:bottom w:val="single" w:sz="4" w:space="0" w:color="auto"/>
              <w:right w:val="single" w:sz="4" w:space="0" w:color="auto"/>
            </w:tcBorders>
            <w:shd w:val="clear" w:color="auto" w:fill="auto"/>
            <w:vAlign w:val="center"/>
            <w:hideMark/>
          </w:tcPr>
          <w:p w14:paraId="6ECC34FC"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557" w:type="dxa"/>
            <w:tcBorders>
              <w:top w:val="nil"/>
              <w:left w:val="nil"/>
              <w:bottom w:val="single" w:sz="4" w:space="0" w:color="auto"/>
              <w:right w:val="single" w:sz="4" w:space="0" w:color="auto"/>
            </w:tcBorders>
            <w:shd w:val="clear" w:color="auto" w:fill="auto"/>
            <w:vAlign w:val="center"/>
            <w:hideMark/>
          </w:tcPr>
          <w:p w14:paraId="2B199E29"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648" w:type="dxa"/>
            <w:tcBorders>
              <w:top w:val="nil"/>
              <w:left w:val="nil"/>
              <w:bottom w:val="single" w:sz="4" w:space="0" w:color="auto"/>
              <w:right w:val="single" w:sz="4" w:space="0" w:color="auto"/>
            </w:tcBorders>
            <w:shd w:val="clear" w:color="auto" w:fill="auto"/>
            <w:vAlign w:val="center"/>
            <w:hideMark/>
          </w:tcPr>
          <w:p w14:paraId="10D5530E"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712" w:type="dxa"/>
            <w:tcBorders>
              <w:top w:val="nil"/>
              <w:left w:val="nil"/>
              <w:bottom w:val="single" w:sz="4" w:space="0" w:color="auto"/>
              <w:right w:val="single" w:sz="4" w:space="0" w:color="auto"/>
            </w:tcBorders>
            <w:shd w:val="clear" w:color="auto" w:fill="auto"/>
            <w:vAlign w:val="center"/>
            <w:hideMark/>
          </w:tcPr>
          <w:p w14:paraId="62DFF07D"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486" w:type="dxa"/>
            <w:tcBorders>
              <w:top w:val="nil"/>
              <w:left w:val="nil"/>
              <w:bottom w:val="single" w:sz="4" w:space="0" w:color="auto"/>
              <w:right w:val="single" w:sz="4" w:space="0" w:color="auto"/>
            </w:tcBorders>
            <w:shd w:val="clear" w:color="auto" w:fill="auto"/>
            <w:vAlign w:val="center"/>
            <w:hideMark/>
          </w:tcPr>
          <w:p w14:paraId="4419D249"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486" w:type="dxa"/>
            <w:tcBorders>
              <w:top w:val="nil"/>
              <w:left w:val="nil"/>
              <w:bottom w:val="single" w:sz="4" w:space="0" w:color="auto"/>
              <w:right w:val="single" w:sz="4" w:space="0" w:color="auto"/>
            </w:tcBorders>
            <w:shd w:val="clear" w:color="auto" w:fill="auto"/>
            <w:vAlign w:val="center"/>
            <w:hideMark/>
          </w:tcPr>
          <w:p w14:paraId="2DA5236C"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486" w:type="dxa"/>
            <w:tcBorders>
              <w:top w:val="nil"/>
              <w:left w:val="nil"/>
              <w:bottom w:val="single" w:sz="4" w:space="0" w:color="auto"/>
              <w:right w:val="single" w:sz="4" w:space="0" w:color="auto"/>
            </w:tcBorders>
            <w:shd w:val="clear" w:color="auto" w:fill="auto"/>
            <w:vAlign w:val="center"/>
            <w:hideMark/>
          </w:tcPr>
          <w:p w14:paraId="334CA51A"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486" w:type="dxa"/>
            <w:tcBorders>
              <w:top w:val="nil"/>
              <w:left w:val="nil"/>
              <w:bottom w:val="single" w:sz="4" w:space="0" w:color="auto"/>
              <w:right w:val="single" w:sz="4" w:space="0" w:color="auto"/>
            </w:tcBorders>
            <w:shd w:val="clear" w:color="auto" w:fill="auto"/>
            <w:vAlign w:val="center"/>
            <w:hideMark/>
          </w:tcPr>
          <w:p w14:paraId="1E669922"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864" w:type="dxa"/>
            <w:tcBorders>
              <w:top w:val="nil"/>
              <w:left w:val="nil"/>
              <w:bottom w:val="single" w:sz="4" w:space="0" w:color="auto"/>
              <w:right w:val="single" w:sz="4" w:space="0" w:color="auto"/>
            </w:tcBorders>
            <w:shd w:val="clear" w:color="auto" w:fill="auto"/>
            <w:vAlign w:val="center"/>
            <w:hideMark/>
          </w:tcPr>
          <w:p w14:paraId="610D7A27" w14:textId="77777777" w:rsidR="001A7407" w:rsidRPr="001A7407" w:rsidRDefault="001A7407" w:rsidP="001A7407">
            <w:pPr>
              <w:jc w:val="center"/>
              <w:rPr>
                <w:rFonts w:ascii="Arial" w:eastAsia="Times New Roman" w:hAnsi="Arial" w:cs="Arial"/>
                <w:b/>
                <w:bCs/>
                <w:color w:val="000000"/>
                <w:sz w:val="14"/>
                <w:szCs w:val="14"/>
                <w:lang w:val="cs-CZ" w:eastAsia="cs-CZ"/>
              </w:rPr>
            </w:pPr>
            <w:r w:rsidRPr="001A7407">
              <w:rPr>
                <w:rFonts w:ascii="Arial" w:eastAsia="Times New Roman" w:hAnsi="Arial" w:cs="Arial"/>
                <w:b/>
                <w:bCs/>
                <w:color w:val="000000"/>
                <w:sz w:val="14"/>
                <w:szCs w:val="14"/>
                <w:lang w:val="cs-CZ" w:eastAsia="cs-CZ"/>
              </w:rPr>
              <w:t>Ž</w:t>
            </w:r>
          </w:p>
        </w:tc>
        <w:tc>
          <w:tcPr>
            <w:tcW w:w="724" w:type="dxa"/>
            <w:vMerge/>
            <w:tcBorders>
              <w:top w:val="single" w:sz="4" w:space="0" w:color="auto"/>
              <w:left w:val="single" w:sz="4" w:space="0" w:color="auto"/>
              <w:bottom w:val="single" w:sz="4" w:space="0" w:color="000000"/>
              <w:right w:val="single" w:sz="4" w:space="0" w:color="auto"/>
            </w:tcBorders>
            <w:vAlign w:val="center"/>
            <w:hideMark/>
          </w:tcPr>
          <w:p w14:paraId="5D140AF9" w14:textId="77777777" w:rsidR="001A7407" w:rsidRPr="001A7407" w:rsidRDefault="001A7407" w:rsidP="001A7407">
            <w:pPr>
              <w:rPr>
                <w:rFonts w:ascii="Arial" w:eastAsia="Times New Roman" w:hAnsi="Arial" w:cs="Arial"/>
                <w:b/>
                <w:bCs/>
                <w:color w:val="000000"/>
                <w:sz w:val="14"/>
                <w:szCs w:val="14"/>
                <w:lang w:val="cs-CZ" w:eastAsia="cs-CZ"/>
              </w:rPr>
            </w:pPr>
          </w:p>
        </w:tc>
      </w:tr>
      <w:tr w:rsidR="001A7407" w:rsidRPr="001A7407" w14:paraId="014D3826"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4893A447"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62400/CR01</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6312027F"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Neaktivní účastníci, kteří znovu začali hledat zaměstnání po ukončení své účasti</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44F69FA6"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Méně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44577128"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Neaktivní účastníci 60300</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9CDACE"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4182F16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1 322,000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577474E1"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29B4C1D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167E2B3B"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r>
      <w:tr w:rsidR="001A7407" w:rsidRPr="001A7407" w14:paraId="3D090102"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0A6FC8C0"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7D75110A"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F1BA72E"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32E95937"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3D107417"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3B42596B"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7B6D272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2583CF5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CB73F0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2CF9253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6D1581A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6D1ABE6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36064E6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AFAA40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C74705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A07CAB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27F7F4F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tcBorders>
              <w:top w:val="nil"/>
              <w:left w:val="single" w:sz="4" w:space="0" w:color="auto"/>
              <w:bottom w:val="single" w:sz="4" w:space="0" w:color="auto"/>
              <w:right w:val="single" w:sz="4" w:space="0" w:color="auto"/>
            </w:tcBorders>
            <w:vAlign w:val="center"/>
            <w:hideMark/>
          </w:tcPr>
          <w:p w14:paraId="6E7C9911"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505205DA"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1D788FDB"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35338E24"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15E0BCCB"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69B776AF"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3E510798"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459D1AE6"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371DCAB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CF77EB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DC4117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35DEA87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39F0E95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6A33A25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59E7BC3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A2D922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14CD72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BE5FB9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70F160D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tcBorders>
              <w:top w:val="nil"/>
              <w:left w:val="single" w:sz="4" w:space="0" w:color="auto"/>
              <w:bottom w:val="single" w:sz="4" w:space="0" w:color="auto"/>
              <w:right w:val="single" w:sz="4" w:space="0" w:color="auto"/>
            </w:tcBorders>
            <w:vAlign w:val="center"/>
            <w:hideMark/>
          </w:tcPr>
          <w:p w14:paraId="771DE11D"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4F0D2770"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75B760D2"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62400/CR01</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170A5652"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Neaktivní účastníci, kteří znovu začali hledat zaměstnání po ukončení své účasti</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029E4F5A"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Více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0E56CEB8"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Neaktivní účastníci 60300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334523F7"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7E81914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178,000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4BAEFC67"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1315CA7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46052945"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r>
      <w:tr w:rsidR="001A7407" w:rsidRPr="001A7407" w14:paraId="7222855D"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46AED8B1"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3CBBD272"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C853895"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6DD86572"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21B8C4E5"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4866500B"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1819A17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2A53580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5A64AE3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637BDA6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21778A2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01FAB12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096A587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FCFC0E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027D37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2E9702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10813B4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tcBorders>
              <w:top w:val="nil"/>
              <w:left w:val="single" w:sz="4" w:space="0" w:color="auto"/>
              <w:bottom w:val="single" w:sz="4" w:space="0" w:color="auto"/>
              <w:right w:val="single" w:sz="4" w:space="0" w:color="auto"/>
            </w:tcBorders>
            <w:vAlign w:val="center"/>
            <w:hideMark/>
          </w:tcPr>
          <w:p w14:paraId="48CCC15A"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3C2CBB96"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316341AA"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47DADA6B"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31FA1589"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6218FA5D"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7349BA91"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6E874562"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567DB26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2F32896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0CE797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4C17329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30FC623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5D51650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169E619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5139F3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CD029B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8DD53C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2DE3F4B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tcBorders>
              <w:top w:val="nil"/>
              <w:left w:val="single" w:sz="4" w:space="0" w:color="auto"/>
              <w:bottom w:val="single" w:sz="4" w:space="0" w:color="auto"/>
              <w:right w:val="single" w:sz="4" w:space="0" w:color="auto"/>
            </w:tcBorders>
            <w:vAlign w:val="center"/>
            <w:hideMark/>
          </w:tcPr>
          <w:p w14:paraId="1D2F5716"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54A6D55A"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1B25461B"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62600/CR03</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7FFF40C3"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kteří získali kvalifikaci po ukončení své účasti</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7E647990"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Méně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6F988BE9"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Nezaměstnaní účastníci, včetně dlouhodobě nezaměstnaných, Zaměstnaní, včetně OSVČ 60100, 60500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4A3C5A90"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086B15F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441,000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0F365B6E"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335E555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4 268,000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44FDB8C9"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967,800%</w:t>
            </w:r>
          </w:p>
        </w:tc>
      </w:tr>
      <w:tr w:rsidR="001A7407" w:rsidRPr="001A7407" w14:paraId="527AF7FC"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1F53D1D6"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6DA5C70C"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BD1FC11"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11BFD073"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06AC8F11"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24F93700"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07BFBAD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16F9AA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18CDCA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63F8A57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1,000</w:t>
            </w:r>
          </w:p>
        </w:tc>
        <w:tc>
          <w:tcPr>
            <w:tcW w:w="648" w:type="dxa"/>
            <w:tcBorders>
              <w:top w:val="nil"/>
              <w:left w:val="nil"/>
              <w:bottom w:val="single" w:sz="4" w:space="0" w:color="auto"/>
              <w:right w:val="single" w:sz="4" w:space="0" w:color="auto"/>
            </w:tcBorders>
            <w:shd w:val="clear" w:color="auto" w:fill="auto"/>
            <w:vAlign w:val="center"/>
            <w:hideMark/>
          </w:tcPr>
          <w:p w14:paraId="54EFA62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40,000</w:t>
            </w:r>
          </w:p>
        </w:tc>
        <w:tc>
          <w:tcPr>
            <w:tcW w:w="712" w:type="dxa"/>
            <w:tcBorders>
              <w:top w:val="nil"/>
              <w:left w:val="nil"/>
              <w:bottom w:val="single" w:sz="4" w:space="0" w:color="auto"/>
              <w:right w:val="single" w:sz="4" w:space="0" w:color="auto"/>
            </w:tcBorders>
            <w:shd w:val="clear" w:color="auto" w:fill="auto"/>
            <w:vAlign w:val="center"/>
            <w:hideMark/>
          </w:tcPr>
          <w:p w14:paraId="08C7338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37,000</w:t>
            </w:r>
          </w:p>
        </w:tc>
        <w:tc>
          <w:tcPr>
            <w:tcW w:w="486" w:type="dxa"/>
            <w:tcBorders>
              <w:top w:val="nil"/>
              <w:left w:val="nil"/>
              <w:bottom w:val="single" w:sz="4" w:space="0" w:color="auto"/>
              <w:right w:val="single" w:sz="4" w:space="0" w:color="auto"/>
            </w:tcBorders>
            <w:shd w:val="clear" w:color="auto" w:fill="auto"/>
            <w:vAlign w:val="center"/>
            <w:hideMark/>
          </w:tcPr>
          <w:p w14:paraId="5D100BA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B9B97B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B188BC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7B7C0B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0F6806E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78,000</w:t>
            </w:r>
          </w:p>
        </w:tc>
        <w:tc>
          <w:tcPr>
            <w:tcW w:w="724" w:type="dxa"/>
            <w:vMerge/>
            <w:tcBorders>
              <w:top w:val="nil"/>
              <w:left w:val="single" w:sz="4" w:space="0" w:color="auto"/>
              <w:bottom w:val="single" w:sz="4" w:space="0" w:color="auto"/>
              <w:right w:val="single" w:sz="4" w:space="0" w:color="auto"/>
            </w:tcBorders>
            <w:vAlign w:val="center"/>
            <w:hideMark/>
          </w:tcPr>
          <w:p w14:paraId="24DD2256"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3C2D70EE"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528867F8"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560984BC"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463612DD"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237E77B6"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45C34946"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6FDED932"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533F3A0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3BA27A9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346788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2189D1C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466,000</w:t>
            </w:r>
          </w:p>
        </w:tc>
        <w:tc>
          <w:tcPr>
            <w:tcW w:w="648" w:type="dxa"/>
            <w:tcBorders>
              <w:top w:val="nil"/>
              <w:left w:val="nil"/>
              <w:bottom w:val="single" w:sz="4" w:space="0" w:color="auto"/>
              <w:right w:val="single" w:sz="4" w:space="0" w:color="auto"/>
            </w:tcBorders>
            <w:shd w:val="clear" w:color="auto" w:fill="auto"/>
            <w:vAlign w:val="center"/>
            <w:hideMark/>
          </w:tcPr>
          <w:p w14:paraId="3F4225E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1180,000</w:t>
            </w:r>
          </w:p>
        </w:tc>
        <w:tc>
          <w:tcPr>
            <w:tcW w:w="712" w:type="dxa"/>
            <w:tcBorders>
              <w:top w:val="nil"/>
              <w:left w:val="nil"/>
              <w:bottom w:val="single" w:sz="4" w:space="0" w:color="auto"/>
              <w:right w:val="single" w:sz="4" w:space="0" w:color="auto"/>
            </w:tcBorders>
            <w:shd w:val="clear" w:color="auto" w:fill="auto"/>
            <w:vAlign w:val="center"/>
            <w:hideMark/>
          </w:tcPr>
          <w:p w14:paraId="67B5AC0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2544,000</w:t>
            </w:r>
          </w:p>
        </w:tc>
        <w:tc>
          <w:tcPr>
            <w:tcW w:w="486" w:type="dxa"/>
            <w:tcBorders>
              <w:top w:val="nil"/>
              <w:left w:val="nil"/>
              <w:bottom w:val="single" w:sz="4" w:space="0" w:color="auto"/>
              <w:right w:val="single" w:sz="4" w:space="0" w:color="auto"/>
            </w:tcBorders>
            <w:shd w:val="clear" w:color="auto" w:fill="auto"/>
            <w:vAlign w:val="center"/>
            <w:hideMark/>
          </w:tcPr>
          <w:p w14:paraId="3F951B2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63E764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54BC7C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73CC6A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319EFEC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4 190,000</w:t>
            </w:r>
          </w:p>
        </w:tc>
        <w:tc>
          <w:tcPr>
            <w:tcW w:w="724" w:type="dxa"/>
            <w:vMerge/>
            <w:tcBorders>
              <w:top w:val="nil"/>
              <w:left w:val="single" w:sz="4" w:space="0" w:color="auto"/>
              <w:bottom w:val="single" w:sz="4" w:space="0" w:color="auto"/>
              <w:right w:val="single" w:sz="4" w:space="0" w:color="auto"/>
            </w:tcBorders>
            <w:vAlign w:val="center"/>
            <w:hideMark/>
          </w:tcPr>
          <w:p w14:paraId="3BA175B5"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68090163"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36521B93"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62600/CR03</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06F8AA53"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kteří získali kvalifikaci po ukončení své účasti</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0CAAF66A"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Více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15BC0632"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Nezaměstnaní účastníci, včetně dlouhodobě nezaměstnaných, Zaměstnaní, včetně OSVČ 60100, 60500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69465CCA"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4B62AD2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59,000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239A00CC"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661D521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400,000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0DE36792"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677,966%</w:t>
            </w:r>
          </w:p>
        </w:tc>
      </w:tr>
      <w:tr w:rsidR="001A7407" w:rsidRPr="001A7407" w14:paraId="4FDB5239"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3C871964"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25E5F6C8"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2392E40"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66B00DB0"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0B09FAE0"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18EA1701"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67813A9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3B243D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8E09E4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6C245B6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49D3BAA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5AABE3D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0F50AD2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50EDF2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692861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E2E4A4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50E3D17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tcBorders>
              <w:top w:val="nil"/>
              <w:left w:val="single" w:sz="4" w:space="0" w:color="auto"/>
              <w:bottom w:val="single" w:sz="4" w:space="0" w:color="auto"/>
              <w:right w:val="single" w:sz="4" w:space="0" w:color="auto"/>
            </w:tcBorders>
            <w:vAlign w:val="center"/>
            <w:hideMark/>
          </w:tcPr>
          <w:p w14:paraId="4EE8B101"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7F0DE53D"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2BEE2CE6"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6B3D4560"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289B5B34"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6B069FF2"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783300BF"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57B086B6"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2A2CE08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6AEE19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E11B81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18D15BA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17,000</w:t>
            </w:r>
          </w:p>
        </w:tc>
        <w:tc>
          <w:tcPr>
            <w:tcW w:w="648" w:type="dxa"/>
            <w:tcBorders>
              <w:top w:val="nil"/>
              <w:left w:val="nil"/>
              <w:bottom w:val="single" w:sz="4" w:space="0" w:color="auto"/>
              <w:right w:val="single" w:sz="4" w:space="0" w:color="auto"/>
            </w:tcBorders>
            <w:shd w:val="clear" w:color="auto" w:fill="auto"/>
            <w:vAlign w:val="center"/>
            <w:hideMark/>
          </w:tcPr>
          <w:p w14:paraId="32B6AA3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191,000</w:t>
            </w:r>
          </w:p>
        </w:tc>
        <w:tc>
          <w:tcPr>
            <w:tcW w:w="712" w:type="dxa"/>
            <w:tcBorders>
              <w:top w:val="nil"/>
              <w:left w:val="nil"/>
              <w:bottom w:val="single" w:sz="4" w:space="0" w:color="auto"/>
              <w:right w:val="single" w:sz="4" w:space="0" w:color="auto"/>
            </w:tcBorders>
            <w:shd w:val="clear" w:color="auto" w:fill="auto"/>
            <w:vAlign w:val="center"/>
            <w:hideMark/>
          </w:tcPr>
          <w:p w14:paraId="24AD5D9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192,000</w:t>
            </w:r>
          </w:p>
        </w:tc>
        <w:tc>
          <w:tcPr>
            <w:tcW w:w="486" w:type="dxa"/>
            <w:tcBorders>
              <w:top w:val="nil"/>
              <w:left w:val="nil"/>
              <w:bottom w:val="single" w:sz="4" w:space="0" w:color="auto"/>
              <w:right w:val="single" w:sz="4" w:space="0" w:color="auto"/>
            </w:tcBorders>
            <w:shd w:val="clear" w:color="auto" w:fill="auto"/>
            <w:vAlign w:val="center"/>
            <w:hideMark/>
          </w:tcPr>
          <w:p w14:paraId="29ED5B7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1DB327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12AA15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B7D733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16B98CD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400,000</w:t>
            </w:r>
          </w:p>
        </w:tc>
        <w:tc>
          <w:tcPr>
            <w:tcW w:w="724" w:type="dxa"/>
            <w:vMerge/>
            <w:tcBorders>
              <w:top w:val="nil"/>
              <w:left w:val="single" w:sz="4" w:space="0" w:color="auto"/>
              <w:bottom w:val="single" w:sz="4" w:space="0" w:color="auto"/>
              <w:right w:val="single" w:sz="4" w:space="0" w:color="auto"/>
            </w:tcBorders>
            <w:vAlign w:val="center"/>
            <w:hideMark/>
          </w:tcPr>
          <w:p w14:paraId="675D3D84"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3C7CCA11"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532051C4"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62700/CR04</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19EDA8BE"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zaměstnaní po ukončení své účasti, včetně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4D6F4103"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Méně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401DEE93"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Nezaměstnaní účastníci, včetně dlouhodobě nezaměstnaných 60100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5756591D"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26A593F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423,000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392A29D2"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219334E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1 790,000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2760828B"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423,168%</w:t>
            </w:r>
          </w:p>
        </w:tc>
      </w:tr>
      <w:tr w:rsidR="001A7407" w:rsidRPr="001A7407" w14:paraId="247C35DF"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1A60B12A"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A795A93"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6C94635C"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13B4B5D6"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16B09E7F"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10BD3A1E"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466B4B6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D391C6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3302FDF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14D6048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4,000</w:t>
            </w:r>
          </w:p>
        </w:tc>
        <w:tc>
          <w:tcPr>
            <w:tcW w:w="648" w:type="dxa"/>
            <w:tcBorders>
              <w:top w:val="nil"/>
              <w:left w:val="nil"/>
              <w:bottom w:val="single" w:sz="4" w:space="0" w:color="auto"/>
              <w:right w:val="single" w:sz="4" w:space="0" w:color="auto"/>
            </w:tcBorders>
            <w:shd w:val="clear" w:color="auto" w:fill="auto"/>
            <w:vAlign w:val="center"/>
            <w:hideMark/>
          </w:tcPr>
          <w:p w14:paraId="7178D5C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54,000</w:t>
            </w:r>
          </w:p>
        </w:tc>
        <w:tc>
          <w:tcPr>
            <w:tcW w:w="712" w:type="dxa"/>
            <w:tcBorders>
              <w:top w:val="nil"/>
              <w:left w:val="nil"/>
              <w:bottom w:val="single" w:sz="4" w:space="0" w:color="auto"/>
              <w:right w:val="single" w:sz="4" w:space="0" w:color="auto"/>
            </w:tcBorders>
            <w:shd w:val="clear" w:color="auto" w:fill="auto"/>
            <w:vAlign w:val="center"/>
            <w:hideMark/>
          </w:tcPr>
          <w:p w14:paraId="43AD531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10,000</w:t>
            </w:r>
          </w:p>
        </w:tc>
        <w:tc>
          <w:tcPr>
            <w:tcW w:w="486" w:type="dxa"/>
            <w:tcBorders>
              <w:top w:val="nil"/>
              <w:left w:val="nil"/>
              <w:bottom w:val="single" w:sz="4" w:space="0" w:color="auto"/>
              <w:right w:val="single" w:sz="4" w:space="0" w:color="auto"/>
            </w:tcBorders>
            <w:shd w:val="clear" w:color="auto" w:fill="auto"/>
            <w:vAlign w:val="center"/>
            <w:hideMark/>
          </w:tcPr>
          <w:p w14:paraId="6B59442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A97E80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0AE25F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3F28BF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0AF0F89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68,000</w:t>
            </w:r>
          </w:p>
        </w:tc>
        <w:tc>
          <w:tcPr>
            <w:tcW w:w="724" w:type="dxa"/>
            <w:vMerge/>
            <w:tcBorders>
              <w:top w:val="nil"/>
              <w:left w:val="single" w:sz="4" w:space="0" w:color="auto"/>
              <w:bottom w:val="single" w:sz="4" w:space="0" w:color="auto"/>
              <w:right w:val="single" w:sz="4" w:space="0" w:color="auto"/>
            </w:tcBorders>
            <w:vAlign w:val="center"/>
            <w:hideMark/>
          </w:tcPr>
          <w:p w14:paraId="597CD174"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10FFE4A1"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4C2B609C"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37262E25"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4EC50361"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771F7414"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0CB52D49"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1D97137A"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47D2ED8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1EE8B4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3762616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543FD69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216,000</w:t>
            </w:r>
          </w:p>
        </w:tc>
        <w:tc>
          <w:tcPr>
            <w:tcW w:w="648" w:type="dxa"/>
            <w:tcBorders>
              <w:top w:val="nil"/>
              <w:left w:val="nil"/>
              <w:bottom w:val="single" w:sz="4" w:space="0" w:color="auto"/>
              <w:right w:val="single" w:sz="4" w:space="0" w:color="auto"/>
            </w:tcBorders>
            <w:shd w:val="clear" w:color="auto" w:fill="auto"/>
            <w:vAlign w:val="center"/>
            <w:hideMark/>
          </w:tcPr>
          <w:p w14:paraId="3017F00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1177,000</w:t>
            </w:r>
          </w:p>
        </w:tc>
        <w:tc>
          <w:tcPr>
            <w:tcW w:w="712" w:type="dxa"/>
            <w:tcBorders>
              <w:top w:val="nil"/>
              <w:left w:val="nil"/>
              <w:bottom w:val="single" w:sz="4" w:space="0" w:color="auto"/>
              <w:right w:val="single" w:sz="4" w:space="0" w:color="auto"/>
            </w:tcBorders>
            <w:shd w:val="clear" w:color="auto" w:fill="auto"/>
            <w:vAlign w:val="center"/>
            <w:hideMark/>
          </w:tcPr>
          <w:p w14:paraId="215F93C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329,000</w:t>
            </w:r>
          </w:p>
        </w:tc>
        <w:tc>
          <w:tcPr>
            <w:tcW w:w="486" w:type="dxa"/>
            <w:tcBorders>
              <w:top w:val="nil"/>
              <w:left w:val="nil"/>
              <w:bottom w:val="single" w:sz="4" w:space="0" w:color="auto"/>
              <w:right w:val="single" w:sz="4" w:space="0" w:color="auto"/>
            </w:tcBorders>
            <w:shd w:val="clear" w:color="auto" w:fill="auto"/>
            <w:vAlign w:val="center"/>
            <w:hideMark/>
          </w:tcPr>
          <w:p w14:paraId="6AB540B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67F826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4BA2A1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4EDA68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7C1B1BC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1 722,000</w:t>
            </w:r>
          </w:p>
        </w:tc>
        <w:tc>
          <w:tcPr>
            <w:tcW w:w="724" w:type="dxa"/>
            <w:vMerge/>
            <w:tcBorders>
              <w:top w:val="nil"/>
              <w:left w:val="single" w:sz="4" w:space="0" w:color="auto"/>
              <w:bottom w:val="single" w:sz="4" w:space="0" w:color="auto"/>
              <w:right w:val="single" w:sz="4" w:space="0" w:color="auto"/>
            </w:tcBorders>
            <w:vAlign w:val="center"/>
            <w:hideMark/>
          </w:tcPr>
          <w:p w14:paraId="37068A99"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3F782B9D"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43F2AE2F"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62700/CR04</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501115AB"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zaměstnaní po ukončení své účasti, včetně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3A791DBC"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Více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53767C41"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Nezaměstnaní účastníci, včetně dlouhodobě nezaměstnaných 60100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0389A3FB"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526489E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57,000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760B6C2F"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2F423E4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314,000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1B5C5010"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550,877%</w:t>
            </w:r>
          </w:p>
        </w:tc>
      </w:tr>
      <w:tr w:rsidR="001A7407" w:rsidRPr="001A7407" w14:paraId="15E81CEB"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002DE98D"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7C656C95"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5A039055"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55C4ED03"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7EC567A6"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76264A28"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35F7CE4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7EB23DD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6FBEB4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597CD74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255BC79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4,000</w:t>
            </w:r>
          </w:p>
        </w:tc>
        <w:tc>
          <w:tcPr>
            <w:tcW w:w="712" w:type="dxa"/>
            <w:tcBorders>
              <w:top w:val="nil"/>
              <w:left w:val="nil"/>
              <w:bottom w:val="single" w:sz="4" w:space="0" w:color="auto"/>
              <w:right w:val="single" w:sz="4" w:space="0" w:color="auto"/>
            </w:tcBorders>
            <w:shd w:val="clear" w:color="auto" w:fill="auto"/>
            <w:vAlign w:val="center"/>
            <w:hideMark/>
          </w:tcPr>
          <w:p w14:paraId="4D059F7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6BC2578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9A435E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BB4956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9D3F93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040B9AC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4,000</w:t>
            </w:r>
          </w:p>
        </w:tc>
        <w:tc>
          <w:tcPr>
            <w:tcW w:w="724" w:type="dxa"/>
            <w:vMerge/>
            <w:tcBorders>
              <w:top w:val="nil"/>
              <w:left w:val="single" w:sz="4" w:space="0" w:color="auto"/>
              <w:bottom w:val="single" w:sz="4" w:space="0" w:color="auto"/>
              <w:right w:val="single" w:sz="4" w:space="0" w:color="auto"/>
            </w:tcBorders>
            <w:vAlign w:val="center"/>
            <w:hideMark/>
          </w:tcPr>
          <w:p w14:paraId="4C3E87AF"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4E97C35F"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04AA1CC5"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D1E6A4A"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62E05F9D"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54C0F5DB"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09A4BB03"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0FA71D83"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1923DFA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047612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D6624E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72A36E3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02C71C5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191,000</w:t>
            </w:r>
          </w:p>
        </w:tc>
        <w:tc>
          <w:tcPr>
            <w:tcW w:w="712" w:type="dxa"/>
            <w:tcBorders>
              <w:top w:val="nil"/>
              <w:left w:val="nil"/>
              <w:bottom w:val="single" w:sz="4" w:space="0" w:color="auto"/>
              <w:right w:val="single" w:sz="4" w:space="0" w:color="auto"/>
            </w:tcBorders>
            <w:shd w:val="clear" w:color="auto" w:fill="auto"/>
            <w:vAlign w:val="center"/>
            <w:hideMark/>
          </w:tcPr>
          <w:p w14:paraId="2B9683C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119,000</w:t>
            </w:r>
          </w:p>
        </w:tc>
        <w:tc>
          <w:tcPr>
            <w:tcW w:w="486" w:type="dxa"/>
            <w:tcBorders>
              <w:top w:val="nil"/>
              <w:left w:val="nil"/>
              <w:bottom w:val="single" w:sz="4" w:space="0" w:color="auto"/>
              <w:right w:val="single" w:sz="4" w:space="0" w:color="auto"/>
            </w:tcBorders>
            <w:shd w:val="clear" w:color="auto" w:fill="auto"/>
            <w:vAlign w:val="center"/>
            <w:hideMark/>
          </w:tcPr>
          <w:p w14:paraId="484A4B2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531EA3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6F2172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06F9D6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64F5FE2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310,000</w:t>
            </w:r>
          </w:p>
        </w:tc>
        <w:tc>
          <w:tcPr>
            <w:tcW w:w="724" w:type="dxa"/>
            <w:vMerge/>
            <w:tcBorders>
              <w:top w:val="nil"/>
              <w:left w:val="single" w:sz="4" w:space="0" w:color="auto"/>
              <w:bottom w:val="single" w:sz="4" w:space="0" w:color="auto"/>
              <w:right w:val="single" w:sz="4" w:space="0" w:color="auto"/>
            </w:tcBorders>
            <w:vAlign w:val="center"/>
            <w:hideMark/>
          </w:tcPr>
          <w:p w14:paraId="4C2550C0"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34254E43" w14:textId="77777777" w:rsidTr="00716644">
        <w:trPr>
          <w:trHeight w:hRule="exact" w:val="34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2F2EE363"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62800/CR05</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34D61892"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Znevýhodnění účastníci, kteří po ukončení své účasti hledají zaměstnání, jsou v procesu vzdělávání/ odborné přípravy, rozšiřují si kvalifikaci nebo jsou zaměstnaní, a to i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14795715"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Méně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0E0E8365"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5DD36719"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122706C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1 159,000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7E3B817D"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4BE3950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1 027,000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74D896FD"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88,611%</w:t>
            </w:r>
          </w:p>
        </w:tc>
      </w:tr>
      <w:tr w:rsidR="001A7407" w:rsidRPr="001A7407" w14:paraId="13A1309D" w14:textId="77777777" w:rsidTr="00716644">
        <w:trPr>
          <w:trHeight w:hRule="exact" w:val="340"/>
        </w:trPr>
        <w:tc>
          <w:tcPr>
            <w:tcW w:w="798" w:type="dxa"/>
            <w:vMerge/>
            <w:tcBorders>
              <w:top w:val="nil"/>
              <w:left w:val="single" w:sz="4" w:space="0" w:color="auto"/>
              <w:bottom w:val="single" w:sz="4" w:space="0" w:color="auto"/>
              <w:right w:val="single" w:sz="4" w:space="0" w:color="auto"/>
            </w:tcBorders>
            <w:vAlign w:val="center"/>
            <w:hideMark/>
          </w:tcPr>
          <w:p w14:paraId="16383EFA"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6D4C01C"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2ADAA9FF"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21B85B7A"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389A27DE"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0CF8539B"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2DAC20A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3F6C604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3BB59E6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418B2B9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1313121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12,000</w:t>
            </w:r>
          </w:p>
        </w:tc>
        <w:tc>
          <w:tcPr>
            <w:tcW w:w="712" w:type="dxa"/>
            <w:tcBorders>
              <w:top w:val="nil"/>
              <w:left w:val="nil"/>
              <w:bottom w:val="single" w:sz="4" w:space="0" w:color="auto"/>
              <w:right w:val="single" w:sz="4" w:space="0" w:color="auto"/>
            </w:tcBorders>
            <w:shd w:val="clear" w:color="auto" w:fill="auto"/>
            <w:vAlign w:val="center"/>
            <w:hideMark/>
          </w:tcPr>
          <w:p w14:paraId="5DAA1A4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5,000</w:t>
            </w:r>
          </w:p>
        </w:tc>
        <w:tc>
          <w:tcPr>
            <w:tcW w:w="486" w:type="dxa"/>
            <w:tcBorders>
              <w:top w:val="nil"/>
              <w:left w:val="nil"/>
              <w:bottom w:val="single" w:sz="4" w:space="0" w:color="auto"/>
              <w:right w:val="single" w:sz="4" w:space="0" w:color="auto"/>
            </w:tcBorders>
            <w:shd w:val="clear" w:color="auto" w:fill="auto"/>
            <w:vAlign w:val="center"/>
            <w:hideMark/>
          </w:tcPr>
          <w:p w14:paraId="61BFF84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CA4A2B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30442E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58705F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27FB8B4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17,000</w:t>
            </w:r>
          </w:p>
        </w:tc>
        <w:tc>
          <w:tcPr>
            <w:tcW w:w="724" w:type="dxa"/>
            <w:vMerge/>
            <w:tcBorders>
              <w:top w:val="nil"/>
              <w:left w:val="single" w:sz="4" w:space="0" w:color="auto"/>
              <w:bottom w:val="single" w:sz="4" w:space="0" w:color="auto"/>
              <w:right w:val="single" w:sz="4" w:space="0" w:color="auto"/>
            </w:tcBorders>
            <w:vAlign w:val="center"/>
            <w:hideMark/>
          </w:tcPr>
          <w:p w14:paraId="7819DF87"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6D16A007" w14:textId="77777777" w:rsidTr="00716644">
        <w:trPr>
          <w:trHeight w:hRule="exact" w:val="340"/>
        </w:trPr>
        <w:tc>
          <w:tcPr>
            <w:tcW w:w="798" w:type="dxa"/>
            <w:vMerge/>
            <w:tcBorders>
              <w:top w:val="nil"/>
              <w:left w:val="single" w:sz="4" w:space="0" w:color="auto"/>
              <w:bottom w:val="single" w:sz="4" w:space="0" w:color="auto"/>
              <w:right w:val="single" w:sz="4" w:space="0" w:color="auto"/>
            </w:tcBorders>
            <w:vAlign w:val="center"/>
            <w:hideMark/>
          </w:tcPr>
          <w:p w14:paraId="29D2A02C"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1057871D"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8E70FD2"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2356AC2E"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4F181FBA"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6B85F331"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0CCF89B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0E35FD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7DE0889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29E48EE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404BE8F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560,000</w:t>
            </w:r>
          </w:p>
        </w:tc>
        <w:tc>
          <w:tcPr>
            <w:tcW w:w="712" w:type="dxa"/>
            <w:tcBorders>
              <w:top w:val="nil"/>
              <w:left w:val="nil"/>
              <w:bottom w:val="single" w:sz="4" w:space="0" w:color="auto"/>
              <w:right w:val="single" w:sz="4" w:space="0" w:color="auto"/>
            </w:tcBorders>
            <w:shd w:val="clear" w:color="auto" w:fill="auto"/>
            <w:vAlign w:val="center"/>
            <w:hideMark/>
          </w:tcPr>
          <w:p w14:paraId="3B3662B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450,000</w:t>
            </w:r>
          </w:p>
        </w:tc>
        <w:tc>
          <w:tcPr>
            <w:tcW w:w="486" w:type="dxa"/>
            <w:tcBorders>
              <w:top w:val="nil"/>
              <w:left w:val="nil"/>
              <w:bottom w:val="single" w:sz="4" w:space="0" w:color="auto"/>
              <w:right w:val="single" w:sz="4" w:space="0" w:color="auto"/>
            </w:tcBorders>
            <w:shd w:val="clear" w:color="auto" w:fill="auto"/>
            <w:vAlign w:val="center"/>
            <w:hideMark/>
          </w:tcPr>
          <w:p w14:paraId="3076E04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B86C1A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BC131C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D9EE1D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734B442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1 010,000</w:t>
            </w:r>
          </w:p>
        </w:tc>
        <w:tc>
          <w:tcPr>
            <w:tcW w:w="724" w:type="dxa"/>
            <w:vMerge/>
            <w:tcBorders>
              <w:top w:val="nil"/>
              <w:left w:val="single" w:sz="4" w:space="0" w:color="auto"/>
              <w:bottom w:val="single" w:sz="4" w:space="0" w:color="auto"/>
              <w:right w:val="single" w:sz="4" w:space="0" w:color="auto"/>
            </w:tcBorders>
            <w:vAlign w:val="center"/>
            <w:hideMark/>
          </w:tcPr>
          <w:p w14:paraId="2981A152"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52221DB1" w14:textId="77777777" w:rsidTr="00716644">
        <w:trPr>
          <w:trHeight w:hRule="exact" w:val="34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18061333"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lastRenderedPageBreak/>
              <w:t>62800/CR05</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3C1B394F"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Znevýhodnění účastníci, kteří po ukončení své účasti hledají zaměstnání, jsou v procesu vzdělávání/ odborné přípravy, rozšiřují si kvalifikaci nebo jsou zaměstnaní, a to i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7B7264DC"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Více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6E9451F7"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4B196F49"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29CF156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156,000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087571CE"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1C9BADB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203,000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1B6378E8"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130,128%</w:t>
            </w:r>
          </w:p>
        </w:tc>
      </w:tr>
      <w:tr w:rsidR="001A7407" w:rsidRPr="001A7407" w14:paraId="3E4213B4" w14:textId="77777777" w:rsidTr="00716644">
        <w:trPr>
          <w:trHeight w:hRule="exact" w:val="340"/>
        </w:trPr>
        <w:tc>
          <w:tcPr>
            <w:tcW w:w="798" w:type="dxa"/>
            <w:vMerge/>
            <w:tcBorders>
              <w:top w:val="nil"/>
              <w:left w:val="single" w:sz="4" w:space="0" w:color="auto"/>
              <w:bottom w:val="single" w:sz="4" w:space="0" w:color="auto"/>
              <w:right w:val="single" w:sz="4" w:space="0" w:color="auto"/>
            </w:tcBorders>
            <w:vAlign w:val="center"/>
            <w:hideMark/>
          </w:tcPr>
          <w:p w14:paraId="01D9FF19"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231C15DC"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77F601C"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3C96CBB8"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00121881"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5142CB5A"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0A80284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7195A7B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5512B9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66014A2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5A86399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2,000</w:t>
            </w:r>
          </w:p>
        </w:tc>
        <w:tc>
          <w:tcPr>
            <w:tcW w:w="712" w:type="dxa"/>
            <w:tcBorders>
              <w:top w:val="nil"/>
              <w:left w:val="nil"/>
              <w:bottom w:val="single" w:sz="4" w:space="0" w:color="auto"/>
              <w:right w:val="single" w:sz="4" w:space="0" w:color="auto"/>
            </w:tcBorders>
            <w:shd w:val="clear" w:color="auto" w:fill="auto"/>
            <w:vAlign w:val="center"/>
            <w:hideMark/>
          </w:tcPr>
          <w:p w14:paraId="6A5B5E7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4E44FA6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7478AE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EA883F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1DAFEC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096D220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2,000</w:t>
            </w:r>
          </w:p>
        </w:tc>
        <w:tc>
          <w:tcPr>
            <w:tcW w:w="724" w:type="dxa"/>
            <w:vMerge/>
            <w:tcBorders>
              <w:top w:val="nil"/>
              <w:left w:val="single" w:sz="4" w:space="0" w:color="auto"/>
              <w:bottom w:val="single" w:sz="4" w:space="0" w:color="auto"/>
              <w:right w:val="single" w:sz="4" w:space="0" w:color="auto"/>
            </w:tcBorders>
            <w:vAlign w:val="center"/>
            <w:hideMark/>
          </w:tcPr>
          <w:p w14:paraId="3ABEA163"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0B2A338D" w14:textId="77777777" w:rsidTr="00716644">
        <w:trPr>
          <w:trHeight w:hRule="exact" w:val="340"/>
        </w:trPr>
        <w:tc>
          <w:tcPr>
            <w:tcW w:w="798" w:type="dxa"/>
            <w:vMerge/>
            <w:tcBorders>
              <w:top w:val="nil"/>
              <w:left w:val="single" w:sz="4" w:space="0" w:color="auto"/>
              <w:bottom w:val="single" w:sz="4" w:space="0" w:color="auto"/>
              <w:right w:val="single" w:sz="4" w:space="0" w:color="auto"/>
            </w:tcBorders>
            <w:vAlign w:val="center"/>
            <w:hideMark/>
          </w:tcPr>
          <w:p w14:paraId="07FAB7D6"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386B3F3F"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56617B3"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38A7F044"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1DB92A0F"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638F549E"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0CAE231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F840BB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57C1F20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466DBC4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7ADC8DD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91,000</w:t>
            </w:r>
          </w:p>
        </w:tc>
        <w:tc>
          <w:tcPr>
            <w:tcW w:w="712" w:type="dxa"/>
            <w:tcBorders>
              <w:top w:val="nil"/>
              <w:left w:val="nil"/>
              <w:bottom w:val="single" w:sz="4" w:space="0" w:color="auto"/>
              <w:right w:val="single" w:sz="4" w:space="0" w:color="auto"/>
            </w:tcBorders>
            <w:shd w:val="clear" w:color="auto" w:fill="auto"/>
            <w:vAlign w:val="center"/>
            <w:hideMark/>
          </w:tcPr>
          <w:p w14:paraId="7A3A44B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110,000</w:t>
            </w:r>
          </w:p>
        </w:tc>
        <w:tc>
          <w:tcPr>
            <w:tcW w:w="486" w:type="dxa"/>
            <w:tcBorders>
              <w:top w:val="nil"/>
              <w:left w:val="nil"/>
              <w:bottom w:val="single" w:sz="4" w:space="0" w:color="auto"/>
              <w:right w:val="single" w:sz="4" w:space="0" w:color="auto"/>
            </w:tcBorders>
            <w:shd w:val="clear" w:color="auto" w:fill="auto"/>
            <w:vAlign w:val="center"/>
            <w:hideMark/>
          </w:tcPr>
          <w:p w14:paraId="286B625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AA7BA0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F98A15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D73728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40FDAE0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201,000</w:t>
            </w:r>
          </w:p>
        </w:tc>
        <w:tc>
          <w:tcPr>
            <w:tcW w:w="724" w:type="dxa"/>
            <w:vMerge/>
            <w:tcBorders>
              <w:top w:val="nil"/>
              <w:left w:val="single" w:sz="4" w:space="0" w:color="auto"/>
              <w:bottom w:val="single" w:sz="4" w:space="0" w:color="auto"/>
              <w:right w:val="single" w:sz="4" w:space="0" w:color="auto"/>
            </w:tcBorders>
            <w:vAlign w:val="center"/>
            <w:hideMark/>
          </w:tcPr>
          <w:p w14:paraId="5F09846D"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63D93E36"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6D08558D"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62900/CR06</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73C6FE4D"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zaměstnaní 6 měsíců po ukončení své účasti, včetně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3416C862"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Méně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69122D8B"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Nezaměstnaní účastníci, včetně dlouhodobě nezaměstnaných 60100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796A1472"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759F494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485,000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7ACB3056"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600A43B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1 089,000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04D46953"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224,536%</w:t>
            </w:r>
          </w:p>
        </w:tc>
      </w:tr>
      <w:tr w:rsidR="001A7407" w:rsidRPr="001A7407" w14:paraId="23473BAE"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20348C24"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1AF0F17C"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286CE290"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743C70D9"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4DC21A0F"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2A6E9A93"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702CCD2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1C7EDA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DF5AD7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050D4B4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1,000</w:t>
            </w:r>
          </w:p>
        </w:tc>
        <w:tc>
          <w:tcPr>
            <w:tcW w:w="648" w:type="dxa"/>
            <w:tcBorders>
              <w:top w:val="nil"/>
              <w:left w:val="nil"/>
              <w:bottom w:val="single" w:sz="4" w:space="0" w:color="auto"/>
              <w:right w:val="single" w:sz="4" w:space="0" w:color="auto"/>
            </w:tcBorders>
            <w:shd w:val="clear" w:color="auto" w:fill="auto"/>
            <w:vAlign w:val="center"/>
            <w:hideMark/>
          </w:tcPr>
          <w:p w14:paraId="6A0D126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25,000</w:t>
            </w:r>
          </w:p>
        </w:tc>
        <w:tc>
          <w:tcPr>
            <w:tcW w:w="712" w:type="dxa"/>
            <w:tcBorders>
              <w:top w:val="nil"/>
              <w:left w:val="nil"/>
              <w:bottom w:val="single" w:sz="4" w:space="0" w:color="auto"/>
              <w:right w:val="single" w:sz="4" w:space="0" w:color="auto"/>
            </w:tcBorders>
            <w:shd w:val="clear" w:color="auto" w:fill="auto"/>
            <w:vAlign w:val="center"/>
            <w:hideMark/>
          </w:tcPr>
          <w:p w14:paraId="12878A5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7,000</w:t>
            </w:r>
          </w:p>
        </w:tc>
        <w:tc>
          <w:tcPr>
            <w:tcW w:w="486" w:type="dxa"/>
            <w:tcBorders>
              <w:top w:val="nil"/>
              <w:left w:val="nil"/>
              <w:bottom w:val="single" w:sz="4" w:space="0" w:color="auto"/>
              <w:right w:val="single" w:sz="4" w:space="0" w:color="auto"/>
            </w:tcBorders>
            <w:shd w:val="clear" w:color="auto" w:fill="auto"/>
            <w:vAlign w:val="center"/>
            <w:hideMark/>
          </w:tcPr>
          <w:p w14:paraId="74D37A7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00EAE1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E39169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F24C39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7071951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33,000</w:t>
            </w:r>
          </w:p>
        </w:tc>
        <w:tc>
          <w:tcPr>
            <w:tcW w:w="724" w:type="dxa"/>
            <w:vMerge/>
            <w:tcBorders>
              <w:top w:val="nil"/>
              <w:left w:val="single" w:sz="4" w:space="0" w:color="auto"/>
              <w:bottom w:val="single" w:sz="4" w:space="0" w:color="auto"/>
              <w:right w:val="single" w:sz="4" w:space="0" w:color="auto"/>
            </w:tcBorders>
            <w:vAlign w:val="center"/>
            <w:hideMark/>
          </w:tcPr>
          <w:p w14:paraId="50713D3D"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7BEF02F8"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7EC958F9"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D6755B3"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504F76A3"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1387376A"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45659C13"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66215214"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2756A68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2404E8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3811930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1542EC7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407,000</w:t>
            </w:r>
          </w:p>
        </w:tc>
        <w:tc>
          <w:tcPr>
            <w:tcW w:w="648" w:type="dxa"/>
            <w:tcBorders>
              <w:top w:val="nil"/>
              <w:left w:val="nil"/>
              <w:bottom w:val="single" w:sz="4" w:space="0" w:color="auto"/>
              <w:right w:val="single" w:sz="4" w:space="0" w:color="auto"/>
            </w:tcBorders>
            <w:shd w:val="clear" w:color="auto" w:fill="auto"/>
            <w:vAlign w:val="center"/>
            <w:hideMark/>
          </w:tcPr>
          <w:p w14:paraId="437607B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310,000</w:t>
            </w:r>
          </w:p>
        </w:tc>
        <w:tc>
          <w:tcPr>
            <w:tcW w:w="712" w:type="dxa"/>
            <w:tcBorders>
              <w:top w:val="nil"/>
              <w:left w:val="nil"/>
              <w:bottom w:val="single" w:sz="4" w:space="0" w:color="auto"/>
              <w:right w:val="single" w:sz="4" w:space="0" w:color="auto"/>
            </w:tcBorders>
            <w:shd w:val="clear" w:color="auto" w:fill="auto"/>
            <w:vAlign w:val="center"/>
            <w:hideMark/>
          </w:tcPr>
          <w:p w14:paraId="2212CEB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339,000</w:t>
            </w:r>
          </w:p>
        </w:tc>
        <w:tc>
          <w:tcPr>
            <w:tcW w:w="486" w:type="dxa"/>
            <w:tcBorders>
              <w:top w:val="nil"/>
              <w:left w:val="nil"/>
              <w:bottom w:val="single" w:sz="4" w:space="0" w:color="auto"/>
              <w:right w:val="single" w:sz="4" w:space="0" w:color="auto"/>
            </w:tcBorders>
            <w:shd w:val="clear" w:color="auto" w:fill="auto"/>
            <w:vAlign w:val="center"/>
            <w:hideMark/>
          </w:tcPr>
          <w:p w14:paraId="46906CF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DB1F61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F3A6B1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F2BBEB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6C40D03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1 056,000</w:t>
            </w:r>
          </w:p>
        </w:tc>
        <w:tc>
          <w:tcPr>
            <w:tcW w:w="724" w:type="dxa"/>
            <w:vMerge/>
            <w:tcBorders>
              <w:top w:val="nil"/>
              <w:left w:val="single" w:sz="4" w:space="0" w:color="auto"/>
              <w:bottom w:val="single" w:sz="4" w:space="0" w:color="auto"/>
              <w:right w:val="single" w:sz="4" w:space="0" w:color="auto"/>
            </w:tcBorders>
            <w:vAlign w:val="center"/>
            <w:hideMark/>
          </w:tcPr>
          <w:p w14:paraId="0D7FD3DA"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7BC57307"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1B51EDD1"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62900/CR06</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311D1902"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zaměstnaní 6 měsíců po ukončení své účasti, včetně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44553067"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Více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132EAE9F"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Nezaměstnaní účastníci, včetně dlouhodobě nezaměstnaných 60100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00EDBD04"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3B78FF3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65,000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2BE3ED19"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620BB0A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227,000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75849E9A"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349,231%</w:t>
            </w:r>
          </w:p>
        </w:tc>
      </w:tr>
      <w:tr w:rsidR="001A7407" w:rsidRPr="001A7407" w14:paraId="4F685FC7"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60DAC1C3"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4348372C"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44796AF3"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0108CF90"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4A0F6E46"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4D065EA7"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086A0F3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7D5EBE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4C79E4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490F43A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69A383A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2,000</w:t>
            </w:r>
          </w:p>
        </w:tc>
        <w:tc>
          <w:tcPr>
            <w:tcW w:w="712" w:type="dxa"/>
            <w:tcBorders>
              <w:top w:val="nil"/>
              <w:left w:val="nil"/>
              <w:bottom w:val="single" w:sz="4" w:space="0" w:color="auto"/>
              <w:right w:val="single" w:sz="4" w:space="0" w:color="auto"/>
            </w:tcBorders>
            <w:shd w:val="clear" w:color="auto" w:fill="auto"/>
            <w:vAlign w:val="center"/>
            <w:hideMark/>
          </w:tcPr>
          <w:p w14:paraId="40FDC48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62685CD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8BF2F2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980ACB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86F594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02C1B0E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2,000</w:t>
            </w:r>
          </w:p>
        </w:tc>
        <w:tc>
          <w:tcPr>
            <w:tcW w:w="724" w:type="dxa"/>
            <w:vMerge/>
            <w:tcBorders>
              <w:top w:val="nil"/>
              <w:left w:val="single" w:sz="4" w:space="0" w:color="auto"/>
              <w:bottom w:val="single" w:sz="4" w:space="0" w:color="auto"/>
              <w:right w:val="single" w:sz="4" w:space="0" w:color="auto"/>
            </w:tcBorders>
            <w:vAlign w:val="center"/>
            <w:hideMark/>
          </w:tcPr>
          <w:p w14:paraId="5BAB22F1"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11E862F8"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722F392B"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18B12BB2"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5FE615EB"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18E3B270"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724132E6"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4A4A94F2"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2A40D74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48F0CE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EEE61B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2A278FF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4ACB7C9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83,000</w:t>
            </w:r>
          </w:p>
        </w:tc>
        <w:tc>
          <w:tcPr>
            <w:tcW w:w="712" w:type="dxa"/>
            <w:tcBorders>
              <w:top w:val="nil"/>
              <w:left w:val="nil"/>
              <w:bottom w:val="single" w:sz="4" w:space="0" w:color="auto"/>
              <w:right w:val="single" w:sz="4" w:space="0" w:color="auto"/>
            </w:tcBorders>
            <w:shd w:val="clear" w:color="auto" w:fill="auto"/>
            <w:vAlign w:val="center"/>
            <w:hideMark/>
          </w:tcPr>
          <w:p w14:paraId="7B7819C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142,000</w:t>
            </w:r>
          </w:p>
        </w:tc>
        <w:tc>
          <w:tcPr>
            <w:tcW w:w="486" w:type="dxa"/>
            <w:tcBorders>
              <w:top w:val="nil"/>
              <w:left w:val="nil"/>
              <w:bottom w:val="single" w:sz="4" w:space="0" w:color="auto"/>
              <w:right w:val="single" w:sz="4" w:space="0" w:color="auto"/>
            </w:tcBorders>
            <w:shd w:val="clear" w:color="auto" w:fill="auto"/>
            <w:vAlign w:val="center"/>
            <w:hideMark/>
          </w:tcPr>
          <w:p w14:paraId="4981CE7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3DAB01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7A1CAF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4F4BF4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5C59B95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225,000</w:t>
            </w:r>
          </w:p>
        </w:tc>
        <w:tc>
          <w:tcPr>
            <w:tcW w:w="724" w:type="dxa"/>
            <w:vMerge/>
            <w:tcBorders>
              <w:top w:val="nil"/>
              <w:left w:val="single" w:sz="4" w:space="0" w:color="auto"/>
              <w:bottom w:val="single" w:sz="4" w:space="0" w:color="auto"/>
              <w:right w:val="single" w:sz="4" w:space="0" w:color="auto"/>
            </w:tcBorders>
            <w:vAlign w:val="center"/>
            <w:hideMark/>
          </w:tcPr>
          <w:p w14:paraId="79281632"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03DCAA50"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1B297FAA"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63000/CR07</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22135FBF"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jejichž situace na trhu práce se 6 měsíců po ukončení jejich účasti zlepšila</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5C4CE4B2"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Méně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0CEE775B"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Zaměstnaní, včetně OSVČ 60500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336586BF"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58EF191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3 306,000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67A1662F"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35D9FE1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1 596,000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06F5196A"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48,276%</w:t>
            </w:r>
          </w:p>
        </w:tc>
      </w:tr>
      <w:tr w:rsidR="001A7407" w:rsidRPr="001A7407" w14:paraId="6D64A25F"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437E7862"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65DD1FB7"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6F16A0B2"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521FB81C"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25E6F64C"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28837935"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56CDB78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2D07792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2BEF02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421104F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21F7E23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701,000</w:t>
            </w:r>
          </w:p>
        </w:tc>
        <w:tc>
          <w:tcPr>
            <w:tcW w:w="712" w:type="dxa"/>
            <w:tcBorders>
              <w:top w:val="nil"/>
              <w:left w:val="nil"/>
              <w:bottom w:val="single" w:sz="4" w:space="0" w:color="auto"/>
              <w:right w:val="single" w:sz="4" w:space="0" w:color="auto"/>
            </w:tcBorders>
            <w:shd w:val="clear" w:color="auto" w:fill="auto"/>
            <w:vAlign w:val="center"/>
            <w:hideMark/>
          </w:tcPr>
          <w:p w14:paraId="3DAE9FE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6F38B8F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E1D562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67E7EB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DD0120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624FEDB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701,000</w:t>
            </w:r>
          </w:p>
        </w:tc>
        <w:tc>
          <w:tcPr>
            <w:tcW w:w="724" w:type="dxa"/>
            <w:vMerge/>
            <w:tcBorders>
              <w:top w:val="nil"/>
              <w:left w:val="single" w:sz="4" w:space="0" w:color="auto"/>
              <w:bottom w:val="single" w:sz="4" w:space="0" w:color="auto"/>
              <w:right w:val="single" w:sz="4" w:space="0" w:color="auto"/>
            </w:tcBorders>
            <w:vAlign w:val="center"/>
            <w:hideMark/>
          </w:tcPr>
          <w:p w14:paraId="2F5F12E5"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22B2AF43"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48B605C8"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A089975"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6F3E224"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5537413D"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43CEA9E9"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6A5926EF"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7937901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3A09AF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2365443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7EF6564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4B57F3D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895,000</w:t>
            </w:r>
          </w:p>
        </w:tc>
        <w:tc>
          <w:tcPr>
            <w:tcW w:w="712" w:type="dxa"/>
            <w:tcBorders>
              <w:top w:val="nil"/>
              <w:left w:val="nil"/>
              <w:bottom w:val="single" w:sz="4" w:space="0" w:color="auto"/>
              <w:right w:val="single" w:sz="4" w:space="0" w:color="auto"/>
            </w:tcBorders>
            <w:shd w:val="clear" w:color="auto" w:fill="auto"/>
            <w:vAlign w:val="center"/>
            <w:hideMark/>
          </w:tcPr>
          <w:p w14:paraId="0833A06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3F9C986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590A31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8CD1E6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014B4E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356DE1E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895,000</w:t>
            </w:r>
          </w:p>
        </w:tc>
        <w:tc>
          <w:tcPr>
            <w:tcW w:w="724" w:type="dxa"/>
            <w:vMerge/>
            <w:tcBorders>
              <w:top w:val="nil"/>
              <w:left w:val="single" w:sz="4" w:space="0" w:color="auto"/>
              <w:bottom w:val="single" w:sz="4" w:space="0" w:color="auto"/>
              <w:right w:val="single" w:sz="4" w:space="0" w:color="auto"/>
            </w:tcBorders>
            <w:vAlign w:val="center"/>
            <w:hideMark/>
          </w:tcPr>
          <w:p w14:paraId="53814EA3"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1B077C13"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3BFA7455"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63000/CR07</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124DB64D"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jejichž situace na trhu práce se 6 měsíců po ukončení jejich účasti zlepšila</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4A575E25"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Více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14C397CC"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Zaměstnaní, včetně OSVČ 60500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2EA3253B"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43D8242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444,000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55EF85DE"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60EF7B1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106,000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5E526C09"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23,874%</w:t>
            </w:r>
          </w:p>
        </w:tc>
      </w:tr>
      <w:tr w:rsidR="001A7407" w:rsidRPr="001A7407" w14:paraId="39EC6567"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092FA079"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32C04F2"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4AC67A3A"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3B4BD365"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66F9AFBE"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13D7F500"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5EDEC6D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237EBE4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5057A9E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4E1CD3A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42F0D9B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48,000</w:t>
            </w:r>
          </w:p>
        </w:tc>
        <w:tc>
          <w:tcPr>
            <w:tcW w:w="712" w:type="dxa"/>
            <w:tcBorders>
              <w:top w:val="nil"/>
              <w:left w:val="nil"/>
              <w:bottom w:val="single" w:sz="4" w:space="0" w:color="auto"/>
              <w:right w:val="single" w:sz="4" w:space="0" w:color="auto"/>
            </w:tcBorders>
            <w:shd w:val="clear" w:color="auto" w:fill="auto"/>
            <w:vAlign w:val="center"/>
            <w:hideMark/>
          </w:tcPr>
          <w:p w14:paraId="2CDCAA0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2873AE0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8E71F9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5B3219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41D94B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0DDF4D6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48,000</w:t>
            </w:r>
          </w:p>
        </w:tc>
        <w:tc>
          <w:tcPr>
            <w:tcW w:w="724" w:type="dxa"/>
            <w:vMerge/>
            <w:tcBorders>
              <w:top w:val="nil"/>
              <w:left w:val="single" w:sz="4" w:space="0" w:color="auto"/>
              <w:bottom w:val="single" w:sz="4" w:space="0" w:color="auto"/>
              <w:right w:val="single" w:sz="4" w:space="0" w:color="auto"/>
            </w:tcBorders>
            <w:vAlign w:val="center"/>
            <w:hideMark/>
          </w:tcPr>
          <w:p w14:paraId="4AA869B7"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20F1FE55"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3CFAE4AE"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023ACE6"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73ACA42E"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4123747F"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0838F0B3"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0B76BE39"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656C573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85AAFE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1A1AD90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1303DC0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161C91C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58,000</w:t>
            </w:r>
          </w:p>
        </w:tc>
        <w:tc>
          <w:tcPr>
            <w:tcW w:w="712" w:type="dxa"/>
            <w:tcBorders>
              <w:top w:val="nil"/>
              <w:left w:val="nil"/>
              <w:bottom w:val="single" w:sz="4" w:space="0" w:color="auto"/>
              <w:right w:val="single" w:sz="4" w:space="0" w:color="auto"/>
            </w:tcBorders>
            <w:shd w:val="clear" w:color="auto" w:fill="auto"/>
            <w:vAlign w:val="center"/>
            <w:hideMark/>
          </w:tcPr>
          <w:p w14:paraId="6111FAC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09CD881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CE9D8B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22C4EA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8D1686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349E2EA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58,000</w:t>
            </w:r>
          </w:p>
        </w:tc>
        <w:tc>
          <w:tcPr>
            <w:tcW w:w="724" w:type="dxa"/>
            <w:vMerge/>
            <w:tcBorders>
              <w:top w:val="nil"/>
              <w:left w:val="single" w:sz="4" w:space="0" w:color="auto"/>
              <w:bottom w:val="single" w:sz="4" w:space="0" w:color="auto"/>
              <w:right w:val="single" w:sz="4" w:space="0" w:color="auto"/>
            </w:tcBorders>
            <w:vAlign w:val="center"/>
            <w:hideMark/>
          </w:tcPr>
          <w:p w14:paraId="337169BB"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08156256"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7EB6BCB8"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63100/CR08</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4372E7BD"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ve věku nad 54 let zaměstnaní 6 měsíců po ukončení své účasti, včetně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2A31121B"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Méně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3790647C"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ve věku nad 54 let, Nezaměstnaní účastníci, včetně dlouhodobě nezaměstnaných, Neaktivní osoby, které nejsou v procesu vzdělávání nebo odborné přípravy 60700, 60100, 60400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396BB83F"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7488228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44,000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25A06BA2"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164DE55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55,000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4563287F"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125,000%</w:t>
            </w:r>
          </w:p>
        </w:tc>
      </w:tr>
      <w:tr w:rsidR="001A7407" w:rsidRPr="001A7407" w14:paraId="38675D71"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376A3AAF"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15A2352"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7A09A8CC"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5F9D9A29"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3C300C9C"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1A607DDD"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02C93BD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7D085AB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48C717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5AE9334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3F5FFC5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606134A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0C2DE5B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7D1E79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AAF0E8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8CC6BF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7556BB4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tcBorders>
              <w:top w:val="nil"/>
              <w:left w:val="single" w:sz="4" w:space="0" w:color="auto"/>
              <w:bottom w:val="single" w:sz="4" w:space="0" w:color="auto"/>
              <w:right w:val="single" w:sz="4" w:space="0" w:color="auto"/>
            </w:tcBorders>
            <w:vAlign w:val="center"/>
            <w:hideMark/>
          </w:tcPr>
          <w:p w14:paraId="1B5C20E9"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1FFF8E9F"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707886DF"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5ADB1C82"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22E19F0A"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449F071E"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23E0E47D"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05AA5A0B"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734D082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D3F785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36F7B0D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5747F3D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7E630AE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39,000</w:t>
            </w:r>
          </w:p>
        </w:tc>
        <w:tc>
          <w:tcPr>
            <w:tcW w:w="712" w:type="dxa"/>
            <w:tcBorders>
              <w:top w:val="nil"/>
              <w:left w:val="nil"/>
              <w:bottom w:val="single" w:sz="4" w:space="0" w:color="auto"/>
              <w:right w:val="single" w:sz="4" w:space="0" w:color="auto"/>
            </w:tcBorders>
            <w:shd w:val="clear" w:color="auto" w:fill="auto"/>
            <w:vAlign w:val="center"/>
            <w:hideMark/>
          </w:tcPr>
          <w:p w14:paraId="38A5FA7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16,000</w:t>
            </w:r>
          </w:p>
        </w:tc>
        <w:tc>
          <w:tcPr>
            <w:tcW w:w="486" w:type="dxa"/>
            <w:tcBorders>
              <w:top w:val="nil"/>
              <w:left w:val="nil"/>
              <w:bottom w:val="single" w:sz="4" w:space="0" w:color="auto"/>
              <w:right w:val="single" w:sz="4" w:space="0" w:color="auto"/>
            </w:tcBorders>
            <w:shd w:val="clear" w:color="auto" w:fill="auto"/>
            <w:vAlign w:val="center"/>
            <w:hideMark/>
          </w:tcPr>
          <w:p w14:paraId="52856F4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40AF9C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41CC18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E390C0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5D8FDE1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55,000</w:t>
            </w:r>
          </w:p>
        </w:tc>
        <w:tc>
          <w:tcPr>
            <w:tcW w:w="724" w:type="dxa"/>
            <w:vMerge/>
            <w:tcBorders>
              <w:top w:val="nil"/>
              <w:left w:val="single" w:sz="4" w:space="0" w:color="auto"/>
              <w:bottom w:val="single" w:sz="4" w:space="0" w:color="auto"/>
              <w:right w:val="single" w:sz="4" w:space="0" w:color="auto"/>
            </w:tcBorders>
            <w:vAlign w:val="center"/>
            <w:hideMark/>
          </w:tcPr>
          <w:p w14:paraId="7347AE88"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6C6A01B4"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2A0F1CF0"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63100/CR08</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20D5FF5A"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ve věku nad 54 let zaměstnaní 6 měsíců po ukončení své účasti, včetně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4CB1E335"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Více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5F6634FB"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Účastníci ve věku nad 54 let, Nezaměstnaní účastníci, včetně dlouhodobě nezaměstnaných, Neaktivní osoby, které nejsou v procesu vzdělávání nebo odborné přípravy 60700, 60100, 60400</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6F0B5B05"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21AFC6D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6F6C72BB"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2E7A727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17,000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2A85DC87"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283,333%</w:t>
            </w:r>
          </w:p>
        </w:tc>
      </w:tr>
      <w:tr w:rsidR="001A7407" w:rsidRPr="001A7407" w14:paraId="447F4268"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39D04E5A"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075AA532"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3B80221E"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3DA9A028"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2F71EE68"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40D3D762"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19FAAF0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118A27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91E692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4EB5E66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3354A4F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514A076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200BBD1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D60C7D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4DF18F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DCE56E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6FE8060C"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tcBorders>
              <w:top w:val="nil"/>
              <w:left w:val="single" w:sz="4" w:space="0" w:color="auto"/>
              <w:bottom w:val="single" w:sz="4" w:space="0" w:color="auto"/>
              <w:right w:val="single" w:sz="4" w:space="0" w:color="auto"/>
            </w:tcBorders>
            <w:vAlign w:val="center"/>
            <w:hideMark/>
          </w:tcPr>
          <w:p w14:paraId="333CF492"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3AABD20C"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6123608D"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253BFA15"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08F5D0F2"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595D9B2B"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7716B6DB"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3D71E186"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54E5B62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B8A0CA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A1325C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5B9CF9F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302F4FA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221087D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17,000</w:t>
            </w:r>
          </w:p>
        </w:tc>
        <w:tc>
          <w:tcPr>
            <w:tcW w:w="486" w:type="dxa"/>
            <w:tcBorders>
              <w:top w:val="nil"/>
              <w:left w:val="nil"/>
              <w:bottom w:val="single" w:sz="4" w:space="0" w:color="auto"/>
              <w:right w:val="single" w:sz="4" w:space="0" w:color="auto"/>
            </w:tcBorders>
            <w:shd w:val="clear" w:color="auto" w:fill="auto"/>
            <w:vAlign w:val="center"/>
            <w:hideMark/>
          </w:tcPr>
          <w:p w14:paraId="6F386E2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2E7356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AF8528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38237D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35A6160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17,000</w:t>
            </w:r>
          </w:p>
        </w:tc>
        <w:tc>
          <w:tcPr>
            <w:tcW w:w="724" w:type="dxa"/>
            <w:vMerge/>
            <w:tcBorders>
              <w:top w:val="nil"/>
              <w:left w:val="single" w:sz="4" w:space="0" w:color="auto"/>
              <w:bottom w:val="single" w:sz="4" w:space="0" w:color="auto"/>
              <w:right w:val="single" w:sz="4" w:space="0" w:color="auto"/>
            </w:tcBorders>
            <w:vAlign w:val="center"/>
            <w:hideMark/>
          </w:tcPr>
          <w:p w14:paraId="3FA86808"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18946CC6"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6CA5F9B6"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63200/CR09</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3669B5C7"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Znevýhodnění účastníci zaměstnaní 6 měsíců po ukončení své účasti včetně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106F541C"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Méně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19FA6E39"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37632F17"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7312498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132,000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1F9C1837"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4259AAC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237,000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04FA7CDA"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179,545%</w:t>
            </w:r>
          </w:p>
        </w:tc>
      </w:tr>
      <w:tr w:rsidR="001A7407" w:rsidRPr="001A7407" w14:paraId="2E95A42B"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111D968A"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3724DEDC"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1C8676A4"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6D822773"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3530579F"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1A9E3785"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42C4AB1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DE4F0B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22F3886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73C3BA4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36CEACE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6,000</w:t>
            </w:r>
          </w:p>
        </w:tc>
        <w:tc>
          <w:tcPr>
            <w:tcW w:w="712" w:type="dxa"/>
            <w:tcBorders>
              <w:top w:val="nil"/>
              <w:left w:val="nil"/>
              <w:bottom w:val="single" w:sz="4" w:space="0" w:color="auto"/>
              <w:right w:val="single" w:sz="4" w:space="0" w:color="auto"/>
            </w:tcBorders>
            <w:shd w:val="clear" w:color="auto" w:fill="auto"/>
            <w:vAlign w:val="center"/>
            <w:hideMark/>
          </w:tcPr>
          <w:p w14:paraId="31CC1C3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7E63654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4632872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B77BBF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5B72893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5406A2F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6,000</w:t>
            </w:r>
          </w:p>
        </w:tc>
        <w:tc>
          <w:tcPr>
            <w:tcW w:w="724" w:type="dxa"/>
            <w:vMerge/>
            <w:tcBorders>
              <w:top w:val="nil"/>
              <w:left w:val="single" w:sz="4" w:space="0" w:color="auto"/>
              <w:bottom w:val="single" w:sz="4" w:space="0" w:color="auto"/>
              <w:right w:val="single" w:sz="4" w:space="0" w:color="auto"/>
            </w:tcBorders>
            <w:vAlign w:val="center"/>
            <w:hideMark/>
          </w:tcPr>
          <w:p w14:paraId="1DA719CE"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186379B2"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3DC7BF2B"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32FD9B48"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463AD7A5"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5A6FC183"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0C5FA000"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4B89D892"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0246383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5AE6CA3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62E8FAC6"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1EE9576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78CA92E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154,000</w:t>
            </w:r>
          </w:p>
        </w:tc>
        <w:tc>
          <w:tcPr>
            <w:tcW w:w="712" w:type="dxa"/>
            <w:tcBorders>
              <w:top w:val="nil"/>
              <w:left w:val="nil"/>
              <w:bottom w:val="single" w:sz="4" w:space="0" w:color="auto"/>
              <w:right w:val="single" w:sz="4" w:space="0" w:color="auto"/>
            </w:tcBorders>
            <w:shd w:val="clear" w:color="auto" w:fill="auto"/>
            <w:vAlign w:val="center"/>
            <w:hideMark/>
          </w:tcPr>
          <w:p w14:paraId="0E71D61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77,000</w:t>
            </w:r>
          </w:p>
        </w:tc>
        <w:tc>
          <w:tcPr>
            <w:tcW w:w="486" w:type="dxa"/>
            <w:tcBorders>
              <w:top w:val="nil"/>
              <w:left w:val="nil"/>
              <w:bottom w:val="single" w:sz="4" w:space="0" w:color="auto"/>
              <w:right w:val="single" w:sz="4" w:space="0" w:color="auto"/>
            </w:tcBorders>
            <w:shd w:val="clear" w:color="auto" w:fill="auto"/>
            <w:vAlign w:val="center"/>
            <w:hideMark/>
          </w:tcPr>
          <w:p w14:paraId="402F496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12104A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1ABD93D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75DDE9C9"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5D5EAAD2"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231,000</w:t>
            </w:r>
          </w:p>
        </w:tc>
        <w:tc>
          <w:tcPr>
            <w:tcW w:w="724" w:type="dxa"/>
            <w:vMerge/>
            <w:tcBorders>
              <w:top w:val="nil"/>
              <w:left w:val="single" w:sz="4" w:space="0" w:color="auto"/>
              <w:bottom w:val="single" w:sz="4" w:space="0" w:color="auto"/>
              <w:right w:val="single" w:sz="4" w:space="0" w:color="auto"/>
            </w:tcBorders>
            <w:vAlign w:val="center"/>
            <w:hideMark/>
          </w:tcPr>
          <w:p w14:paraId="13CC1C39"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00E7D76E" w14:textId="77777777" w:rsidTr="007D24EE">
        <w:trPr>
          <w:trHeight w:val="20"/>
        </w:trPr>
        <w:tc>
          <w:tcPr>
            <w:tcW w:w="798" w:type="dxa"/>
            <w:vMerge w:val="restart"/>
            <w:tcBorders>
              <w:top w:val="nil"/>
              <w:left w:val="single" w:sz="4" w:space="0" w:color="auto"/>
              <w:bottom w:val="single" w:sz="4" w:space="0" w:color="auto"/>
              <w:right w:val="single" w:sz="4" w:space="0" w:color="auto"/>
            </w:tcBorders>
            <w:shd w:val="clear" w:color="auto" w:fill="auto"/>
            <w:vAlign w:val="center"/>
            <w:hideMark/>
          </w:tcPr>
          <w:p w14:paraId="3B4063FA"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63200/CR09</w:t>
            </w:r>
          </w:p>
        </w:tc>
        <w:tc>
          <w:tcPr>
            <w:tcW w:w="2825" w:type="dxa"/>
            <w:vMerge w:val="restart"/>
            <w:tcBorders>
              <w:top w:val="nil"/>
              <w:left w:val="single" w:sz="4" w:space="0" w:color="auto"/>
              <w:bottom w:val="single" w:sz="4" w:space="0" w:color="auto"/>
              <w:right w:val="single" w:sz="4" w:space="0" w:color="auto"/>
            </w:tcBorders>
            <w:shd w:val="clear" w:color="auto" w:fill="auto"/>
            <w:vAlign w:val="center"/>
            <w:hideMark/>
          </w:tcPr>
          <w:p w14:paraId="30483E25"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Znevýhodnění účastníci zaměstnaní 6 měsíců po ukončení své účasti včetně OSVČ**</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14:paraId="5E84E07D"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Více rozvinuté regiony</w:t>
            </w:r>
          </w:p>
        </w:tc>
        <w:tc>
          <w:tcPr>
            <w:tcW w:w="2731" w:type="dxa"/>
            <w:vMerge w:val="restart"/>
            <w:tcBorders>
              <w:top w:val="nil"/>
              <w:left w:val="single" w:sz="4" w:space="0" w:color="auto"/>
              <w:bottom w:val="single" w:sz="4" w:space="0" w:color="auto"/>
              <w:right w:val="single" w:sz="4" w:space="0" w:color="auto"/>
            </w:tcBorders>
            <w:shd w:val="clear" w:color="auto" w:fill="auto"/>
            <w:vAlign w:val="center"/>
            <w:hideMark/>
          </w:tcPr>
          <w:p w14:paraId="2AA50D74"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14:paraId="1901E027" w14:textId="77777777" w:rsidR="001A7407" w:rsidRPr="001A7407" w:rsidRDefault="001A7407" w:rsidP="001A7407">
            <w:pP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000000"/>
              <w:right w:val="single" w:sz="4" w:space="0" w:color="auto"/>
            </w:tcBorders>
            <w:shd w:val="clear" w:color="auto" w:fill="auto"/>
            <w:vAlign w:val="center"/>
            <w:hideMark/>
          </w:tcPr>
          <w:p w14:paraId="7800F6C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18,000</w:t>
            </w:r>
          </w:p>
        </w:tc>
        <w:tc>
          <w:tcPr>
            <w:tcW w:w="5335" w:type="dxa"/>
            <w:gridSpan w:val="10"/>
            <w:tcBorders>
              <w:top w:val="single" w:sz="4" w:space="0" w:color="auto"/>
              <w:left w:val="nil"/>
              <w:bottom w:val="single" w:sz="4" w:space="0" w:color="auto"/>
              <w:right w:val="single" w:sz="4" w:space="0" w:color="000000"/>
            </w:tcBorders>
            <w:shd w:val="clear" w:color="auto" w:fill="auto"/>
            <w:vAlign w:val="center"/>
            <w:hideMark/>
          </w:tcPr>
          <w:p w14:paraId="58093758"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749D0435"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65,000</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46B74BE8" w14:textId="77777777" w:rsidR="001A7407" w:rsidRPr="001A7407" w:rsidRDefault="001A7407" w:rsidP="001A7407">
            <w:pPr>
              <w:jc w:val="center"/>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361,111%</w:t>
            </w:r>
          </w:p>
        </w:tc>
      </w:tr>
      <w:tr w:rsidR="001A7407" w:rsidRPr="001A7407" w14:paraId="21312F15"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594049C3"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125A9D87"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395A0143"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4CEF2A2D"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0E31DB17"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000000"/>
              <w:right w:val="single" w:sz="4" w:space="0" w:color="auto"/>
            </w:tcBorders>
            <w:vAlign w:val="center"/>
            <w:hideMark/>
          </w:tcPr>
          <w:p w14:paraId="29AEB38F"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2E2B4340"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4CBFC0F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735AD84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7F295651"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6FE158E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331DBE3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86" w:type="dxa"/>
            <w:tcBorders>
              <w:top w:val="nil"/>
              <w:left w:val="nil"/>
              <w:bottom w:val="single" w:sz="4" w:space="0" w:color="auto"/>
              <w:right w:val="single" w:sz="4" w:space="0" w:color="auto"/>
            </w:tcBorders>
            <w:shd w:val="clear" w:color="auto" w:fill="auto"/>
            <w:vAlign w:val="center"/>
            <w:hideMark/>
          </w:tcPr>
          <w:p w14:paraId="1717F5E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0D41DDFD"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2EDED6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CBA697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466D6954"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24" w:type="dxa"/>
            <w:vMerge/>
            <w:tcBorders>
              <w:top w:val="nil"/>
              <w:left w:val="single" w:sz="4" w:space="0" w:color="auto"/>
              <w:bottom w:val="single" w:sz="4" w:space="0" w:color="auto"/>
              <w:right w:val="single" w:sz="4" w:space="0" w:color="auto"/>
            </w:tcBorders>
            <w:vAlign w:val="center"/>
            <w:hideMark/>
          </w:tcPr>
          <w:p w14:paraId="6E6E86AB" w14:textId="77777777" w:rsidR="001A7407" w:rsidRPr="001A7407" w:rsidRDefault="001A7407" w:rsidP="001A7407">
            <w:pPr>
              <w:rPr>
                <w:rFonts w:ascii="Arial" w:eastAsia="Times New Roman" w:hAnsi="Arial" w:cs="Arial"/>
                <w:color w:val="000000"/>
                <w:sz w:val="14"/>
                <w:szCs w:val="14"/>
                <w:lang w:val="cs-CZ" w:eastAsia="cs-CZ"/>
              </w:rPr>
            </w:pPr>
          </w:p>
        </w:tc>
      </w:tr>
      <w:tr w:rsidR="001A7407" w:rsidRPr="001A7407" w14:paraId="27FFC794" w14:textId="77777777" w:rsidTr="007D24EE">
        <w:trPr>
          <w:trHeight w:val="20"/>
        </w:trPr>
        <w:tc>
          <w:tcPr>
            <w:tcW w:w="798" w:type="dxa"/>
            <w:vMerge/>
            <w:tcBorders>
              <w:top w:val="nil"/>
              <w:left w:val="single" w:sz="4" w:space="0" w:color="auto"/>
              <w:bottom w:val="single" w:sz="4" w:space="0" w:color="auto"/>
              <w:right w:val="single" w:sz="4" w:space="0" w:color="auto"/>
            </w:tcBorders>
            <w:vAlign w:val="center"/>
            <w:hideMark/>
          </w:tcPr>
          <w:p w14:paraId="76E7EDE6" w14:textId="77777777" w:rsidR="001A7407" w:rsidRPr="001A7407" w:rsidRDefault="001A7407" w:rsidP="001A7407">
            <w:pPr>
              <w:rPr>
                <w:rFonts w:ascii="Arial" w:eastAsia="Times New Roman" w:hAnsi="Arial" w:cs="Arial"/>
                <w:color w:val="000000"/>
                <w:sz w:val="14"/>
                <w:szCs w:val="14"/>
                <w:lang w:val="cs-CZ" w:eastAsia="cs-CZ"/>
              </w:rPr>
            </w:pPr>
          </w:p>
        </w:tc>
        <w:tc>
          <w:tcPr>
            <w:tcW w:w="2825" w:type="dxa"/>
            <w:vMerge/>
            <w:tcBorders>
              <w:top w:val="nil"/>
              <w:left w:val="single" w:sz="4" w:space="0" w:color="auto"/>
              <w:bottom w:val="single" w:sz="4" w:space="0" w:color="auto"/>
              <w:right w:val="single" w:sz="4" w:space="0" w:color="auto"/>
            </w:tcBorders>
            <w:vAlign w:val="center"/>
            <w:hideMark/>
          </w:tcPr>
          <w:p w14:paraId="3A9E9661" w14:textId="77777777" w:rsidR="001A7407" w:rsidRPr="001A7407" w:rsidRDefault="001A7407" w:rsidP="001A7407">
            <w:pPr>
              <w:rPr>
                <w:rFonts w:ascii="Arial" w:eastAsia="Times New Roman" w:hAnsi="Arial" w:cs="Arial"/>
                <w:color w:val="000000"/>
                <w:sz w:val="14"/>
                <w:szCs w:val="14"/>
                <w:lang w:val="cs-CZ" w:eastAsia="cs-CZ"/>
              </w:rPr>
            </w:pPr>
          </w:p>
        </w:tc>
        <w:tc>
          <w:tcPr>
            <w:tcW w:w="1015" w:type="dxa"/>
            <w:vMerge/>
            <w:tcBorders>
              <w:top w:val="nil"/>
              <w:left w:val="single" w:sz="4" w:space="0" w:color="auto"/>
              <w:bottom w:val="single" w:sz="4" w:space="0" w:color="auto"/>
              <w:right w:val="single" w:sz="4" w:space="0" w:color="auto"/>
            </w:tcBorders>
            <w:vAlign w:val="center"/>
            <w:hideMark/>
          </w:tcPr>
          <w:p w14:paraId="70FBCA99" w14:textId="77777777" w:rsidR="001A7407" w:rsidRPr="001A7407" w:rsidRDefault="001A7407" w:rsidP="001A7407">
            <w:pPr>
              <w:rPr>
                <w:rFonts w:ascii="Arial" w:eastAsia="Times New Roman" w:hAnsi="Arial" w:cs="Arial"/>
                <w:color w:val="000000"/>
                <w:sz w:val="14"/>
                <w:szCs w:val="14"/>
                <w:lang w:val="cs-CZ" w:eastAsia="cs-CZ"/>
              </w:rPr>
            </w:pPr>
          </w:p>
        </w:tc>
        <w:tc>
          <w:tcPr>
            <w:tcW w:w="2731" w:type="dxa"/>
            <w:vMerge/>
            <w:tcBorders>
              <w:top w:val="nil"/>
              <w:left w:val="single" w:sz="4" w:space="0" w:color="auto"/>
              <w:bottom w:val="single" w:sz="4" w:space="0" w:color="auto"/>
              <w:right w:val="single" w:sz="4" w:space="0" w:color="auto"/>
            </w:tcBorders>
            <w:vAlign w:val="center"/>
            <w:hideMark/>
          </w:tcPr>
          <w:p w14:paraId="069834BD" w14:textId="77777777" w:rsidR="001A7407" w:rsidRPr="001A7407" w:rsidRDefault="001A7407" w:rsidP="001A7407">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auto"/>
              <w:right w:val="single" w:sz="4" w:space="0" w:color="auto"/>
            </w:tcBorders>
            <w:vAlign w:val="center"/>
            <w:hideMark/>
          </w:tcPr>
          <w:p w14:paraId="182BF288" w14:textId="77777777" w:rsidR="001A7407" w:rsidRPr="001A7407" w:rsidRDefault="001A7407" w:rsidP="001A7407">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000000"/>
              <w:right w:val="single" w:sz="4" w:space="0" w:color="auto"/>
            </w:tcBorders>
            <w:vAlign w:val="center"/>
            <w:hideMark/>
          </w:tcPr>
          <w:p w14:paraId="690403E6" w14:textId="77777777" w:rsidR="001A7407" w:rsidRPr="001A7407" w:rsidRDefault="001A7407" w:rsidP="001A7407">
            <w:pPr>
              <w:rPr>
                <w:rFonts w:ascii="Arial" w:eastAsia="Times New Roman" w:hAnsi="Arial" w:cs="Arial"/>
                <w:color w:val="000000"/>
                <w:sz w:val="14"/>
                <w:szCs w:val="14"/>
                <w:lang w:val="cs-CZ" w:eastAsia="cs-CZ"/>
              </w:rPr>
            </w:pPr>
          </w:p>
        </w:tc>
        <w:tc>
          <w:tcPr>
            <w:tcW w:w="490" w:type="dxa"/>
            <w:tcBorders>
              <w:top w:val="nil"/>
              <w:left w:val="nil"/>
              <w:bottom w:val="single" w:sz="4" w:space="0" w:color="auto"/>
              <w:right w:val="single" w:sz="4" w:space="0" w:color="auto"/>
            </w:tcBorders>
            <w:shd w:val="clear" w:color="auto" w:fill="auto"/>
            <w:vAlign w:val="center"/>
            <w:hideMark/>
          </w:tcPr>
          <w:p w14:paraId="5A168D1B"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2E303CF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490" w:type="dxa"/>
            <w:tcBorders>
              <w:top w:val="nil"/>
              <w:left w:val="nil"/>
              <w:bottom w:val="single" w:sz="4" w:space="0" w:color="auto"/>
              <w:right w:val="single" w:sz="4" w:space="0" w:color="auto"/>
            </w:tcBorders>
            <w:shd w:val="clear" w:color="auto" w:fill="auto"/>
            <w:vAlign w:val="center"/>
            <w:hideMark/>
          </w:tcPr>
          <w:p w14:paraId="0BA0C39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557" w:type="dxa"/>
            <w:tcBorders>
              <w:top w:val="nil"/>
              <w:left w:val="nil"/>
              <w:bottom w:val="single" w:sz="4" w:space="0" w:color="auto"/>
              <w:right w:val="single" w:sz="4" w:space="0" w:color="auto"/>
            </w:tcBorders>
            <w:shd w:val="clear" w:color="auto" w:fill="auto"/>
            <w:vAlign w:val="center"/>
            <w:hideMark/>
          </w:tcPr>
          <w:p w14:paraId="317CB0EE"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648" w:type="dxa"/>
            <w:tcBorders>
              <w:top w:val="nil"/>
              <w:left w:val="nil"/>
              <w:bottom w:val="single" w:sz="4" w:space="0" w:color="auto"/>
              <w:right w:val="single" w:sz="4" w:space="0" w:color="auto"/>
            </w:tcBorders>
            <w:shd w:val="clear" w:color="auto" w:fill="auto"/>
            <w:vAlign w:val="center"/>
            <w:hideMark/>
          </w:tcPr>
          <w:p w14:paraId="179C66F7"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0,000</w:t>
            </w:r>
          </w:p>
        </w:tc>
        <w:tc>
          <w:tcPr>
            <w:tcW w:w="712" w:type="dxa"/>
            <w:tcBorders>
              <w:top w:val="nil"/>
              <w:left w:val="nil"/>
              <w:bottom w:val="single" w:sz="4" w:space="0" w:color="auto"/>
              <w:right w:val="single" w:sz="4" w:space="0" w:color="auto"/>
            </w:tcBorders>
            <w:shd w:val="clear" w:color="auto" w:fill="auto"/>
            <w:vAlign w:val="center"/>
            <w:hideMark/>
          </w:tcPr>
          <w:p w14:paraId="6626D6A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65,000</w:t>
            </w:r>
          </w:p>
        </w:tc>
        <w:tc>
          <w:tcPr>
            <w:tcW w:w="486" w:type="dxa"/>
            <w:tcBorders>
              <w:top w:val="nil"/>
              <w:left w:val="nil"/>
              <w:bottom w:val="single" w:sz="4" w:space="0" w:color="auto"/>
              <w:right w:val="single" w:sz="4" w:space="0" w:color="auto"/>
            </w:tcBorders>
            <w:shd w:val="clear" w:color="auto" w:fill="auto"/>
            <w:vAlign w:val="center"/>
            <w:hideMark/>
          </w:tcPr>
          <w:p w14:paraId="7B0615CA"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337EE503"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26247D08"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486" w:type="dxa"/>
            <w:tcBorders>
              <w:top w:val="nil"/>
              <w:left w:val="nil"/>
              <w:bottom w:val="single" w:sz="4" w:space="0" w:color="auto"/>
              <w:right w:val="single" w:sz="4" w:space="0" w:color="auto"/>
            </w:tcBorders>
            <w:shd w:val="clear" w:color="auto" w:fill="auto"/>
            <w:vAlign w:val="center"/>
            <w:hideMark/>
          </w:tcPr>
          <w:p w14:paraId="60DD66AF" w14:textId="77777777"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 </w:t>
            </w:r>
          </w:p>
        </w:tc>
        <w:tc>
          <w:tcPr>
            <w:tcW w:w="864" w:type="dxa"/>
            <w:tcBorders>
              <w:top w:val="nil"/>
              <w:left w:val="nil"/>
              <w:bottom w:val="single" w:sz="4" w:space="0" w:color="auto"/>
              <w:right w:val="single" w:sz="4" w:space="0" w:color="auto"/>
            </w:tcBorders>
            <w:shd w:val="clear" w:color="auto" w:fill="auto"/>
            <w:vAlign w:val="center"/>
            <w:hideMark/>
          </w:tcPr>
          <w:p w14:paraId="28B92C0E" w14:textId="4936FA56" w:rsidR="001A7407" w:rsidRPr="001A7407" w:rsidRDefault="001A7407" w:rsidP="001A7407">
            <w:pPr>
              <w:jc w:val="right"/>
              <w:rPr>
                <w:rFonts w:ascii="Arial" w:eastAsia="Times New Roman" w:hAnsi="Arial" w:cs="Arial"/>
                <w:color w:val="000000"/>
                <w:sz w:val="14"/>
                <w:szCs w:val="14"/>
                <w:lang w:val="cs-CZ" w:eastAsia="cs-CZ"/>
              </w:rPr>
            </w:pPr>
            <w:r w:rsidRPr="001A7407">
              <w:rPr>
                <w:rFonts w:ascii="Arial" w:eastAsia="Times New Roman" w:hAnsi="Arial" w:cs="Arial"/>
                <w:color w:val="000000"/>
                <w:sz w:val="14"/>
                <w:szCs w:val="14"/>
                <w:lang w:val="cs-CZ" w:eastAsia="cs-CZ"/>
              </w:rPr>
              <w:t>65,000</w:t>
            </w:r>
          </w:p>
        </w:tc>
        <w:tc>
          <w:tcPr>
            <w:tcW w:w="724" w:type="dxa"/>
            <w:vMerge/>
            <w:tcBorders>
              <w:top w:val="nil"/>
              <w:left w:val="single" w:sz="4" w:space="0" w:color="auto"/>
              <w:bottom w:val="single" w:sz="4" w:space="0" w:color="auto"/>
              <w:right w:val="single" w:sz="4" w:space="0" w:color="auto"/>
            </w:tcBorders>
            <w:vAlign w:val="center"/>
            <w:hideMark/>
          </w:tcPr>
          <w:p w14:paraId="62DBDED0" w14:textId="77777777" w:rsidR="001A7407" w:rsidRPr="001A7407" w:rsidRDefault="001A7407" w:rsidP="001A7407">
            <w:pPr>
              <w:rPr>
                <w:rFonts w:ascii="Arial" w:eastAsia="Times New Roman" w:hAnsi="Arial" w:cs="Arial"/>
                <w:color w:val="000000"/>
                <w:sz w:val="14"/>
                <w:szCs w:val="14"/>
                <w:lang w:val="cs-CZ" w:eastAsia="cs-CZ"/>
              </w:rPr>
            </w:pPr>
          </w:p>
        </w:tc>
      </w:tr>
    </w:tbl>
    <w:p w14:paraId="369BEDB3" w14:textId="77777777" w:rsidR="00541D74" w:rsidRPr="002F2BE4" w:rsidRDefault="00541D74" w:rsidP="00FD35AB">
      <w:pPr>
        <w:keepNext/>
        <w:ind w:left="115" w:right="106"/>
        <w:jc w:val="both"/>
        <w:rPr>
          <w:rFonts w:ascii="Arial" w:eastAsia="Arial" w:hAnsi="Arial" w:cs="Arial"/>
          <w:color w:val="000000"/>
          <w:sz w:val="20"/>
          <w:lang w:val="cs-CZ"/>
        </w:rPr>
      </w:pPr>
    </w:p>
    <w:p w14:paraId="5C50E596"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26848A34" w14:textId="178AE34E" w:rsidR="00FD35AB" w:rsidRDefault="00FD35AB" w:rsidP="007D24EE">
      <w:pPr>
        <w:ind w:left="113" w:right="108"/>
        <w:jc w:val="both"/>
        <w:rPr>
          <w:rFonts w:ascii="Arial" w:eastAsia="Arial" w:hAnsi="Arial" w:cs="Arial"/>
          <w:color w:val="000000"/>
          <w:sz w:val="20"/>
          <w:lang w:val="cs-CZ"/>
        </w:rPr>
      </w:pPr>
    </w:p>
    <w:p w14:paraId="463EE214" w14:textId="77777777" w:rsidR="007D24EE" w:rsidRDefault="007D24EE" w:rsidP="007D24EE">
      <w:pPr>
        <w:ind w:left="113" w:right="108"/>
        <w:jc w:val="both"/>
        <w:rPr>
          <w:rFonts w:ascii="Arial" w:eastAsia="Arial" w:hAnsi="Arial" w:cs="Arial"/>
          <w:color w:val="000000"/>
          <w:sz w:val="20"/>
          <w:lang w:val="cs-CZ"/>
        </w:rPr>
      </w:pPr>
    </w:p>
    <w:p w14:paraId="61E77EFE" w14:textId="77777777" w:rsidR="007D24EE" w:rsidRPr="002F2BE4" w:rsidRDefault="007D24EE" w:rsidP="007D24EE">
      <w:pPr>
        <w:ind w:left="113" w:right="108"/>
        <w:jc w:val="both"/>
        <w:rPr>
          <w:rFonts w:ascii="Arial" w:eastAsia="Arial" w:hAnsi="Arial" w:cs="Arial"/>
          <w:color w:val="000000"/>
          <w:sz w:val="20"/>
          <w:lang w:val="cs-CZ"/>
        </w:rPr>
      </w:pPr>
    </w:p>
    <w:p w14:paraId="45B6B725"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lastRenderedPageBreak/>
        <w:t>Investiční priorita: 03.1.52 Pomoc pracovníkům, podnikům a podnikatelům přizpůsobovat se změnám</w:t>
      </w:r>
    </w:p>
    <w:tbl>
      <w:tblPr>
        <w:tblW w:w="15871" w:type="dxa"/>
        <w:tblInd w:w="75" w:type="dxa"/>
        <w:tblCellMar>
          <w:left w:w="70" w:type="dxa"/>
          <w:right w:w="70" w:type="dxa"/>
        </w:tblCellMar>
        <w:tblLook w:val="04A0" w:firstRow="1" w:lastRow="0" w:firstColumn="1" w:lastColumn="0" w:noHBand="0" w:noVBand="1"/>
      </w:tblPr>
      <w:tblGrid>
        <w:gridCol w:w="927"/>
        <w:gridCol w:w="2405"/>
        <w:gridCol w:w="977"/>
        <w:gridCol w:w="2378"/>
        <w:gridCol w:w="749"/>
        <w:gridCol w:w="887"/>
        <w:gridCol w:w="535"/>
        <w:gridCol w:w="535"/>
        <w:gridCol w:w="535"/>
        <w:gridCol w:w="647"/>
        <w:gridCol w:w="658"/>
        <w:gridCol w:w="682"/>
        <w:gridCol w:w="527"/>
        <w:gridCol w:w="527"/>
        <w:gridCol w:w="527"/>
        <w:gridCol w:w="530"/>
        <w:gridCol w:w="1004"/>
        <w:gridCol w:w="841"/>
      </w:tblGrid>
      <w:tr w:rsidR="006A7A9F" w:rsidRPr="006A7A9F" w14:paraId="151B41C5" w14:textId="77777777" w:rsidTr="007D24EE">
        <w:trPr>
          <w:trHeight w:val="20"/>
          <w:tblHeader/>
        </w:trPr>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418DE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ID</w:t>
            </w:r>
          </w:p>
        </w:tc>
        <w:tc>
          <w:tcPr>
            <w:tcW w:w="27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EE07A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Indikátor</w:t>
            </w:r>
          </w:p>
        </w:tc>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A93E2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Kategorie regionu</w:t>
            </w:r>
          </w:p>
        </w:tc>
        <w:tc>
          <w:tcPr>
            <w:tcW w:w="26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C1605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Společný indikátor výstupů použitý jako základ pro stanovení cíle</w:t>
            </w:r>
          </w:p>
        </w:tc>
        <w:tc>
          <w:tcPr>
            <w:tcW w:w="7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9AAA9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Měrná jednotka pro výchozí hodnotu a cíl</w:t>
            </w:r>
          </w:p>
        </w:tc>
        <w:tc>
          <w:tcPr>
            <w:tcW w:w="7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8F8F1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Cílová hodnota (2023) (Rozdělení podle pohlaví je pro cíl nepovinné)</w:t>
            </w:r>
          </w:p>
        </w:tc>
        <w:tc>
          <w:tcPr>
            <w:tcW w:w="544" w:type="dxa"/>
            <w:tcBorders>
              <w:top w:val="single" w:sz="4" w:space="0" w:color="auto"/>
              <w:left w:val="nil"/>
              <w:bottom w:val="single" w:sz="4" w:space="0" w:color="auto"/>
              <w:right w:val="single" w:sz="4" w:space="0" w:color="auto"/>
            </w:tcBorders>
            <w:shd w:val="clear" w:color="auto" w:fill="auto"/>
            <w:vAlign w:val="center"/>
            <w:hideMark/>
          </w:tcPr>
          <w:p w14:paraId="68723C1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2014</w:t>
            </w:r>
          </w:p>
        </w:tc>
        <w:tc>
          <w:tcPr>
            <w:tcW w:w="544" w:type="dxa"/>
            <w:tcBorders>
              <w:top w:val="single" w:sz="4" w:space="0" w:color="auto"/>
              <w:left w:val="nil"/>
              <w:bottom w:val="single" w:sz="4" w:space="0" w:color="auto"/>
              <w:right w:val="single" w:sz="4" w:space="0" w:color="auto"/>
            </w:tcBorders>
            <w:shd w:val="clear" w:color="auto" w:fill="auto"/>
            <w:vAlign w:val="center"/>
            <w:hideMark/>
          </w:tcPr>
          <w:p w14:paraId="01779E5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2015</w:t>
            </w:r>
          </w:p>
        </w:tc>
        <w:tc>
          <w:tcPr>
            <w:tcW w:w="544" w:type="dxa"/>
            <w:tcBorders>
              <w:top w:val="single" w:sz="4" w:space="0" w:color="auto"/>
              <w:left w:val="nil"/>
              <w:bottom w:val="single" w:sz="4" w:space="0" w:color="auto"/>
              <w:right w:val="single" w:sz="4" w:space="0" w:color="auto"/>
            </w:tcBorders>
            <w:shd w:val="clear" w:color="auto" w:fill="auto"/>
            <w:vAlign w:val="center"/>
            <w:hideMark/>
          </w:tcPr>
          <w:p w14:paraId="65031A1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2016</w:t>
            </w:r>
          </w:p>
        </w:tc>
        <w:tc>
          <w:tcPr>
            <w:tcW w:w="552" w:type="dxa"/>
            <w:tcBorders>
              <w:top w:val="single" w:sz="4" w:space="0" w:color="auto"/>
              <w:left w:val="nil"/>
              <w:bottom w:val="single" w:sz="4" w:space="0" w:color="auto"/>
              <w:right w:val="single" w:sz="4" w:space="0" w:color="auto"/>
            </w:tcBorders>
            <w:shd w:val="clear" w:color="auto" w:fill="auto"/>
            <w:vAlign w:val="center"/>
            <w:hideMark/>
          </w:tcPr>
          <w:p w14:paraId="430DE3E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2017</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06ED665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2018</w:t>
            </w:r>
          </w:p>
        </w:tc>
        <w:tc>
          <w:tcPr>
            <w:tcW w:w="690" w:type="dxa"/>
            <w:tcBorders>
              <w:top w:val="single" w:sz="4" w:space="0" w:color="auto"/>
              <w:left w:val="nil"/>
              <w:bottom w:val="single" w:sz="4" w:space="0" w:color="auto"/>
              <w:right w:val="single" w:sz="4" w:space="0" w:color="auto"/>
            </w:tcBorders>
            <w:shd w:val="clear" w:color="auto" w:fill="auto"/>
            <w:vAlign w:val="center"/>
            <w:hideMark/>
          </w:tcPr>
          <w:p w14:paraId="5C7C0BB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2019</w:t>
            </w:r>
          </w:p>
        </w:tc>
        <w:tc>
          <w:tcPr>
            <w:tcW w:w="543" w:type="dxa"/>
            <w:tcBorders>
              <w:top w:val="single" w:sz="4" w:space="0" w:color="auto"/>
              <w:left w:val="nil"/>
              <w:bottom w:val="single" w:sz="4" w:space="0" w:color="auto"/>
              <w:right w:val="single" w:sz="4" w:space="0" w:color="auto"/>
            </w:tcBorders>
            <w:shd w:val="clear" w:color="auto" w:fill="auto"/>
            <w:vAlign w:val="center"/>
            <w:hideMark/>
          </w:tcPr>
          <w:p w14:paraId="1DDB66B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14:paraId="04FF790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2021</w:t>
            </w:r>
          </w:p>
        </w:tc>
        <w:tc>
          <w:tcPr>
            <w:tcW w:w="543" w:type="dxa"/>
            <w:tcBorders>
              <w:top w:val="single" w:sz="4" w:space="0" w:color="auto"/>
              <w:left w:val="nil"/>
              <w:bottom w:val="single" w:sz="4" w:space="0" w:color="auto"/>
              <w:right w:val="single" w:sz="4" w:space="0" w:color="auto"/>
            </w:tcBorders>
            <w:shd w:val="clear" w:color="auto" w:fill="auto"/>
            <w:vAlign w:val="center"/>
            <w:hideMark/>
          </w:tcPr>
          <w:p w14:paraId="57D1F9F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2022</w:t>
            </w:r>
          </w:p>
        </w:tc>
        <w:tc>
          <w:tcPr>
            <w:tcW w:w="543" w:type="dxa"/>
            <w:tcBorders>
              <w:top w:val="single" w:sz="4" w:space="0" w:color="auto"/>
              <w:left w:val="nil"/>
              <w:bottom w:val="single" w:sz="4" w:space="0" w:color="auto"/>
              <w:right w:val="single" w:sz="4" w:space="0" w:color="auto"/>
            </w:tcBorders>
            <w:shd w:val="clear" w:color="auto" w:fill="auto"/>
            <w:vAlign w:val="center"/>
            <w:hideMark/>
          </w:tcPr>
          <w:p w14:paraId="2D70954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2023</w:t>
            </w:r>
          </w:p>
        </w:tc>
        <w:tc>
          <w:tcPr>
            <w:tcW w:w="822" w:type="dxa"/>
            <w:tcBorders>
              <w:top w:val="single" w:sz="4" w:space="0" w:color="auto"/>
              <w:left w:val="nil"/>
              <w:bottom w:val="single" w:sz="4" w:space="0" w:color="auto"/>
              <w:right w:val="single" w:sz="4" w:space="0" w:color="auto"/>
            </w:tcBorders>
            <w:shd w:val="clear" w:color="auto" w:fill="auto"/>
            <w:vAlign w:val="center"/>
            <w:hideMark/>
          </w:tcPr>
          <w:p w14:paraId="531BEFB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Kumulativní hodnota (vypočítána automaticky)</w:t>
            </w:r>
          </w:p>
        </w:tc>
        <w:tc>
          <w:tcPr>
            <w:tcW w:w="6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C7B29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Míra splnění Rozdělení podle pohlaví je nepovinné</w:t>
            </w:r>
          </w:p>
        </w:tc>
      </w:tr>
      <w:tr w:rsidR="006A7A9F" w:rsidRPr="006A7A9F" w14:paraId="2814E6A3" w14:textId="77777777" w:rsidTr="007D24EE">
        <w:trPr>
          <w:trHeight w:val="20"/>
          <w:tblHeader/>
        </w:trPr>
        <w:tc>
          <w:tcPr>
            <w:tcW w:w="759" w:type="dxa"/>
            <w:vMerge/>
            <w:tcBorders>
              <w:top w:val="single" w:sz="4" w:space="0" w:color="auto"/>
              <w:left w:val="single" w:sz="4" w:space="0" w:color="auto"/>
              <w:bottom w:val="single" w:sz="4" w:space="0" w:color="000000"/>
              <w:right w:val="single" w:sz="4" w:space="0" w:color="auto"/>
            </w:tcBorders>
            <w:vAlign w:val="center"/>
            <w:hideMark/>
          </w:tcPr>
          <w:p w14:paraId="51B6E03B" w14:textId="77777777" w:rsidR="006A7A9F" w:rsidRPr="006A7A9F" w:rsidRDefault="006A7A9F" w:rsidP="006A7A9F">
            <w:pPr>
              <w:rPr>
                <w:rFonts w:ascii="Arial" w:eastAsia="Times New Roman" w:hAnsi="Arial" w:cs="Arial"/>
                <w:b/>
                <w:bCs/>
                <w:color w:val="000000"/>
                <w:sz w:val="14"/>
                <w:szCs w:val="14"/>
                <w:lang w:val="cs-CZ" w:eastAsia="cs-CZ"/>
              </w:rPr>
            </w:pPr>
          </w:p>
        </w:tc>
        <w:tc>
          <w:tcPr>
            <w:tcW w:w="2766" w:type="dxa"/>
            <w:vMerge/>
            <w:tcBorders>
              <w:top w:val="single" w:sz="4" w:space="0" w:color="auto"/>
              <w:left w:val="single" w:sz="4" w:space="0" w:color="auto"/>
              <w:bottom w:val="single" w:sz="4" w:space="0" w:color="000000"/>
              <w:right w:val="single" w:sz="4" w:space="0" w:color="auto"/>
            </w:tcBorders>
            <w:vAlign w:val="center"/>
            <w:hideMark/>
          </w:tcPr>
          <w:p w14:paraId="6FC52414" w14:textId="77777777" w:rsidR="006A7A9F" w:rsidRPr="006A7A9F" w:rsidRDefault="006A7A9F" w:rsidP="006A7A9F">
            <w:pPr>
              <w:rPr>
                <w:rFonts w:ascii="Arial" w:eastAsia="Times New Roman" w:hAnsi="Arial" w:cs="Arial"/>
                <w:b/>
                <w:bCs/>
                <w:color w:val="000000"/>
                <w:sz w:val="14"/>
                <w:szCs w:val="14"/>
                <w:lang w:val="cs-CZ" w:eastAsia="cs-CZ"/>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14:paraId="7905FBA3" w14:textId="77777777" w:rsidR="006A7A9F" w:rsidRPr="006A7A9F" w:rsidRDefault="006A7A9F" w:rsidP="006A7A9F">
            <w:pPr>
              <w:rPr>
                <w:rFonts w:ascii="Arial" w:eastAsia="Times New Roman" w:hAnsi="Arial" w:cs="Arial"/>
                <w:b/>
                <w:bCs/>
                <w:color w:val="000000"/>
                <w:sz w:val="14"/>
                <w:szCs w:val="14"/>
                <w:lang w:val="cs-CZ" w:eastAsia="cs-CZ"/>
              </w:rPr>
            </w:pPr>
          </w:p>
        </w:tc>
        <w:tc>
          <w:tcPr>
            <w:tcW w:w="2624" w:type="dxa"/>
            <w:vMerge/>
            <w:tcBorders>
              <w:top w:val="single" w:sz="4" w:space="0" w:color="auto"/>
              <w:left w:val="single" w:sz="4" w:space="0" w:color="auto"/>
              <w:bottom w:val="single" w:sz="4" w:space="0" w:color="000000"/>
              <w:right w:val="single" w:sz="4" w:space="0" w:color="auto"/>
            </w:tcBorders>
            <w:vAlign w:val="center"/>
            <w:hideMark/>
          </w:tcPr>
          <w:p w14:paraId="75939D77" w14:textId="77777777" w:rsidR="006A7A9F" w:rsidRPr="006A7A9F" w:rsidRDefault="006A7A9F" w:rsidP="006A7A9F">
            <w:pPr>
              <w:rPr>
                <w:rFonts w:ascii="Arial" w:eastAsia="Times New Roman" w:hAnsi="Arial" w:cs="Arial"/>
                <w:b/>
                <w:bCs/>
                <w:color w:val="000000"/>
                <w:sz w:val="14"/>
                <w:szCs w:val="14"/>
                <w:lang w:val="cs-CZ" w:eastAsia="cs-CZ"/>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14:paraId="3B0CC4CF" w14:textId="77777777" w:rsidR="006A7A9F" w:rsidRPr="006A7A9F" w:rsidRDefault="006A7A9F" w:rsidP="006A7A9F">
            <w:pPr>
              <w:rPr>
                <w:rFonts w:ascii="Arial" w:eastAsia="Times New Roman" w:hAnsi="Arial" w:cs="Arial"/>
                <w:b/>
                <w:bCs/>
                <w:color w:val="000000"/>
                <w:sz w:val="14"/>
                <w:szCs w:val="14"/>
                <w:lang w:val="cs-CZ" w:eastAsia="cs-CZ"/>
              </w:rPr>
            </w:pPr>
          </w:p>
        </w:tc>
        <w:tc>
          <w:tcPr>
            <w:tcW w:w="726" w:type="dxa"/>
            <w:vMerge/>
            <w:tcBorders>
              <w:top w:val="single" w:sz="4" w:space="0" w:color="auto"/>
              <w:left w:val="single" w:sz="4" w:space="0" w:color="auto"/>
              <w:bottom w:val="single" w:sz="4" w:space="0" w:color="000000"/>
              <w:right w:val="single" w:sz="4" w:space="0" w:color="auto"/>
            </w:tcBorders>
            <w:vAlign w:val="center"/>
            <w:hideMark/>
          </w:tcPr>
          <w:p w14:paraId="73E7064C" w14:textId="77777777" w:rsidR="006A7A9F" w:rsidRPr="006A7A9F" w:rsidRDefault="006A7A9F" w:rsidP="006A7A9F">
            <w:pPr>
              <w:rPr>
                <w:rFonts w:ascii="Arial" w:eastAsia="Times New Roman" w:hAnsi="Arial" w:cs="Arial"/>
                <w:b/>
                <w:bCs/>
                <w:color w:val="000000"/>
                <w:sz w:val="14"/>
                <w:szCs w:val="14"/>
                <w:lang w:val="cs-CZ" w:eastAsia="cs-CZ"/>
              </w:rPr>
            </w:pPr>
          </w:p>
        </w:tc>
        <w:tc>
          <w:tcPr>
            <w:tcW w:w="5710" w:type="dxa"/>
            <w:gridSpan w:val="10"/>
            <w:tcBorders>
              <w:top w:val="single" w:sz="4" w:space="0" w:color="auto"/>
              <w:left w:val="nil"/>
              <w:bottom w:val="single" w:sz="4" w:space="0" w:color="auto"/>
              <w:right w:val="single" w:sz="4" w:space="0" w:color="000000"/>
            </w:tcBorders>
            <w:shd w:val="clear" w:color="auto" w:fill="auto"/>
            <w:vAlign w:val="center"/>
            <w:hideMark/>
          </w:tcPr>
          <w:p w14:paraId="00E98E4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Roční hodnota</w:t>
            </w:r>
          </w:p>
        </w:tc>
        <w:tc>
          <w:tcPr>
            <w:tcW w:w="822" w:type="dxa"/>
            <w:tcBorders>
              <w:top w:val="nil"/>
              <w:left w:val="nil"/>
              <w:bottom w:val="single" w:sz="4" w:space="0" w:color="auto"/>
              <w:right w:val="single" w:sz="4" w:space="0" w:color="auto"/>
            </w:tcBorders>
            <w:shd w:val="clear" w:color="auto" w:fill="auto"/>
            <w:vAlign w:val="center"/>
            <w:hideMark/>
          </w:tcPr>
          <w:p w14:paraId="1B04905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Celkem</w:t>
            </w:r>
          </w:p>
        </w:tc>
        <w:tc>
          <w:tcPr>
            <w:tcW w:w="688" w:type="dxa"/>
            <w:vMerge/>
            <w:tcBorders>
              <w:top w:val="single" w:sz="4" w:space="0" w:color="auto"/>
              <w:left w:val="single" w:sz="4" w:space="0" w:color="auto"/>
              <w:bottom w:val="single" w:sz="4" w:space="0" w:color="000000"/>
              <w:right w:val="single" w:sz="4" w:space="0" w:color="auto"/>
            </w:tcBorders>
            <w:vAlign w:val="center"/>
            <w:hideMark/>
          </w:tcPr>
          <w:p w14:paraId="19212854"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7E7EEAB5" w14:textId="77777777" w:rsidTr="007D24EE">
        <w:trPr>
          <w:trHeight w:val="20"/>
          <w:tblHeader/>
        </w:trPr>
        <w:tc>
          <w:tcPr>
            <w:tcW w:w="759" w:type="dxa"/>
            <w:vMerge/>
            <w:tcBorders>
              <w:top w:val="single" w:sz="4" w:space="0" w:color="auto"/>
              <w:left w:val="single" w:sz="4" w:space="0" w:color="auto"/>
              <w:bottom w:val="single" w:sz="4" w:space="0" w:color="000000"/>
              <w:right w:val="single" w:sz="4" w:space="0" w:color="auto"/>
            </w:tcBorders>
            <w:vAlign w:val="center"/>
            <w:hideMark/>
          </w:tcPr>
          <w:p w14:paraId="44E0BB51" w14:textId="77777777" w:rsidR="006A7A9F" w:rsidRPr="006A7A9F" w:rsidRDefault="006A7A9F" w:rsidP="006A7A9F">
            <w:pPr>
              <w:rPr>
                <w:rFonts w:ascii="Arial" w:eastAsia="Times New Roman" w:hAnsi="Arial" w:cs="Arial"/>
                <w:b/>
                <w:bCs/>
                <w:color w:val="000000"/>
                <w:sz w:val="14"/>
                <w:szCs w:val="14"/>
                <w:lang w:val="cs-CZ" w:eastAsia="cs-CZ"/>
              </w:rPr>
            </w:pPr>
          </w:p>
        </w:tc>
        <w:tc>
          <w:tcPr>
            <w:tcW w:w="2766" w:type="dxa"/>
            <w:vMerge/>
            <w:tcBorders>
              <w:top w:val="single" w:sz="4" w:space="0" w:color="auto"/>
              <w:left w:val="single" w:sz="4" w:space="0" w:color="auto"/>
              <w:bottom w:val="single" w:sz="4" w:space="0" w:color="000000"/>
              <w:right w:val="single" w:sz="4" w:space="0" w:color="auto"/>
            </w:tcBorders>
            <w:vAlign w:val="center"/>
            <w:hideMark/>
          </w:tcPr>
          <w:p w14:paraId="7C7EE82E" w14:textId="77777777" w:rsidR="006A7A9F" w:rsidRPr="006A7A9F" w:rsidRDefault="006A7A9F" w:rsidP="006A7A9F">
            <w:pPr>
              <w:rPr>
                <w:rFonts w:ascii="Arial" w:eastAsia="Times New Roman" w:hAnsi="Arial" w:cs="Arial"/>
                <w:b/>
                <w:bCs/>
                <w:color w:val="000000"/>
                <w:sz w:val="14"/>
                <w:szCs w:val="14"/>
                <w:lang w:val="cs-CZ" w:eastAsia="cs-CZ"/>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14:paraId="2B9E1576" w14:textId="77777777" w:rsidR="006A7A9F" w:rsidRPr="006A7A9F" w:rsidRDefault="006A7A9F" w:rsidP="006A7A9F">
            <w:pPr>
              <w:rPr>
                <w:rFonts w:ascii="Arial" w:eastAsia="Times New Roman" w:hAnsi="Arial" w:cs="Arial"/>
                <w:b/>
                <w:bCs/>
                <w:color w:val="000000"/>
                <w:sz w:val="14"/>
                <w:szCs w:val="14"/>
                <w:lang w:val="cs-CZ" w:eastAsia="cs-CZ"/>
              </w:rPr>
            </w:pPr>
          </w:p>
        </w:tc>
        <w:tc>
          <w:tcPr>
            <w:tcW w:w="2624" w:type="dxa"/>
            <w:vMerge/>
            <w:tcBorders>
              <w:top w:val="single" w:sz="4" w:space="0" w:color="auto"/>
              <w:left w:val="single" w:sz="4" w:space="0" w:color="auto"/>
              <w:bottom w:val="single" w:sz="4" w:space="0" w:color="000000"/>
              <w:right w:val="single" w:sz="4" w:space="0" w:color="auto"/>
            </w:tcBorders>
            <w:vAlign w:val="center"/>
            <w:hideMark/>
          </w:tcPr>
          <w:p w14:paraId="6AAA274E" w14:textId="77777777" w:rsidR="006A7A9F" w:rsidRPr="006A7A9F" w:rsidRDefault="006A7A9F" w:rsidP="006A7A9F">
            <w:pPr>
              <w:rPr>
                <w:rFonts w:ascii="Arial" w:eastAsia="Times New Roman" w:hAnsi="Arial" w:cs="Arial"/>
                <w:b/>
                <w:bCs/>
                <w:color w:val="000000"/>
                <w:sz w:val="14"/>
                <w:szCs w:val="14"/>
                <w:lang w:val="cs-CZ" w:eastAsia="cs-CZ"/>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14:paraId="1CB2DA91" w14:textId="77777777" w:rsidR="006A7A9F" w:rsidRPr="006A7A9F" w:rsidRDefault="006A7A9F" w:rsidP="006A7A9F">
            <w:pPr>
              <w:rPr>
                <w:rFonts w:ascii="Arial" w:eastAsia="Times New Roman" w:hAnsi="Arial" w:cs="Arial"/>
                <w:b/>
                <w:bCs/>
                <w:color w:val="000000"/>
                <w:sz w:val="14"/>
                <w:szCs w:val="14"/>
                <w:lang w:val="cs-CZ" w:eastAsia="cs-CZ"/>
              </w:rPr>
            </w:pPr>
          </w:p>
        </w:tc>
        <w:tc>
          <w:tcPr>
            <w:tcW w:w="726" w:type="dxa"/>
            <w:vMerge/>
            <w:tcBorders>
              <w:top w:val="single" w:sz="4" w:space="0" w:color="auto"/>
              <w:left w:val="single" w:sz="4" w:space="0" w:color="auto"/>
              <w:bottom w:val="single" w:sz="4" w:space="0" w:color="000000"/>
              <w:right w:val="single" w:sz="4" w:space="0" w:color="auto"/>
            </w:tcBorders>
            <w:vAlign w:val="center"/>
            <w:hideMark/>
          </w:tcPr>
          <w:p w14:paraId="1477B07D" w14:textId="77777777" w:rsidR="006A7A9F" w:rsidRPr="006A7A9F" w:rsidRDefault="006A7A9F" w:rsidP="006A7A9F">
            <w:pPr>
              <w:rPr>
                <w:rFonts w:ascii="Arial" w:eastAsia="Times New Roman" w:hAnsi="Arial" w:cs="Arial"/>
                <w:b/>
                <w:bCs/>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4EBA6DA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44" w:type="dxa"/>
            <w:tcBorders>
              <w:top w:val="nil"/>
              <w:left w:val="nil"/>
              <w:bottom w:val="single" w:sz="4" w:space="0" w:color="auto"/>
              <w:right w:val="single" w:sz="4" w:space="0" w:color="auto"/>
            </w:tcBorders>
            <w:shd w:val="clear" w:color="auto" w:fill="auto"/>
            <w:vAlign w:val="center"/>
            <w:hideMark/>
          </w:tcPr>
          <w:p w14:paraId="610D42A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44" w:type="dxa"/>
            <w:tcBorders>
              <w:top w:val="nil"/>
              <w:left w:val="nil"/>
              <w:bottom w:val="single" w:sz="4" w:space="0" w:color="auto"/>
              <w:right w:val="single" w:sz="4" w:space="0" w:color="auto"/>
            </w:tcBorders>
            <w:shd w:val="clear" w:color="auto" w:fill="auto"/>
            <w:vAlign w:val="center"/>
            <w:hideMark/>
          </w:tcPr>
          <w:p w14:paraId="54C3209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52" w:type="dxa"/>
            <w:tcBorders>
              <w:top w:val="nil"/>
              <w:left w:val="nil"/>
              <w:bottom w:val="single" w:sz="4" w:space="0" w:color="auto"/>
              <w:right w:val="single" w:sz="4" w:space="0" w:color="auto"/>
            </w:tcBorders>
            <w:shd w:val="clear" w:color="auto" w:fill="auto"/>
            <w:vAlign w:val="center"/>
            <w:hideMark/>
          </w:tcPr>
          <w:p w14:paraId="5CC525F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660" w:type="dxa"/>
            <w:tcBorders>
              <w:top w:val="nil"/>
              <w:left w:val="nil"/>
              <w:bottom w:val="single" w:sz="4" w:space="0" w:color="auto"/>
              <w:right w:val="single" w:sz="4" w:space="0" w:color="auto"/>
            </w:tcBorders>
            <w:shd w:val="clear" w:color="auto" w:fill="auto"/>
            <w:vAlign w:val="center"/>
            <w:hideMark/>
          </w:tcPr>
          <w:p w14:paraId="124ED6B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690" w:type="dxa"/>
            <w:tcBorders>
              <w:top w:val="nil"/>
              <w:left w:val="nil"/>
              <w:bottom w:val="single" w:sz="4" w:space="0" w:color="auto"/>
              <w:right w:val="single" w:sz="4" w:space="0" w:color="auto"/>
            </w:tcBorders>
            <w:shd w:val="clear" w:color="auto" w:fill="auto"/>
            <w:vAlign w:val="center"/>
            <w:hideMark/>
          </w:tcPr>
          <w:p w14:paraId="758FFDB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43" w:type="dxa"/>
            <w:tcBorders>
              <w:top w:val="nil"/>
              <w:left w:val="nil"/>
              <w:bottom w:val="single" w:sz="4" w:space="0" w:color="auto"/>
              <w:right w:val="single" w:sz="4" w:space="0" w:color="auto"/>
            </w:tcBorders>
            <w:shd w:val="clear" w:color="auto" w:fill="auto"/>
            <w:vAlign w:val="center"/>
            <w:hideMark/>
          </w:tcPr>
          <w:p w14:paraId="30059AD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43" w:type="dxa"/>
            <w:tcBorders>
              <w:top w:val="nil"/>
              <w:left w:val="nil"/>
              <w:bottom w:val="single" w:sz="4" w:space="0" w:color="auto"/>
              <w:right w:val="single" w:sz="4" w:space="0" w:color="auto"/>
            </w:tcBorders>
            <w:shd w:val="clear" w:color="auto" w:fill="auto"/>
            <w:vAlign w:val="center"/>
            <w:hideMark/>
          </w:tcPr>
          <w:p w14:paraId="6212150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43" w:type="dxa"/>
            <w:tcBorders>
              <w:top w:val="nil"/>
              <w:left w:val="nil"/>
              <w:bottom w:val="single" w:sz="4" w:space="0" w:color="auto"/>
              <w:right w:val="single" w:sz="4" w:space="0" w:color="auto"/>
            </w:tcBorders>
            <w:shd w:val="clear" w:color="auto" w:fill="auto"/>
            <w:vAlign w:val="center"/>
            <w:hideMark/>
          </w:tcPr>
          <w:p w14:paraId="6ABD8F1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43" w:type="dxa"/>
            <w:tcBorders>
              <w:top w:val="nil"/>
              <w:left w:val="nil"/>
              <w:bottom w:val="single" w:sz="4" w:space="0" w:color="auto"/>
              <w:right w:val="single" w:sz="4" w:space="0" w:color="auto"/>
            </w:tcBorders>
            <w:shd w:val="clear" w:color="auto" w:fill="auto"/>
            <w:vAlign w:val="center"/>
            <w:hideMark/>
          </w:tcPr>
          <w:p w14:paraId="05279EF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822" w:type="dxa"/>
            <w:tcBorders>
              <w:top w:val="nil"/>
              <w:left w:val="nil"/>
              <w:bottom w:val="single" w:sz="4" w:space="0" w:color="auto"/>
              <w:right w:val="single" w:sz="4" w:space="0" w:color="auto"/>
            </w:tcBorders>
            <w:shd w:val="clear" w:color="auto" w:fill="auto"/>
            <w:vAlign w:val="center"/>
            <w:hideMark/>
          </w:tcPr>
          <w:p w14:paraId="5C09CD8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688" w:type="dxa"/>
            <w:vMerge/>
            <w:tcBorders>
              <w:top w:val="single" w:sz="4" w:space="0" w:color="auto"/>
              <w:left w:val="single" w:sz="4" w:space="0" w:color="auto"/>
              <w:bottom w:val="single" w:sz="4" w:space="0" w:color="000000"/>
              <w:right w:val="single" w:sz="4" w:space="0" w:color="auto"/>
            </w:tcBorders>
            <w:vAlign w:val="center"/>
            <w:hideMark/>
          </w:tcPr>
          <w:p w14:paraId="7F1FB565"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0B805FAB" w14:textId="77777777" w:rsidTr="007D24EE">
        <w:trPr>
          <w:trHeight w:val="20"/>
          <w:tblHeader/>
        </w:trPr>
        <w:tc>
          <w:tcPr>
            <w:tcW w:w="759" w:type="dxa"/>
            <w:vMerge/>
            <w:tcBorders>
              <w:top w:val="single" w:sz="4" w:space="0" w:color="auto"/>
              <w:left w:val="single" w:sz="4" w:space="0" w:color="auto"/>
              <w:bottom w:val="single" w:sz="4" w:space="0" w:color="000000"/>
              <w:right w:val="single" w:sz="4" w:space="0" w:color="auto"/>
            </w:tcBorders>
            <w:vAlign w:val="center"/>
            <w:hideMark/>
          </w:tcPr>
          <w:p w14:paraId="65FF2E3E" w14:textId="77777777" w:rsidR="006A7A9F" w:rsidRPr="006A7A9F" w:rsidRDefault="006A7A9F" w:rsidP="006A7A9F">
            <w:pPr>
              <w:rPr>
                <w:rFonts w:ascii="Arial" w:eastAsia="Times New Roman" w:hAnsi="Arial" w:cs="Arial"/>
                <w:b/>
                <w:bCs/>
                <w:color w:val="000000"/>
                <w:sz w:val="14"/>
                <w:szCs w:val="14"/>
                <w:lang w:val="cs-CZ" w:eastAsia="cs-CZ"/>
              </w:rPr>
            </w:pPr>
          </w:p>
        </w:tc>
        <w:tc>
          <w:tcPr>
            <w:tcW w:w="2766" w:type="dxa"/>
            <w:vMerge/>
            <w:tcBorders>
              <w:top w:val="single" w:sz="4" w:space="0" w:color="auto"/>
              <w:left w:val="single" w:sz="4" w:space="0" w:color="auto"/>
              <w:bottom w:val="single" w:sz="4" w:space="0" w:color="000000"/>
              <w:right w:val="single" w:sz="4" w:space="0" w:color="auto"/>
            </w:tcBorders>
            <w:vAlign w:val="center"/>
            <w:hideMark/>
          </w:tcPr>
          <w:p w14:paraId="099DF08B" w14:textId="77777777" w:rsidR="006A7A9F" w:rsidRPr="006A7A9F" w:rsidRDefault="006A7A9F" w:rsidP="006A7A9F">
            <w:pPr>
              <w:rPr>
                <w:rFonts w:ascii="Arial" w:eastAsia="Times New Roman" w:hAnsi="Arial" w:cs="Arial"/>
                <w:b/>
                <w:bCs/>
                <w:color w:val="000000"/>
                <w:sz w:val="14"/>
                <w:szCs w:val="14"/>
                <w:lang w:val="cs-CZ" w:eastAsia="cs-CZ"/>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14:paraId="0B21CD2E" w14:textId="77777777" w:rsidR="006A7A9F" w:rsidRPr="006A7A9F" w:rsidRDefault="006A7A9F" w:rsidP="006A7A9F">
            <w:pPr>
              <w:rPr>
                <w:rFonts w:ascii="Arial" w:eastAsia="Times New Roman" w:hAnsi="Arial" w:cs="Arial"/>
                <w:b/>
                <w:bCs/>
                <w:color w:val="000000"/>
                <w:sz w:val="14"/>
                <w:szCs w:val="14"/>
                <w:lang w:val="cs-CZ" w:eastAsia="cs-CZ"/>
              </w:rPr>
            </w:pPr>
          </w:p>
        </w:tc>
        <w:tc>
          <w:tcPr>
            <w:tcW w:w="2624" w:type="dxa"/>
            <w:vMerge/>
            <w:tcBorders>
              <w:top w:val="single" w:sz="4" w:space="0" w:color="auto"/>
              <w:left w:val="single" w:sz="4" w:space="0" w:color="auto"/>
              <w:bottom w:val="single" w:sz="4" w:space="0" w:color="000000"/>
              <w:right w:val="single" w:sz="4" w:space="0" w:color="auto"/>
            </w:tcBorders>
            <w:vAlign w:val="center"/>
            <w:hideMark/>
          </w:tcPr>
          <w:p w14:paraId="2AC91888" w14:textId="77777777" w:rsidR="006A7A9F" w:rsidRPr="006A7A9F" w:rsidRDefault="006A7A9F" w:rsidP="006A7A9F">
            <w:pPr>
              <w:rPr>
                <w:rFonts w:ascii="Arial" w:eastAsia="Times New Roman" w:hAnsi="Arial" w:cs="Arial"/>
                <w:b/>
                <w:bCs/>
                <w:color w:val="000000"/>
                <w:sz w:val="14"/>
                <w:szCs w:val="14"/>
                <w:lang w:val="cs-CZ" w:eastAsia="cs-CZ"/>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14:paraId="7FBEE36F" w14:textId="77777777" w:rsidR="006A7A9F" w:rsidRPr="006A7A9F" w:rsidRDefault="006A7A9F" w:rsidP="006A7A9F">
            <w:pPr>
              <w:rPr>
                <w:rFonts w:ascii="Arial" w:eastAsia="Times New Roman" w:hAnsi="Arial" w:cs="Arial"/>
                <w:b/>
                <w:bCs/>
                <w:color w:val="000000"/>
                <w:sz w:val="14"/>
                <w:szCs w:val="14"/>
                <w:lang w:val="cs-CZ" w:eastAsia="cs-CZ"/>
              </w:rPr>
            </w:pPr>
          </w:p>
        </w:tc>
        <w:tc>
          <w:tcPr>
            <w:tcW w:w="726" w:type="dxa"/>
            <w:vMerge/>
            <w:tcBorders>
              <w:top w:val="single" w:sz="4" w:space="0" w:color="auto"/>
              <w:left w:val="single" w:sz="4" w:space="0" w:color="auto"/>
              <w:bottom w:val="single" w:sz="4" w:space="0" w:color="000000"/>
              <w:right w:val="single" w:sz="4" w:space="0" w:color="auto"/>
            </w:tcBorders>
            <w:vAlign w:val="center"/>
            <w:hideMark/>
          </w:tcPr>
          <w:p w14:paraId="592804D8" w14:textId="77777777" w:rsidR="006A7A9F" w:rsidRPr="006A7A9F" w:rsidRDefault="006A7A9F" w:rsidP="006A7A9F">
            <w:pPr>
              <w:rPr>
                <w:rFonts w:ascii="Arial" w:eastAsia="Times New Roman" w:hAnsi="Arial" w:cs="Arial"/>
                <w:b/>
                <w:bCs/>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6F4EC57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44" w:type="dxa"/>
            <w:tcBorders>
              <w:top w:val="nil"/>
              <w:left w:val="nil"/>
              <w:bottom w:val="single" w:sz="4" w:space="0" w:color="auto"/>
              <w:right w:val="single" w:sz="4" w:space="0" w:color="auto"/>
            </w:tcBorders>
            <w:shd w:val="clear" w:color="auto" w:fill="auto"/>
            <w:vAlign w:val="center"/>
            <w:hideMark/>
          </w:tcPr>
          <w:p w14:paraId="3BFAF8E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44" w:type="dxa"/>
            <w:tcBorders>
              <w:top w:val="nil"/>
              <w:left w:val="nil"/>
              <w:bottom w:val="single" w:sz="4" w:space="0" w:color="auto"/>
              <w:right w:val="single" w:sz="4" w:space="0" w:color="auto"/>
            </w:tcBorders>
            <w:shd w:val="clear" w:color="auto" w:fill="auto"/>
            <w:vAlign w:val="center"/>
            <w:hideMark/>
          </w:tcPr>
          <w:p w14:paraId="262C255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52" w:type="dxa"/>
            <w:tcBorders>
              <w:top w:val="nil"/>
              <w:left w:val="nil"/>
              <w:bottom w:val="single" w:sz="4" w:space="0" w:color="auto"/>
              <w:right w:val="single" w:sz="4" w:space="0" w:color="auto"/>
            </w:tcBorders>
            <w:shd w:val="clear" w:color="auto" w:fill="auto"/>
            <w:vAlign w:val="center"/>
            <w:hideMark/>
          </w:tcPr>
          <w:p w14:paraId="06A0550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660" w:type="dxa"/>
            <w:tcBorders>
              <w:top w:val="nil"/>
              <w:left w:val="nil"/>
              <w:bottom w:val="single" w:sz="4" w:space="0" w:color="auto"/>
              <w:right w:val="single" w:sz="4" w:space="0" w:color="auto"/>
            </w:tcBorders>
            <w:shd w:val="clear" w:color="auto" w:fill="auto"/>
            <w:vAlign w:val="center"/>
            <w:hideMark/>
          </w:tcPr>
          <w:p w14:paraId="4FEA43F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690" w:type="dxa"/>
            <w:tcBorders>
              <w:top w:val="nil"/>
              <w:left w:val="nil"/>
              <w:bottom w:val="single" w:sz="4" w:space="0" w:color="auto"/>
              <w:right w:val="single" w:sz="4" w:space="0" w:color="auto"/>
            </w:tcBorders>
            <w:shd w:val="clear" w:color="auto" w:fill="auto"/>
            <w:vAlign w:val="center"/>
            <w:hideMark/>
          </w:tcPr>
          <w:p w14:paraId="693DEF1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43" w:type="dxa"/>
            <w:tcBorders>
              <w:top w:val="nil"/>
              <w:left w:val="nil"/>
              <w:bottom w:val="single" w:sz="4" w:space="0" w:color="auto"/>
              <w:right w:val="single" w:sz="4" w:space="0" w:color="auto"/>
            </w:tcBorders>
            <w:shd w:val="clear" w:color="auto" w:fill="auto"/>
            <w:vAlign w:val="center"/>
            <w:hideMark/>
          </w:tcPr>
          <w:p w14:paraId="080AEE9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43" w:type="dxa"/>
            <w:tcBorders>
              <w:top w:val="nil"/>
              <w:left w:val="nil"/>
              <w:bottom w:val="single" w:sz="4" w:space="0" w:color="auto"/>
              <w:right w:val="single" w:sz="4" w:space="0" w:color="auto"/>
            </w:tcBorders>
            <w:shd w:val="clear" w:color="auto" w:fill="auto"/>
            <w:vAlign w:val="center"/>
            <w:hideMark/>
          </w:tcPr>
          <w:p w14:paraId="26702CD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43" w:type="dxa"/>
            <w:tcBorders>
              <w:top w:val="nil"/>
              <w:left w:val="nil"/>
              <w:bottom w:val="single" w:sz="4" w:space="0" w:color="auto"/>
              <w:right w:val="single" w:sz="4" w:space="0" w:color="auto"/>
            </w:tcBorders>
            <w:shd w:val="clear" w:color="auto" w:fill="auto"/>
            <w:vAlign w:val="center"/>
            <w:hideMark/>
          </w:tcPr>
          <w:p w14:paraId="3875E67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43" w:type="dxa"/>
            <w:tcBorders>
              <w:top w:val="nil"/>
              <w:left w:val="nil"/>
              <w:bottom w:val="single" w:sz="4" w:space="0" w:color="auto"/>
              <w:right w:val="single" w:sz="4" w:space="0" w:color="auto"/>
            </w:tcBorders>
            <w:shd w:val="clear" w:color="auto" w:fill="auto"/>
            <w:vAlign w:val="center"/>
            <w:hideMark/>
          </w:tcPr>
          <w:p w14:paraId="1E1818D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822" w:type="dxa"/>
            <w:tcBorders>
              <w:top w:val="nil"/>
              <w:left w:val="nil"/>
              <w:bottom w:val="single" w:sz="4" w:space="0" w:color="auto"/>
              <w:right w:val="single" w:sz="4" w:space="0" w:color="auto"/>
            </w:tcBorders>
            <w:shd w:val="clear" w:color="auto" w:fill="auto"/>
            <w:vAlign w:val="center"/>
            <w:hideMark/>
          </w:tcPr>
          <w:p w14:paraId="1D7D91E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688" w:type="dxa"/>
            <w:vMerge/>
            <w:tcBorders>
              <w:top w:val="single" w:sz="4" w:space="0" w:color="auto"/>
              <w:left w:val="single" w:sz="4" w:space="0" w:color="auto"/>
              <w:bottom w:val="single" w:sz="4" w:space="0" w:color="000000"/>
              <w:right w:val="single" w:sz="4" w:space="0" w:color="auto"/>
            </w:tcBorders>
            <w:vAlign w:val="center"/>
            <w:hideMark/>
          </w:tcPr>
          <w:p w14:paraId="7552FB52"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52140D29" w14:textId="77777777" w:rsidTr="007D24EE">
        <w:trPr>
          <w:trHeight w:val="20"/>
        </w:trPr>
        <w:tc>
          <w:tcPr>
            <w:tcW w:w="759" w:type="dxa"/>
            <w:vMerge w:val="restart"/>
            <w:tcBorders>
              <w:top w:val="nil"/>
              <w:left w:val="single" w:sz="4" w:space="0" w:color="auto"/>
              <w:bottom w:val="single" w:sz="4" w:space="0" w:color="000000"/>
              <w:right w:val="single" w:sz="4" w:space="0" w:color="auto"/>
            </w:tcBorders>
            <w:shd w:val="clear" w:color="auto" w:fill="auto"/>
            <w:vAlign w:val="center"/>
            <w:hideMark/>
          </w:tcPr>
          <w:p w14:paraId="56E2E5B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62600/CR03</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14:paraId="5994232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20" w:type="dxa"/>
            <w:vMerge w:val="restart"/>
            <w:tcBorders>
              <w:top w:val="nil"/>
              <w:left w:val="single" w:sz="4" w:space="0" w:color="auto"/>
              <w:bottom w:val="single" w:sz="4" w:space="0" w:color="000000"/>
              <w:right w:val="single" w:sz="4" w:space="0" w:color="auto"/>
            </w:tcBorders>
            <w:shd w:val="clear" w:color="auto" w:fill="auto"/>
            <w:vAlign w:val="center"/>
            <w:hideMark/>
          </w:tcPr>
          <w:p w14:paraId="23148DE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624" w:type="dxa"/>
            <w:vMerge w:val="restart"/>
            <w:tcBorders>
              <w:top w:val="nil"/>
              <w:left w:val="single" w:sz="4" w:space="0" w:color="auto"/>
              <w:bottom w:val="single" w:sz="4" w:space="0" w:color="000000"/>
              <w:right w:val="single" w:sz="4" w:space="0" w:color="auto"/>
            </w:tcBorders>
            <w:shd w:val="clear" w:color="auto" w:fill="auto"/>
            <w:vAlign w:val="center"/>
            <w:hideMark/>
          </w:tcPr>
          <w:p w14:paraId="66953D8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56" w:type="dxa"/>
            <w:vMerge w:val="restart"/>
            <w:tcBorders>
              <w:top w:val="nil"/>
              <w:left w:val="single" w:sz="4" w:space="0" w:color="auto"/>
              <w:bottom w:val="single" w:sz="4" w:space="0" w:color="000000"/>
              <w:right w:val="single" w:sz="4" w:space="0" w:color="auto"/>
            </w:tcBorders>
            <w:shd w:val="clear" w:color="auto" w:fill="auto"/>
            <w:vAlign w:val="center"/>
            <w:hideMark/>
          </w:tcPr>
          <w:p w14:paraId="0667012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26" w:type="dxa"/>
            <w:vMerge w:val="restart"/>
            <w:tcBorders>
              <w:top w:val="nil"/>
              <w:left w:val="single" w:sz="4" w:space="0" w:color="auto"/>
              <w:bottom w:val="single" w:sz="4" w:space="0" w:color="000000"/>
              <w:right w:val="single" w:sz="4" w:space="0" w:color="auto"/>
            </w:tcBorders>
            <w:shd w:val="clear" w:color="auto" w:fill="auto"/>
            <w:vAlign w:val="center"/>
            <w:hideMark/>
          </w:tcPr>
          <w:p w14:paraId="38A3C7C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113 035,000</w:t>
            </w:r>
          </w:p>
        </w:tc>
        <w:tc>
          <w:tcPr>
            <w:tcW w:w="5710" w:type="dxa"/>
            <w:gridSpan w:val="10"/>
            <w:tcBorders>
              <w:top w:val="single" w:sz="4" w:space="0" w:color="auto"/>
              <w:left w:val="nil"/>
              <w:bottom w:val="single" w:sz="4" w:space="0" w:color="auto"/>
              <w:right w:val="single" w:sz="4" w:space="0" w:color="000000"/>
            </w:tcBorders>
            <w:shd w:val="clear" w:color="auto" w:fill="auto"/>
            <w:vAlign w:val="center"/>
            <w:hideMark/>
          </w:tcPr>
          <w:p w14:paraId="7E32EC6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02A3716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73 863,000</w:t>
            </w:r>
          </w:p>
        </w:tc>
        <w:tc>
          <w:tcPr>
            <w:tcW w:w="688" w:type="dxa"/>
            <w:vMerge w:val="restart"/>
            <w:tcBorders>
              <w:top w:val="nil"/>
              <w:left w:val="single" w:sz="4" w:space="0" w:color="auto"/>
              <w:bottom w:val="single" w:sz="4" w:space="0" w:color="000000"/>
              <w:right w:val="single" w:sz="4" w:space="0" w:color="auto"/>
            </w:tcBorders>
            <w:shd w:val="clear" w:color="auto" w:fill="auto"/>
            <w:vAlign w:val="center"/>
            <w:hideMark/>
          </w:tcPr>
          <w:p w14:paraId="534325F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65,345%</w:t>
            </w:r>
          </w:p>
        </w:tc>
      </w:tr>
      <w:tr w:rsidR="006A7A9F" w:rsidRPr="006A7A9F" w14:paraId="744DB741" w14:textId="77777777" w:rsidTr="007D24EE">
        <w:trPr>
          <w:trHeight w:val="20"/>
        </w:trPr>
        <w:tc>
          <w:tcPr>
            <w:tcW w:w="759" w:type="dxa"/>
            <w:vMerge/>
            <w:tcBorders>
              <w:top w:val="nil"/>
              <w:left w:val="single" w:sz="4" w:space="0" w:color="auto"/>
              <w:bottom w:val="single" w:sz="4" w:space="0" w:color="000000"/>
              <w:right w:val="single" w:sz="4" w:space="0" w:color="auto"/>
            </w:tcBorders>
            <w:vAlign w:val="center"/>
            <w:hideMark/>
          </w:tcPr>
          <w:p w14:paraId="6649B09D" w14:textId="77777777" w:rsidR="006A7A9F" w:rsidRPr="006A7A9F" w:rsidRDefault="006A7A9F" w:rsidP="006A7A9F">
            <w:pPr>
              <w:rPr>
                <w:rFonts w:ascii="Arial" w:eastAsia="Times New Roman" w:hAnsi="Arial" w:cs="Arial"/>
                <w:color w:val="000000"/>
                <w:sz w:val="14"/>
                <w:szCs w:val="14"/>
                <w:lang w:val="cs-CZ" w:eastAsia="cs-CZ"/>
              </w:rPr>
            </w:pPr>
          </w:p>
        </w:tc>
        <w:tc>
          <w:tcPr>
            <w:tcW w:w="2766" w:type="dxa"/>
            <w:vMerge/>
            <w:tcBorders>
              <w:top w:val="nil"/>
              <w:left w:val="single" w:sz="4" w:space="0" w:color="auto"/>
              <w:bottom w:val="single" w:sz="4" w:space="0" w:color="000000"/>
              <w:right w:val="single" w:sz="4" w:space="0" w:color="auto"/>
            </w:tcBorders>
            <w:vAlign w:val="center"/>
            <w:hideMark/>
          </w:tcPr>
          <w:p w14:paraId="34096541" w14:textId="77777777" w:rsidR="006A7A9F" w:rsidRPr="006A7A9F" w:rsidRDefault="006A7A9F" w:rsidP="006A7A9F">
            <w:pPr>
              <w:rPr>
                <w:rFonts w:ascii="Arial" w:eastAsia="Times New Roman" w:hAnsi="Arial" w:cs="Arial"/>
                <w:color w:val="000000"/>
                <w:sz w:val="14"/>
                <w:szCs w:val="14"/>
                <w:lang w:val="cs-CZ" w:eastAsia="cs-CZ"/>
              </w:rPr>
            </w:pPr>
          </w:p>
        </w:tc>
        <w:tc>
          <w:tcPr>
            <w:tcW w:w="1020" w:type="dxa"/>
            <w:vMerge/>
            <w:tcBorders>
              <w:top w:val="nil"/>
              <w:left w:val="single" w:sz="4" w:space="0" w:color="auto"/>
              <w:bottom w:val="single" w:sz="4" w:space="0" w:color="000000"/>
              <w:right w:val="single" w:sz="4" w:space="0" w:color="auto"/>
            </w:tcBorders>
            <w:vAlign w:val="center"/>
            <w:hideMark/>
          </w:tcPr>
          <w:p w14:paraId="677E4FDE" w14:textId="77777777" w:rsidR="006A7A9F" w:rsidRPr="006A7A9F" w:rsidRDefault="006A7A9F" w:rsidP="006A7A9F">
            <w:pPr>
              <w:rPr>
                <w:rFonts w:ascii="Arial" w:eastAsia="Times New Roman" w:hAnsi="Arial" w:cs="Arial"/>
                <w:color w:val="000000"/>
                <w:sz w:val="14"/>
                <w:szCs w:val="14"/>
                <w:lang w:val="cs-CZ" w:eastAsia="cs-CZ"/>
              </w:rPr>
            </w:pPr>
          </w:p>
        </w:tc>
        <w:tc>
          <w:tcPr>
            <w:tcW w:w="2624" w:type="dxa"/>
            <w:vMerge/>
            <w:tcBorders>
              <w:top w:val="nil"/>
              <w:left w:val="single" w:sz="4" w:space="0" w:color="auto"/>
              <w:bottom w:val="single" w:sz="4" w:space="0" w:color="000000"/>
              <w:right w:val="single" w:sz="4" w:space="0" w:color="auto"/>
            </w:tcBorders>
            <w:vAlign w:val="center"/>
            <w:hideMark/>
          </w:tcPr>
          <w:p w14:paraId="73CAEF02" w14:textId="77777777" w:rsidR="006A7A9F" w:rsidRPr="006A7A9F" w:rsidRDefault="006A7A9F" w:rsidP="006A7A9F">
            <w:pPr>
              <w:rPr>
                <w:rFonts w:ascii="Arial" w:eastAsia="Times New Roman" w:hAnsi="Arial" w:cs="Arial"/>
                <w:color w:val="000000"/>
                <w:sz w:val="14"/>
                <w:szCs w:val="14"/>
                <w:lang w:val="cs-CZ" w:eastAsia="cs-CZ"/>
              </w:rPr>
            </w:pPr>
          </w:p>
        </w:tc>
        <w:tc>
          <w:tcPr>
            <w:tcW w:w="756" w:type="dxa"/>
            <w:vMerge/>
            <w:tcBorders>
              <w:top w:val="nil"/>
              <w:left w:val="single" w:sz="4" w:space="0" w:color="auto"/>
              <w:bottom w:val="single" w:sz="4" w:space="0" w:color="000000"/>
              <w:right w:val="single" w:sz="4" w:space="0" w:color="auto"/>
            </w:tcBorders>
            <w:vAlign w:val="center"/>
            <w:hideMark/>
          </w:tcPr>
          <w:p w14:paraId="4B400721" w14:textId="77777777" w:rsidR="006A7A9F" w:rsidRPr="006A7A9F" w:rsidRDefault="006A7A9F" w:rsidP="006A7A9F">
            <w:pPr>
              <w:rPr>
                <w:rFonts w:ascii="Arial" w:eastAsia="Times New Roman" w:hAnsi="Arial" w:cs="Arial"/>
                <w:color w:val="000000"/>
                <w:sz w:val="14"/>
                <w:szCs w:val="14"/>
                <w:lang w:val="cs-CZ" w:eastAsia="cs-CZ"/>
              </w:rPr>
            </w:pPr>
          </w:p>
        </w:tc>
        <w:tc>
          <w:tcPr>
            <w:tcW w:w="726" w:type="dxa"/>
            <w:vMerge/>
            <w:tcBorders>
              <w:top w:val="nil"/>
              <w:left w:val="single" w:sz="4" w:space="0" w:color="auto"/>
              <w:bottom w:val="single" w:sz="4" w:space="0" w:color="000000"/>
              <w:right w:val="single" w:sz="4" w:space="0" w:color="auto"/>
            </w:tcBorders>
            <w:vAlign w:val="center"/>
            <w:hideMark/>
          </w:tcPr>
          <w:p w14:paraId="725E49F0" w14:textId="77777777" w:rsidR="006A7A9F" w:rsidRPr="006A7A9F" w:rsidRDefault="006A7A9F" w:rsidP="006A7A9F">
            <w:pPr>
              <w:rPr>
                <w:rFonts w:ascii="Arial" w:eastAsia="Times New Roman" w:hAnsi="Arial" w:cs="Arial"/>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26476AE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1CDE184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0F566A9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52" w:type="dxa"/>
            <w:tcBorders>
              <w:top w:val="nil"/>
              <w:left w:val="nil"/>
              <w:bottom w:val="single" w:sz="4" w:space="0" w:color="auto"/>
              <w:right w:val="single" w:sz="4" w:space="0" w:color="auto"/>
            </w:tcBorders>
            <w:shd w:val="clear" w:color="auto" w:fill="auto"/>
            <w:vAlign w:val="center"/>
            <w:hideMark/>
          </w:tcPr>
          <w:p w14:paraId="01449E1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625,000</w:t>
            </w:r>
          </w:p>
        </w:tc>
        <w:tc>
          <w:tcPr>
            <w:tcW w:w="660" w:type="dxa"/>
            <w:tcBorders>
              <w:top w:val="nil"/>
              <w:left w:val="nil"/>
              <w:bottom w:val="single" w:sz="4" w:space="0" w:color="auto"/>
              <w:right w:val="single" w:sz="4" w:space="0" w:color="auto"/>
            </w:tcBorders>
            <w:shd w:val="clear" w:color="auto" w:fill="auto"/>
            <w:vAlign w:val="center"/>
            <w:hideMark/>
          </w:tcPr>
          <w:p w14:paraId="4071B3C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18 316,000</w:t>
            </w:r>
          </w:p>
        </w:tc>
        <w:tc>
          <w:tcPr>
            <w:tcW w:w="690" w:type="dxa"/>
            <w:tcBorders>
              <w:top w:val="nil"/>
              <w:left w:val="nil"/>
              <w:bottom w:val="single" w:sz="4" w:space="0" w:color="auto"/>
              <w:right w:val="single" w:sz="4" w:space="0" w:color="auto"/>
            </w:tcBorders>
            <w:shd w:val="clear" w:color="auto" w:fill="auto"/>
            <w:vAlign w:val="center"/>
            <w:hideMark/>
          </w:tcPr>
          <w:p w14:paraId="650A571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28 312,000</w:t>
            </w:r>
          </w:p>
        </w:tc>
        <w:tc>
          <w:tcPr>
            <w:tcW w:w="543" w:type="dxa"/>
            <w:tcBorders>
              <w:top w:val="nil"/>
              <w:left w:val="nil"/>
              <w:bottom w:val="single" w:sz="4" w:space="0" w:color="auto"/>
              <w:right w:val="single" w:sz="4" w:space="0" w:color="auto"/>
            </w:tcBorders>
            <w:shd w:val="clear" w:color="auto" w:fill="auto"/>
            <w:vAlign w:val="center"/>
            <w:hideMark/>
          </w:tcPr>
          <w:p w14:paraId="58BD1B4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69CD270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7E5FDB8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3E76115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528489D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47 253,000</w:t>
            </w:r>
          </w:p>
        </w:tc>
        <w:tc>
          <w:tcPr>
            <w:tcW w:w="688" w:type="dxa"/>
            <w:vMerge/>
            <w:tcBorders>
              <w:top w:val="nil"/>
              <w:left w:val="single" w:sz="4" w:space="0" w:color="auto"/>
              <w:bottom w:val="single" w:sz="4" w:space="0" w:color="000000"/>
              <w:right w:val="single" w:sz="4" w:space="0" w:color="auto"/>
            </w:tcBorders>
            <w:vAlign w:val="center"/>
            <w:hideMark/>
          </w:tcPr>
          <w:p w14:paraId="41A86594"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6997D13C" w14:textId="77777777" w:rsidTr="007D24EE">
        <w:trPr>
          <w:trHeight w:val="20"/>
        </w:trPr>
        <w:tc>
          <w:tcPr>
            <w:tcW w:w="759" w:type="dxa"/>
            <w:vMerge/>
            <w:tcBorders>
              <w:top w:val="nil"/>
              <w:left w:val="single" w:sz="4" w:space="0" w:color="auto"/>
              <w:bottom w:val="single" w:sz="4" w:space="0" w:color="000000"/>
              <w:right w:val="single" w:sz="4" w:space="0" w:color="auto"/>
            </w:tcBorders>
            <w:vAlign w:val="center"/>
            <w:hideMark/>
          </w:tcPr>
          <w:p w14:paraId="647C264E" w14:textId="77777777" w:rsidR="006A7A9F" w:rsidRPr="006A7A9F" w:rsidRDefault="006A7A9F" w:rsidP="006A7A9F">
            <w:pPr>
              <w:rPr>
                <w:rFonts w:ascii="Arial" w:eastAsia="Times New Roman" w:hAnsi="Arial" w:cs="Arial"/>
                <w:color w:val="000000"/>
                <w:sz w:val="14"/>
                <w:szCs w:val="14"/>
                <w:lang w:val="cs-CZ" w:eastAsia="cs-CZ"/>
              </w:rPr>
            </w:pPr>
          </w:p>
        </w:tc>
        <w:tc>
          <w:tcPr>
            <w:tcW w:w="2766" w:type="dxa"/>
            <w:vMerge/>
            <w:tcBorders>
              <w:top w:val="nil"/>
              <w:left w:val="single" w:sz="4" w:space="0" w:color="auto"/>
              <w:bottom w:val="single" w:sz="4" w:space="0" w:color="000000"/>
              <w:right w:val="single" w:sz="4" w:space="0" w:color="auto"/>
            </w:tcBorders>
            <w:vAlign w:val="center"/>
            <w:hideMark/>
          </w:tcPr>
          <w:p w14:paraId="09D67B8B" w14:textId="77777777" w:rsidR="006A7A9F" w:rsidRPr="006A7A9F" w:rsidRDefault="006A7A9F" w:rsidP="006A7A9F">
            <w:pPr>
              <w:rPr>
                <w:rFonts w:ascii="Arial" w:eastAsia="Times New Roman" w:hAnsi="Arial" w:cs="Arial"/>
                <w:color w:val="000000"/>
                <w:sz w:val="14"/>
                <w:szCs w:val="14"/>
                <w:lang w:val="cs-CZ" w:eastAsia="cs-CZ"/>
              </w:rPr>
            </w:pPr>
          </w:p>
        </w:tc>
        <w:tc>
          <w:tcPr>
            <w:tcW w:w="1020" w:type="dxa"/>
            <w:vMerge/>
            <w:tcBorders>
              <w:top w:val="nil"/>
              <w:left w:val="single" w:sz="4" w:space="0" w:color="auto"/>
              <w:bottom w:val="single" w:sz="4" w:space="0" w:color="000000"/>
              <w:right w:val="single" w:sz="4" w:space="0" w:color="auto"/>
            </w:tcBorders>
            <w:vAlign w:val="center"/>
            <w:hideMark/>
          </w:tcPr>
          <w:p w14:paraId="044E4AFB" w14:textId="77777777" w:rsidR="006A7A9F" w:rsidRPr="006A7A9F" w:rsidRDefault="006A7A9F" w:rsidP="006A7A9F">
            <w:pPr>
              <w:rPr>
                <w:rFonts w:ascii="Arial" w:eastAsia="Times New Roman" w:hAnsi="Arial" w:cs="Arial"/>
                <w:color w:val="000000"/>
                <w:sz w:val="14"/>
                <w:szCs w:val="14"/>
                <w:lang w:val="cs-CZ" w:eastAsia="cs-CZ"/>
              </w:rPr>
            </w:pPr>
          </w:p>
        </w:tc>
        <w:tc>
          <w:tcPr>
            <w:tcW w:w="2624" w:type="dxa"/>
            <w:vMerge/>
            <w:tcBorders>
              <w:top w:val="nil"/>
              <w:left w:val="single" w:sz="4" w:space="0" w:color="auto"/>
              <w:bottom w:val="single" w:sz="4" w:space="0" w:color="000000"/>
              <w:right w:val="single" w:sz="4" w:space="0" w:color="auto"/>
            </w:tcBorders>
            <w:vAlign w:val="center"/>
            <w:hideMark/>
          </w:tcPr>
          <w:p w14:paraId="4A9F3D99" w14:textId="77777777" w:rsidR="006A7A9F" w:rsidRPr="006A7A9F" w:rsidRDefault="006A7A9F" w:rsidP="006A7A9F">
            <w:pPr>
              <w:rPr>
                <w:rFonts w:ascii="Arial" w:eastAsia="Times New Roman" w:hAnsi="Arial" w:cs="Arial"/>
                <w:color w:val="000000"/>
                <w:sz w:val="14"/>
                <w:szCs w:val="14"/>
                <w:lang w:val="cs-CZ" w:eastAsia="cs-CZ"/>
              </w:rPr>
            </w:pPr>
          </w:p>
        </w:tc>
        <w:tc>
          <w:tcPr>
            <w:tcW w:w="756" w:type="dxa"/>
            <w:vMerge/>
            <w:tcBorders>
              <w:top w:val="nil"/>
              <w:left w:val="single" w:sz="4" w:space="0" w:color="auto"/>
              <w:bottom w:val="single" w:sz="4" w:space="0" w:color="000000"/>
              <w:right w:val="single" w:sz="4" w:space="0" w:color="auto"/>
            </w:tcBorders>
            <w:vAlign w:val="center"/>
            <w:hideMark/>
          </w:tcPr>
          <w:p w14:paraId="5A0AFC2F" w14:textId="77777777" w:rsidR="006A7A9F" w:rsidRPr="006A7A9F" w:rsidRDefault="006A7A9F" w:rsidP="006A7A9F">
            <w:pPr>
              <w:rPr>
                <w:rFonts w:ascii="Arial" w:eastAsia="Times New Roman" w:hAnsi="Arial" w:cs="Arial"/>
                <w:color w:val="000000"/>
                <w:sz w:val="14"/>
                <w:szCs w:val="14"/>
                <w:lang w:val="cs-CZ" w:eastAsia="cs-CZ"/>
              </w:rPr>
            </w:pPr>
          </w:p>
        </w:tc>
        <w:tc>
          <w:tcPr>
            <w:tcW w:w="726" w:type="dxa"/>
            <w:vMerge/>
            <w:tcBorders>
              <w:top w:val="nil"/>
              <w:left w:val="single" w:sz="4" w:space="0" w:color="auto"/>
              <w:bottom w:val="single" w:sz="4" w:space="0" w:color="000000"/>
              <w:right w:val="single" w:sz="4" w:space="0" w:color="auto"/>
            </w:tcBorders>
            <w:vAlign w:val="center"/>
            <w:hideMark/>
          </w:tcPr>
          <w:p w14:paraId="72797C99" w14:textId="77777777" w:rsidR="006A7A9F" w:rsidRPr="006A7A9F" w:rsidRDefault="006A7A9F" w:rsidP="006A7A9F">
            <w:pPr>
              <w:rPr>
                <w:rFonts w:ascii="Arial" w:eastAsia="Times New Roman" w:hAnsi="Arial" w:cs="Arial"/>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39ADFE8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63097DB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7E27DF8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52" w:type="dxa"/>
            <w:tcBorders>
              <w:top w:val="nil"/>
              <w:left w:val="nil"/>
              <w:bottom w:val="single" w:sz="4" w:space="0" w:color="auto"/>
              <w:right w:val="single" w:sz="4" w:space="0" w:color="auto"/>
            </w:tcBorders>
            <w:shd w:val="clear" w:color="auto" w:fill="auto"/>
            <w:vAlign w:val="center"/>
            <w:hideMark/>
          </w:tcPr>
          <w:p w14:paraId="5AB7B51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619,000</w:t>
            </w:r>
          </w:p>
        </w:tc>
        <w:tc>
          <w:tcPr>
            <w:tcW w:w="660" w:type="dxa"/>
            <w:tcBorders>
              <w:top w:val="nil"/>
              <w:left w:val="nil"/>
              <w:bottom w:val="single" w:sz="4" w:space="0" w:color="auto"/>
              <w:right w:val="single" w:sz="4" w:space="0" w:color="auto"/>
            </w:tcBorders>
            <w:shd w:val="clear" w:color="auto" w:fill="auto"/>
            <w:vAlign w:val="center"/>
            <w:hideMark/>
          </w:tcPr>
          <w:p w14:paraId="54AABB8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9 015,000</w:t>
            </w:r>
          </w:p>
        </w:tc>
        <w:tc>
          <w:tcPr>
            <w:tcW w:w="690" w:type="dxa"/>
            <w:tcBorders>
              <w:top w:val="nil"/>
              <w:left w:val="nil"/>
              <w:bottom w:val="single" w:sz="4" w:space="0" w:color="auto"/>
              <w:right w:val="single" w:sz="4" w:space="0" w:color="auto"/>
            </w:tcBorders>
            <w:shd w:val="clear" w:color="auto" w:fill="auto"/>
            <w:vAlign w:val="center"/>
            <w:hideMark/>
          </w:tcPr>
          <w:p w14:paraId="34E8D5C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16 976,000</w:t>
            </w:r>
          </w:p>
        </w:tc>
        <w:tc>
          <w:tcPr>
            <w:tcW w:w="543" w:type="dxa"/>
            <w:tcBorders>
              <w:top w:val="nil"/>
              <w:left w:val="nil"/>
              <w:bottom w:val="single" w:sz="4" w:space="0" w:color="auto"/>
              <w:right w:val="single" w:sz="4" w:space="0" w:color="auto"/>
            </w:tcBorders>
            <w:shd w:val="clear" w:color="auto" w:fill="auto"/>
            <w:vAlign w:val="center"/>
            <w:hideMark/>
          </w:tcPr>
          <w:p w14:paraId="635EF64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4D1C109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48B4325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43FB044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0FDFC9C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26 610,000</w:t>
            </w:r>
          </w:p>
        </w:tc>
        <w:tc>
          <w:tcPr>
            <w:tcW w:w="688" w:type="dxa"/>
            <w:vMerge/>
            <w:tcBorders>
              <w:top w:val="nil"/>
              <w:left w:val="single" w:sz="4" w:space="0" w:color="auto"/>
              <w:bottom w:val="single" w:sz="4" w:space="0" w:color="000000"/>
              <w:right w:val="single" w:sz="4" w:space="0" w:color="auto"/>
            </w:tcBorders>
            <w:vAlign w:val="center"/>
            <w:hideMark/>
          </w:tcPr>
          <w:p w14:paraId="174C6A54"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3B1A0A9F" w14:textId="77777777" w:rsidTr="007D24EE">
        <w:trPr>
          <w:trHeight w:val="20"/>
        </w:trPr>
        <w:tc>
          <w:tcPr>
            <w:tcW w:w="759" w:type="dxa"/>
            <w:vMerge w:val="restart"/>
            <w:tcBorders>
              <w:top w:val="nil"/>
              <w:left w:val="single" w:sz="4" w:space="0" w:color="auto"/>
              <w:bottom w:val="single" w:sz="4" w:space="0" w:color="000000"/>
              <w:right w:val="single" w:sz="4" w:space="0" w:color="auto"/>
            </w:tcBorders>
            <w:shd w:val="clear" w:color="auto" w:fill="auto"/>
            <w:vAlign w:val="center"/>
            <w:hideMark/>
          </w:tcPr>
          <w:p w14:paraId="0042D7E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62600/CR03</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14:paraId="1F6131A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20" w:type="dxa"/>
            <w:vMerge w:val="restart"/>
            <w:tcBorders>
              <w:top w:val="nil"/>
              <w:left w:val="single" w:sz="4" w:space="0" w:color="auto"/>
              <w:bottom w:val="single" w:sz="4" w:space="0" w:color="000000"/>
              <w:right w:val="single" w:sz="4" w:space="0" w:color="auto"/>
            </w:tcBorders>
            <w:shd w:val="clear" w:color="auto" w:fill="auto"/>
            <w:vAlign w:val="center"/>
            <w:hideMark/>
          </w:tcPr>
          <w:p w14:paraId="6EBA95C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Více rozvinuté regiony</w:t>
            </w:r>
          </w:p>
        </w:tc>
        <w:tc>
          <w:tcPr>
            <w:tcW w:w="2624" w:type="dxa"/>
            <w:vMerge w:val="restart"/>
            <w:tcBorders>
              <w:top w:val="nil"/>
              <w:left w:val="single" w:sz="4" w:space="0" w:color="auto"/>
              <w:bottom w:val="single" w:sz="4" w:space="0" w:color="000000"/>
              <w:right w:val="single" w:sz="4" w:space="0" w:color="auto"/>
            </w:tcBorders>
            <w:shd w:val="clear" w:color="auto" w:fill="auto"/>
            <w:vAlign w:val="center"/>
            <w:hideMark/>
          </w:tcPr>
          <w:p w14:paraId="070FFD4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56" w:type="dxa"/>
            <w:vMerge w:val="restart"/>
            <w:tcBorders>
              <w:top w:val="nil"/>
              <w:left w:val="single" w:sz="4" w:space="0" w:color="auto"/>
              <w:bottom w:val="single" w:sz="4" w:space="0" w:color="000000"/>
              <w:right w:val="single" w:sz="4" w:space="0" w:color="auto"/>
            </w:tcBorders>
            <w:shd w:val="clear" w:color="auto" w:fill="auto"/>
            <w:vAlign w:val="center"/>
            <w:hideMark/>
          </w:tcPr>
          <w:p w14:paraId="0B7489D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26" w:type="dxa"/>
            <w:vMerge w:val="restart"/>
            <w:tcBorders>
              <w:top w:val="nil"/>
              <w:left w:val="single" w:sz="4" w:space="0" w:color="auto"/>
              <w:bottom w:val="single" w:sz="4" w:space="0" w:color="000000"/>
              <w:right w:val="single" w:sz="4" w:space="0" w:color="auto"/>
            </w:tcBorders>
            <w:shd w:val="clear" w:color="auto" w:fill="auto"/>
            <w:vAlign w:val="center"/>
            <w:hideMark/>
          </w:tcPr>
          <w:p w14:paraId="10D929B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nil"/>
              <w:right w:val="nil"/>
            </w:tcBorders>
            <w:shd w:val="clear" w:color="auto" w:fill="auto"/>
            <w:vAlign w:val="center"/>
            <w:hideMark/>
          </w:tcPr>
          <w:p w14:paraId="762324A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4" w:type="dxa"/>
            <w:tcBorders>
              <w:top w:val="nil"/>
              <w:left w:val="nil"/>
              <w:bottom w:val="nil"/>
              <w:right w:val="nil"/>
            </w:tcBorders>
            <w:shd w:val="clear" w:color="auto" w:fill="auto"/>
            <w:vAlign w:val="center"/>
            <w:hideMark/>
          </w:tcPr>
          <w:p w14:paraId="3D430C1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4" w:type="dxa"/>
            <w:tcBorders>
              <w:top w:val="nil"/>
              <w:left w:val="nil"/>
              <w:bottom w:val="nil"/>
              <w:right w:val="nil"/>
            </w:tcBorders>
            <w:shd w:val="clear" w:color="auto" w:fill="auto"/>
            <w:vAlign w:val="center"/>
            <w:hideMark/>
          </w:tcPr>
          <w:p w14:paraId="5032AE8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52" w:type="dxa"/>
            <w:tcBorders>
              <w:top w:val="nil"/>
              <w:left w:val="nil"/>
              <w:bottom w:val="nil"/>
              <w:right w:val="nil"/>
            </w:tcBorders>
            <w:shd w:val="clear" w:color="auto" w:fill="auto"/>
            <w:vAlign w:val="center"/>
            <w:hideMark/>
          </w:tcPr>
          <w:p w14:paraId="435E86C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660" w:type="dxa"/>
            <w:tcBorders>
              <w:top w:val="nil"/>
              <w:left w:val="nil"/>
              <w:bottom w:val="nil"/>
              <w:right w:val="nil"/>
            </w:tcBorders>
            <w:shd w:val="clear" w:color="auto" w:fill="auto"/>
            <w:vAlign w:val="center"/>
            <w:hideMark/>
          </w:tcPr>
          <w:p w14:paraId="1C644A7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690" w:type="dxa"/>
            <w:tcBorders>
              <w:top w:val="nil"/>
              <w:left w:val="nil"/>
              <w:bottom w:val="nil"/>
              <w:right w:val="nil"/>
            </w:tcBorders>
            <w:shd w:val="clear" w:color="auto" w:fill="auto"/>
            <w:vAlign w:val="center"/>
            <w:hideMark/>
          </w:tcPr>
          <w:p w14:paraId="4E88B0F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nil"/>
              <w:right w:val="nil"/>
            </w:tcBorders>
            <w:shd w:val="clear" w:color="auto" w:fill="auto"/>
            <w:vAlign w:val="center"/>
            <w:hideMark/>
          </w:tcPr>
          <w:p w14:paraId="6CF9940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nil"/>
              <w:right w:val="nil"/>
            </w:tcBorders>
            <w:shd w:val="clear" w:color="auto" w:fill="auto"/>
            <w:vAlign w:val="center"/>
            <w:hideMark/>
          </w:tcPr>
          <w:p w14:paraId="3DB08F0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nil"/>
              <w:right w:val="nil"/>
            </w:tcBorders>
            <w:shd w:val="clear" w:color="auto" w:fill="auto"/>
            <w:vAlign w:val="center"/>
            <w:hideMark/>
          </w:tcPr>
          <w:p w14:paraId="396C12A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nil"/>
              <w:right w:val="single" w:sz="4" w:space="0" w:color="auto"/>
            </w:tcBorders>
            <w:shd w:val="clear" w:color="auto" w:fill="auto"/>
            <w:vAlign w:val="center"/>
            <w:hideMark/>
          </w:tcPr>
          <w:p w14:paraId="0213737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3F41994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88" w:type="dxa"/>
            <w:vMerge w:val="restart"/>
            <w:tcBorders>
              <w:top w:val="nil"/>
              <w:left w:val="single" w:sz="4" w:space="0" w:color="auto"/>
              <w:bottom w:val="single" w:sz="4" w:space="0" w:color="000000"/>
              <w:right w:val="single" w:sz="4" w:space="0" w:color="auto"/>
            </w:tcBorders>
            <w:shd w:val="clear" w:color="auto" w:fill="auto"/>
            <w:vAlign w:val="center"/>
            <w:hideMark/>
          </w:tcPr>
          <w:p w14:paraId="52A2656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NR</w:t>
            </w:r>
          </w:p>
        </w:tc>
      </w:tr>
      <w:tr w:rsidR="006A7A9F" w:rsidRPr="006A7A9F" w14:paraId="7EB99C89" w14:textId="77777777" w:rsidTr="007D24EE">
        <w:trPr>
          <w:trHeight w:val="20"/>
        </w:trPr>
        <w:tc>
          <w:tcPr>
            <w:tcW w:w="759" w:type="dxa"/>
            <w:vMerge/>
            <w:tcBorders>
              <w:top w:val="nil"/>
              <w:left w:val="single" w:sz="4" w:space="0" w:color="auto"/>
              <w:bottom w:val="single" w:sz="4" w:space="0" w:color="000000"/>
              <w:right w:val="single" w:sz="4" w:space="0" w:color="auto"/>
            </w:tcBorders>
            <w:vAlign w:val="center"/>
            <w:hideMark/>
          </w:tcPr>
          <w:p w14:paraId="7116518C" w14:textId="77777777" w:rsidR="006A7A9F" w:rsidRPr="006A7A9F" w:rsidRDefault="006A7A9F" w:rsidP="006A7A9F">
            <w:pPr>
              <w:rPr>
                <w:rFonts w:ascii="Arial" w:eastAsia="Times New Roman" w:hAnsi="Arial" w:cs="Arial"/>
                <w:color w:val="000000"/>
                <w:sz w:val="14"/>
                <w:szCs w:val="14"/>
                <w:lang w:val="cs-CZ" w:eastAsia="cs-CZ"/>
              </w:rPr>
            </w:pPr>
          </w:p>
        </w:tc>
        <w:tc>
          <w:tcPr>
            <w:tcW w:w="2766" w:type="dxa"/>
            <w:vMerge/>
            <w:tcBorders>
              <w:top w:val="nil"/>
              <w:left w:val="single" w:sz="4" w:space="0" w:color="auto"/>
              <w:bottom w:val="single" w:sz="4" w:space="0" w:color="000000"/>
              <w:right w:val="single" w:sz="4" w:space="0" w:color="auto"/>
            </w:tcBorders>
            <w:vAlign w:val="center"/>
            <w:hideMark/>
          </w:tcPr>
          <w:p w14:paraId="00435542" w14:textId="77777777" w:rsidR="006A7A9F" w:rsidRPr="006A7A9F" w:rsidRDefault="006A7A9F" w:rsidP="006A7A9F">
            <w:pPr>
              <w:rPr>
                <w:rFonts w:ascii="Arial" w:eastAsia="Times New Roman" w:hAnsi="Arial" w:cs="Arial"/>
                <w:color w:val="000000"/>
                <w:sz w:val="14"/>
                <w:szCs w:val="14"/>
                <w:lang w:val="cs-CZ" w:eastAsia="cs-CZ"/>
              </w:rPr>
            </w:pPr>
          </w:p>
        </w:tc>
        <w:tc>
          <w:tcPr>
            <w:tcW w:w="1020" w:type="dxa"/>
            <w:vMerge/>
            <w:tcBorders>
              <w:top w:val="nil"/>
              <w:left w:val="single" w:sz="4" w:space="0" w:color="auto"/>
              <w:bottom w:val="single" w:sz="4" w:space="0" w:color="000000"/>
              <w:right w:val="single" w:sz="4" w:space="0" w:color="auto"/>
            </w:tcBorders>
            <w:vAlign w:val="center"/>
            <w:hideMark/>
          </w:tcPr>
          <w:p w14:paraId="322A7FF2" w14:textId="77777777" w:rsidR="006A7A9F" w:rsidRPr="006A7A9F" w:rsidRDefault="006A7A9F" w:rsidP="006A7A9F">
            <w:pPr>
              <w:rPr>
                <w:rFonts w:ascii="Arial" w:eastAsia="Times New Roman" w:hAnsi="Arial" w:cs="Arial"/>
                <w:color w:val="000000"/>
                <w:sz w:val="14"/>
                <w:szCs w:val="14"/>
                <w:lang w:val="cs-CZ" w:eastAsia="cs-CZ"/>
              </w:rPr>
            </w:pPr>
          </w:p>
        </w:tc>
        <w:tc>
          <w:tcPr>
            <w:tcW w:w="2624" w:type="dxa"/>
            <w:vMerge/>
            <w:tcBorders>
              <w:top w:val="nil"/>
              <w:left w:val="single" w:sz="4" w:space="0" w:color="auto"/>
              <w:bottom w:val="single" w:sz="4" w:space="0" w:color="000000"/>
              <w:right w:val="single" w:sz="4" w:space="0" w:color="auto"/>
            </w:tcBorders>
            <w:vAlign w:val="center"/>
            <w:hideMark/>
          </w:tcPr>
          <w:p w14:paraId="237B3EE2" w14:textId="77777777" w:rsidR="006A7A9F" w:rsidRPr="006A7A9F" w:rsidRDefault="006A7A9F" w:rsidP="006A7A9F">
            <w:pPr>
              <w:rPr>
                <w:rFonts w:ascii="Arial" w:eastAsia="Times New Roman" w:hAnsi="Arial" w:cs="Arial"/>
                <w:color w:val="000000"/>
                <w:sz w:val="14"/>
                <w:szCs w:val="14"/>
                <w:lang w:val="cs-CZ" w:eastAsia="cs-CZ"/>
              </w:rPr>
            </w:pPr>
          </w:p>
        </w:tc>
        <w:tc>
          <w:tcPr>
            <w:tcW w:w="756" w:type="dxa"/>
            <w:vMerge/>
            <w:tcBorders>
              <w:top w:val="nil"/>
              <w:left w:val="single" w:sz="4" w:space="0" w:color="auto"/>
              <w:bottom w:val="single" w:sz="4" w:space="0" w:color="000000"/>
              <w:right w:val="single" w:sz="4" w:space="0" w:color="auto"/>
            </w:tcBorders>
            <w:vAlign w:val="center"/>
            <w:hideMark/>
          </w:tcPr>
          <w:p w14:paraId="4A282F67" w14:textId="77777777" w:rsidR="006A7A9F" w:rsidRPr="006A7A9F" w:rsidRDefault="006A7A9F" w:rsidP="006A7A9F">
            <w:pPr>
              <w:rPr>
                <w:rFonts w:ascii="Arial" w:eastAsia="Times New Roman" w:hAnsi="Arial" w:cs="Arial"/>
                <w:color w:val="000000"/>
                <w:sz w:val="14"/>
                <w:szCs w:val="14"/>
                <w:lang w:val="cs-CZ" w:eastAsia="cs-CZ"/>
              </w:rPr>
            </w:pPr>
          </w:p>
        </w:tc>
        <w:tc>
          <w:tcPr>
            <w:tcW w:w="726" w:type="dxa"/>
            <w:vMerge/>
            <w:tcBorders>
              <w:top w:val="nil"/>
              <w:left w:val="single" w:sz="4" w:space="0" w:color="auto"/>
              <w:bottom w:val="single" w:sz="4" w:space="0" w:color="000000"/>
              <w:right w:val="single" w:sz="4" w:space="0" w:color="auto"/>
            </w:tcBorders>
            <w:vAlign w:val="center"/>
            <w:hideMark/>
          </w:tcPr>
          <w:p w14:paraId="02AF7151" w14:textId="77777777" w:rsidR="006A7A9F" w:rsidRPr="006A7A9F" w:rsidRDefault="006A7A9F" w:rsidP="006A7A9F">
            <w:pPr>
              <w:rPr>
                <w:rFonts w:ascii="Arial" w:eastAsia="Times New Roman" w:hAnsi="Arial" w:cs="Arial"/>
                <w:color w:val="000000"/>
                <w:sz w:val="14"/>
                <w:szCs w:val="14"/>
                <w:lang w:val="cs-CZ" w:eastAsia="cs-CZ"/>
              </w:rPr>
            </w:pPr>
          </w:p>
        </w:tc>
        <w:tc>
          <w:tcPr>
            <w:tcW w:w="544" w:type="dxa"/>
            <w:tcBorders>
              <w:top w:val="single" w:sz="4" w:space="0" w:color="auto"/>
              <w:left w:val="nil"/>
              <w:bottom w:val="single" w:sz="4" w:space="0" w:color="auto"/>
              <w:right w:val="single" w:sz="4" w:space="0" w:color="auto"/>
            </w:tcBorders>
            <w:shd w:val="clear" w:color="auto" w:fill="auto"/>
            <w:vAlign w:val="center"/>
            <w:hideMark/>
          </w:tcPr>
          <w:p w14:paraId="1F9ADD4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single" w:sz="4" w:space="0" w:color="auto"/>
              <w:left w:val="nil"/>
              <w:bottom w:val="single" w:sz="4" w:space="0" w:color="auto"/>
              <w:right w:val="single" w:sz="4" w:space="0" w:color="auto"/>
            </w:tcBorders>
            <w:shd w:val="clear" w:color="auto" w:fill="auto"/>
            <w:vAlign w:val="center"/>
            <w:hideMark/>
          </w:tcPr>
          <w:p w14:paraId="1328F1F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single" w:sz="4" w:space="0" w:color="auto"/>
              <w:left w:val="nil"/>
              <w:bottom w:val="single" w:sz="4" w:space="0" w:color="auto"/>
              <w:right w:val="single" w:sz="4" w:space="0" w:color="auto"/>
            </w:tcBorders>
            <w:shd w:val="clear" w:color="auto" w:fill="auto"/>
            <w:vAlign w:val="center"/>
            <w:hideMark/>
          </w:tcPr>
          <w:p w14:paraId="24D7B8D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52" w:type="dxa"/>
            <w:tcBorders>
              <w:top w:val="single" w:sz="4" w:space="0" w:color="auto"/>
              <w:left w:val="nil"/>
              <w:bottom w:val="single" w:sz="4" w:space="0" w:color="auto"/>
              <w:right w:val="single" w:sz="4" w:space="0" w:color="auto"/>
            </w:tcBorders>
            <w:shd w:val="clear" w:color="auto" w:fill="auto"/>
            <w:vAlign w:val="center"/>
            <w:hideMark/>
          </w:tcPr>
          <w:p w14:paraId="02DC0D9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4F01434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90" w:type="dxa"/>
            <w:tcBorders>
              <w:top w:val="single" w:sz="4" w:space="0" w:color="auto"/>
              <w:left w:val="nil"/>
              <w:bottom w:val="single" w:sz="4" w:space="0" w:color="auto"/>
              <w:right w:val="single" w:sz="4" w:space="0" w:color="auto"/>
            </w:tcBorders>
            <w:shd w:val="clear" w:color="auto" w:fill="auto"/>
            <w:vAlign w:val="center"/>
            <w:hideMark/>
          </w:tcPr>
          <w:p w14:paraId="7E7DC45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14:paraId="39E2497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14:paraId="392A6BC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14:paraId="2B754E3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14:paraId="4E46722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7F969B7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88" w:type="dxa"/>
            <w:vMerge/>
            <w:tcBorders>
              <w:top w:val="nil"/>
              <w:left w:val="single" w:sz="4" w:space="0" w:color="auto"/>
              <w:bottom w:val="single" w:sz="4" w:space="0" w:color="000000"/>
              <w:right w:val="single" w:sz="4" w:space="0" w:color="auto"/>
            </w:tcBorders>
            <w:vAlign w:val="center"/>
            <w:hideMark/>
          </w:tcPr>
          <w:p w14:paraId="4FD6CE6A"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67776E82" w14:textId="77777777" w:rsidTr="007D24EE">
        <w:trPr>
          <w:trHeight w:val="20"/>
        </w:trPr>
        <w:tc>
          <w:tcPr>
            <w:tcW w:w="759" w:type="dxa"/>
            <w:vMerge/>
            <w:tcBorders>
              <w:top w:val="nil"/>
              <w:left w:val="single" w:sz="4" w:space="0" w:color="auto"/>
              <w:bottom w:val="single" w:sz="4" w:space="0" w:color="000000"/>
              <w:right w:val="single" w:sz="4" w:space="0" w:color="auto"/>
            </w:tcBorders>
            <w:vAlign w:val="center"/>
            <w:hideMark/>
          </w:tcPr>
          <w:p w14:paraId="31B7206B" w14:textId="77777777" w:rsidR="006A7A9F" w:rsidRPr="006A7A9F" w:rsidRDefault="006A7A9F" w:rsidP="006A7A9F">
            <w:pPr>
              <w:rPr>
                <w:rFonts w:ascii="Arial" w:eastAsia="Times New Roman" w:hAnsi="Arial" w:cs="Arial"/>
                <w:color w:val="000000"/>
                <w:sz w:val="14"/>
                <w:szCs w:val="14"/>
                <w:lang w:val="cs-CZ" w:eastAsia="cs-CZ"/>
              </w:rPr>
            </w:pPr>
          </w:p>
        </w:tc>
        <w:tc>
          <w:tcPr>
            <w:tcW w:w="2766" w:type="dxa"/>
            <w:vMerge/>
            <w:tcBorders>
              <w:top w:val="nil"/>
              <w:left w:val="single" w:sz="4" w:space="0" w:color="auto"/>
              <w:bottom w:val="single" w:sz="4" w:space="0" w:color="000000"/>
              <w:right w:val="single" w:sz="4" w:space="0" w:color="auto"/>
            </w:tcBorders>
            <w:vAlign w:val="center"/>
            <w:hideMark/>
          </w:tcPr>
          <w:p w14:paraId="59636B08" w14:textId="77777777" w:rsidR="006A7A9F" w:rsidRPr="006A7A9F" w:rsidRDefault="006A7A9F" w:rsidP="006A7A9F">
            <w:pPr>
              <w:rPr>
                <w:rFonts w:ascii="Arial" w:eastAsia="Times New Roman" w:hAnsi="Arial" w:cs="Arial"/>
                <w:color w:val="000000"/>
                <w:sz w:val="14"/>
                <w:szCs w:val="14"/>
                <w:lang w:val="cs-CZ" w:eastAsia="cs-CZ"/>
              </w:rPr>
            </w:pPr>
          </w:p>
        </w:tc>
        <w:tc>
          <w:tcPr>
            <w:tcW w:w="1020" w:type="dxa"/>
            <w:vMerge/>
            <w:tcBorders>
              <w:top w:val="nil"/>
              <w:left w:val="single" w:sz="4" w:space="0" w:color="auto"/>
              <w:bottom w:val="single" w:sz="4" w:space="0" w:color="000000"/>
              <w:right w:val="single" w:sz="4" w:space="0" w:color="auto"/>
            </w:tcBorders>
            <w:vAlign w:val="center"/>
            <w:hideMark/>
          </w:tcPr>
          <w:p w14:paraId="560DFAA8" w14:textId="77777777" w:rsidR="006A7A9F" w:rsidRPr="006A7A9F" w:rsidRDefault="006A7A9F" w:rsidP="006A7A9F">
            <w:pPr>
              <w:rPr>
                <w:rFonts w:ascii="Arial" w:eastAsia="Times New Roman" w:hAnsi="Arial" w:cs="Arial"/>
                <w:color w:val="000000"/>
                <w:sz w:val="14"/>
                <w:szCs w:val="14"/>
                <w:lang w:val="cs-CZ" w:eastAsia="cs-CZ"/>
              </w:rPr>
            </w:pPr>
          </w:p>
        </w:tc>
        <w:tc>
          <w:tcPr>
            <w:tcW w:w="2624" w:type="dxa"/>
            <w:vMerge/>
            <w:tcBorders>
              <w:top w:val="nil"/>
              <w:left w:val="single" w:sz="4" w:space="0" w:color="auto"/>
              <w:bottom w:val="single" w:sz="4" w:space="0" w:color="000000"/>
              <w:right w:val="single" w:sz="4" w:space="0" w:color="auto"/>
            </w:tcBorders>
            <w:vAlign w:val="center"/>
            <w:hideMark/>
          </w:tcPr>
          <w:p w14:paraId="7155D652" w14:textId="77777777" w:rsidR="006A7A9F" w:rsidRPr="006A7A9F" w:rsidRDefault="006A7A9F" w:rsidP="006A7A9F">
            <w:pPr>
              <w:rPr>
                <w:rFonts w:ascii="Arial" w:eastAsia="Times New Roman" w:hAnsi="Arial" w:cs="Arial"/>
                <w:color w:val="000000"/>
                <w:sz w:val="14"/>
                <w:szCs w:val="14"/>
                <w:lang w:val="cs-CZ" w:eastAsia="cs-CZ"/>
              </w:rPr>
            </w:pPr>
          </w:p>
        </w:tc>
        <w:tc>
          <w:tcPr>
            <w:tcW w:w="756" w:type="dxa"/>
            <w:vMerge/>
            <w:tcBorders>
              <w:top w:val="nil"/>
              <w:left w:val="single" w:sz="4" w:space="0" w:color="auto"/>
              <w:bottom w:val="single" w:sz="4" w:space="0" w:color="000000"/>
              <w:right w:val="single" w:sz="4" w:space="0" w:color="auto"/>
            </w:tcBorders>
            <w:vAlign w:val="center"/>
            <w:hideMark/>
          </w:tcPr>
          <w:p w14:paraId="050BF916" w14:textId="77777777" w:rsidR="006A7A9F" w:rsidRPr="006A7A9F" w:rsidRDefault="006A7A9F" w:rsidP="006A7A9F">
            <w:pPr>
              <w:rPr>
                <w:rFonts w:ascii="Arial" w:eastAsia="Times New Roman" w:hAnsi="Arial" w:cs="Arial"/>
                <w:color w:val="000000"/>
                <w:sz w:val="14"/>
                <w:szCs w:val="14"/>
                <w:lang w:val="cs-CZ" w:eastAsia="cs-CZ"/>
              </w:rPr>
            </w:pPr>
          </w:p>
        </w:tc>
        <w:tc>
          <w:tcPr>
            <w:tcW w:w="726" w:type="dxa"/>
            <w:vMerge/>
            <w:tcBorders>
              <w:top w:val="nil"/>
              <w:left w:val="single" w:sz="4" w:space="0" w:color="auto"/>
              <w:bottom w:val="single" w:sz="4" w:space="0" w:color="000000"/>
              <w:right w:val="single" w:sz="4" w:space="0" w:color="auto"/>
            </w:tcBorders>
            <w:vAlign w:val="center"/>
            <w:hideMark/>
          </w:tcPr>
          <w:p w14:paraId="375F66AF" w14:textId="77777777" w:rsidR="006A7A9F" w:rsidRPr="006A7A9F" w:rsidRDefault="006A7A9F" w:rsidP="006A7A9F">
            <w:pPr>
              <w:rPr>
                <w:rFonts w:ascii="Arial" w:eastAsia="Times New Roman" w:hAnsi="Arial" w:cs="Arial"/>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61F3090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43AF7B3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3E169CA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52" w:type="dxa"/>
            <w:tcBorders>
              <w:top w:val="nil"/>
              <w:left w:val="nil"/>
              <w:bottom w:val="single" w:sz="4" w:space="0" w:color="auto"/>
              <w:right w:val="single" w:sz="4" w:space="0" w:color="auto"/>
            </w:tcBorders>
            <w:shd w:val="clear" w:color="auto" w:fill="auto"/>
            <w:vAlign w:val="center"/>
            <w:hideMark/>
          </w:tcPr>
          <w:p w14:paraId="0483E0C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60" w:type="dxa"/>
            <w:tcBorders>
              <w:top w:val="nil"/>
              <w:left w:val="nil"/>
              <w:bottom w:val="single" w:sz="4" w:space="0" w:color="auto"/>
              <w:right w:val="single" w:sz="4" w:space="0" w:color="auto"/>
            </w:tcBorders>
            <w:shd w:val="clear" w:color="auto" w:fill="auto"/>
            <w:vAlign w:val="center"/>
            <w:hideMark/>
          </w:tcPr>
          <w:p w14:paraId="5252D15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90" w:type="dxa"/>
            <w:tcBorders>
              <w:top w:val="nil"/>
              <w:left w:val="nil"/>
              <w:bottom w:val="single" w:sz="4" w:space="0" w:color="auto"/>
              <w:right w:val="single" w:sz="4" w:space="0" w:color="auto"/>
            </w:tcBorders>
            <w:shd w:val="clear" w:color="auto" w:fill="auto"/>
            <w:vAlign w:val="center"/>
            <w:hideMark/>
          </w:tcPr>
          <w:p w14:paraId="4E34CB8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3" w:type="dxa"/>
            <w:tcBorders>
              <w:top w:val="nil"/>
              <w:left w:val="nil"/>
              <w:bottom w:val="single" w:sz="4" w:space="0" w:color="auto"/>
              <w:right w:val="single" w:sz="4" w:space="0" w:color="auto"/>
            </w:tcBorders>
            <w:shd w:val="clear" w:color="auto" w:fill="auto"/>
            <w:vAlign w:val="center"/>
            <w:hideMark/>
          </w:tcPr>
          <w:p w14:paraId="5A71796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4E4B191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320E7BC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70AFFEE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2AD39E5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88" w:type="dxa"/>
            <w:vMerge/>
            <w:tcBorders>
              <w:top w:val="nil"/>
              <w:left w:val="single" w:sz="4" w:space="0" w:color="auto"/>
              <w:bottom w:val="single" w:sz="4" w:space="0" w:color="000000"/>
              <w:right w:val="single" w:sz="4" w:space="0" w:color="auto"/>
            </w:tcBorders>
            <w:vAlign w:val="center"/>
            <w:hideMark/>
          </w:tcPr>
          <w:p w14:paraId="136D6990"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2C6FA6D5" w14:textId="77777777" w:rsidTr="007D24EE">
        <w:trPr>
          <w:trHeight w:val="20"/>
        </w:trPr>
        <w:tc>
          <w:tcPr>
            <w:tcW w:w="759" w:type="dxa"/>
            <w:vMerge w:val="restart"/>
            <w:tcBorders>
              <w:top w:val="nil"/>
              <w:left w:val="single" w:sz="4" w:space="0" w:color="auto"/>
              <w:bottom w:val="single" w:sz="4" w:space="0" w:color="000000"/>
              <w:right w:val="single" w:sz="4" w:space="0" w:color="auto"/>
            </w:tcBorders>
            <w:shd w:val="clear" w:color="auto" w:fill="auto"/>
            <w:vAlign w:val="center"/>
            <w:hideMark/>
          </w:tcPr>
          <w:p w14:paraId="6BD7701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63000/CR07</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14:paraId="42F39CF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jejichž situace na trhu práce se 6 měsíců po ukončení jejich účasti zlepšila</w:t>
            </w:r>
          </w:p>
        </w:tc>
        <w:tc>
          <w:tcPr>
            <w:tcW w:w="1020" w:type="dxa"/>
            <w:vMerge w:val="restart"/>
            <w:tcBorders>
              <w:top w:val="nil"/>
              <w:left w:val="single" w:sz="4" w:space="0" w:color="auto"/>
              <w:bottom w:val="single" w:sz="4" w:space="0" w:color="000000"/>
              <w:right w:val="single" w:sz="4" w:space="0" w:color="auto"/>
            </w:tcBorders>
            <w:shd w:val="clear" w:color="auto" w:fill="auto"/>
            <w:vAlign w:val="center"/>
            <w:hideMark/>
          </w:tcPr>
          <w:p w14:paraId="16D9603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624" w:type="dxa"/>
            <w:vMerge w:val="restart"/>
            <w:tcBorders>
              <w:top w:val="nil"/>
              <w:left w:val="single" w:sz="4" w:space="0" w:color="auto"/>
              <w:bottom w:val="single" w:sz="4" w:space="0" w:color="000000"/>
              <w:right w:val="single" w:sz="4" w:space="0" w:color="auto"/>
            </w:tcBorders>
            <w:shd w:val="clear" w:color="auto" w:fill="auto"/>
            <w:vAlign w:val="center"/>
            <w:hideMark/>
          </w:tcPr>
          <w:p w14:paraId="2C4CBF1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60500 Zaměstnaní, včetně OSVČ</w:t>
            </w:r>
          </w:p>
        </w:tc>
        <w:tc>
          <w:tcPr>
            <w:tcW w:w="756" w:type="dxa"/>
            <w:vMerge w:val="restart"/>
            <w:tcBorders>
              <w:top w:val="nil"/>
              <w:left w:val="single" w:sz="4" w:space="0" w:color="auto"/>
              <w:bottom w:val="single" w:sz="4" w:space="0" w:color="000000"/>
              <w:right w:val="single" w:sz="4" w:space="0" w:color="auto"/>
            </w:tcBorders>
            <w:shd w:val="clear" w:color="auto" w:fill="auto"/>
            <w:vAlign w:val="center"/>
            <w:hideMark/>
          </w:tcPr>
          <w:p w14:paraId="174C06D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26" w:type="dxa"/>
            <w:vMerge w:val="restart"/>
            <w:tcBorders>
              <w:top w:val="nil"/>
              <w:left w:val="single" w:sz="4" w:space="0" w:color="auto"/>
              <w:bottom w:val="single" w:sz="4" w:space="0" w:color="000000"/>
              <w:right w:val="single" w:sz="4" w:space="0" w:color="auto"/>
            </w:tcBorders>
            <w:shd w:val="clear" w:color="auto" w:fill="auto"/>
            <w:vAlign w:val="center"/>
            <w:hideMark/>
          </w:tcPr>
          <w:p w14:paraId="5AB00B8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4 525,000</w:t>
            </w:r>
          </w:p>
        </w:tc>
        <w:tc>
          <w:tcPr>
            <w:tcW w:w="5710" w:type="dxa"/>
            <w:gridSpan w:val="10"/>
            <w:tcBorders>
              <w:top w:val="single" w:sz="4" w:space="0" w:color="auto"/>
              <w:left w:val="nil"/>
              <w:bottom w:val="single" w:sz="4" w:space="0" w:color="auto"/>
              <w:right w:val="single" w:sz="4" w:space="0" w:color="000000"/>
            </w:tcBorders>
            <w:shd w:val="clear" w:color="auto" w:fill="auto"/>
            <w:vAlign w:val="center"/>
            <w:hideMark/>
          </w:tcPr>
          <w:p w14:paraId="2EB6F93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3C8344D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12 664,000</w:t>
            </w:r>
          </w:p>
        </w:tc>
        <w:tc>
          <w:tcPr>
            <w:tcW w:w="688" w:type="dxa"/>
            <w:vMerge w:val="restart"/>
            <w:tcBorders>
              <w:top w:val="nil"/>
              <w:left w:val="single" w:sz="4" w:space="0" w:color="auto"/>
              <w:bottom w:val="single" w:sz="4" w:space="0" w:color="000000"/>
              <w:right w:val="single" w:sz="4" w:space="0" w:color="auto"/>
            </w:tcBorders>
            <w:shd w:val="clear" w:color="auto" w:fill="auto"/>
            <w:vAlign w:val="center"/>
            <w:hideMark/>
          </w:tcPr>
          <w:p w14:paraId="12F3C23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279,867%</w:t>
            </w:r>
          </w:p>
        </w:tc>
      </w:tr>
      <w:tr w:rsidR="006A7A9F" w:rsidRPr="006A7A9F" w14:paraId="7BAD5956" w14:textId="77777777" w:rsidTr="007D24EE">
        <w:trPr>
          <w:trHeight w:val="20"/>
        </w:trPr>
        <w:tc>
          <w:tcPr>
            <w:tcW w:w="759" w:type="dxa"/>
            <w:vMerge/>
            <w:tcBorders>
              <w:top w:val="nil"/>
              <w:left w:val="single" w:sz="4" w:space="0" w:color="auto"/>
              <w:bottom w:val="single" w:sz="4" w:space="0" w:color="000000"/>
              <w:right w:val="single" w:sz="4" w:space="0" w:color="auto"/>
            </w:tcBorders>
            <w:vAlign w:val="center"/>
            <w:hideMark/>
          </w:tcPr>
          <w:p w14:paraId="525FF8D8" w14:textId="77777777" w:rsidR="006A7A9F" w:rsidRPr="006A7A9F" w:rsidRDefault="006A7A9F" w:rsidP="006A7A9F">
            <w:pPr>
              <w:rPr>
                <w:rFonts w:ascii="Arial" w:eastAsia="Times New Roman" w:hAnsi="Arial" w:cs="Arial"/>
                <w:color w:val="000000"/>
                <w:sz w:val="14"/>
                <w:szCs w:val="14"/>
                <w:lang w:val="cs-CZ" w:eastAsia="cs-CZ"/>
              </w:rPr>
            </w:pPr>
          </w:p>
        </w:tc>
        <w:tc>
          <w:tcPr>
            <w:tcW w:w="2766" w:type="dxa"/>
            <w:vMerge/>
            <w:tcBorders>
              <w:top w:val="nil"/>
              <w:left w:val="single" w:sz="4" w:space="0" w:color="auto"/>
              <w:bottom w:val="single" w:sz="4" w:space="0" w:color="000000"/>
              <w:right w:val="single" w:sz="4" w:space="0" w:color="auto"/>
            </w:tcBorders>
            <w:vAlign w:val="center"/>
            <w:hideMark/>
          </w:tcPr>
          <w:p w14:paraId="46DA4A8A" w14:textId="77777777" w:rsidR="006A7A9F" w:rsidRPr="006A7A9F" w:rsidRDefault="006A7A9F" w:rsidP="006A7A9F">
            <w:pPr>
              <w:rPr>
                <w:rFonts w:ascii="Arial" w:eastAsia="Times New Roman" w:hAnsi="Arial" w:cs="Arial"/>
                <w:color w:val="000000"/>
                <w:sz w:val="14"/>
                <w:szCs w:val="14"/>
                <w:lang w:val="cs-CZ" w:eastAsia="cs-CZ"/>
              </w:rPr>
            </w:pPr>
          </w:p>
        </w:tc>
        <w:tc>
          <w:tcPr>
            <w:tcW w:w="1020" w:type="dxa"/>
            <w:vMerge/>
            <w:tcBorders>
              <w:top w:val="nil"/>
              <w:left w:val="single" w:sz="4" w:space="0" w:color="auto"/>
              <w:bottom w:val="single" w:sz="4" w:space="0" w:color="000000"/>
              <w:right w:val="single" w:sz="4" w:space="0" w:color="auto"/>
            </w:tcBorders>
            <w:vAlign w:val="center"/>
            <w:hideMark/>
          </w:tcPr>
          <w:p w14:paraId="3F6A6254" w14:textId="77777777" w:rsidR="006A7A9F" w:rsidRPr="006A7A9F" w:rsidRDefault="006A7A9F" w:rsidP="006A7A9F">
            <w:pPr>
              <w:rPr>
                <w:rFonts w:ascii="Arial" w:eastAsia="Times New Roman" w:hAnsi="Arial" w:cs="Arial"/>
                <w:color w:val="000000"/>
                <w:sz w:val="14"/>
                <w:szCs w:val="14"/>
                <w:lang w:val="cs-CZ" w:eastAsia="cs-CZ"/>
              </w:rPr>
            </w:pPr>
          </w:p>
        </w:tc>
        <w:tc>
          <w:tcPr>
            <w:tcW w:w="2624" w:type="dxa"/>
            <w:vMerge/>
            <w:tcBorders>
              <w:top w:val="nil"/>
              <w:left w:val="single" w:sz="4" w:space="0" w:color="auto"/>
              <w:bottom w:val="single" w:sz="4" w:space="0" w:color="000000"/>
              <w:right w:val="single" w:sz="4" w:space="0" w:color="auto"/>
            </w:tcBorders>
            <w:vAlign w:val="center"/>
            <w:hideMark/>
          </w:tcPr>
          <w:p w14:paraId="6F4B1451" w14:textId="77777777" w:rsidR="006A7A9F" w:rsidRPr="006A7A9F" w:rsidRDefault="006A7A9F" w:rsidP="006A7A9F">
            <w:pPr>
              <w:rPr>
                <w:rFonts w:ascii="Arial" w:eastAsia="Times New Roman" w:hAnsi="Arial" w:cs="Arial"/>
                <w:color w:val="000000"/>
                <w:sz w:val="14"/>
                <w:szCs w:val="14"/>
                <w:lang w:val="cs-CZ" w:eastAsia="cs-CZ"/>
              </w:rPr>
            </w:pPr>
          </w:p>
        </w:tc>
        <w:tc>
          <w:tcPr>
            <w:tcW w:w="756" w:type="dxa"/>
            <w:vMerge/>
            <w:tcBorders>
              <w:top w:val="nil"/>
              <w:left w:val="single" w:sz="4" w:space="0" w:color="auto"/>
              <w:bottom w:val="single" w:sz="4" w:space="0" w:color="000000"/>
              <w:right w:val="single" w:sz="4" w:space="0" w:color="auto"/>
            </w:tcBorders>
            <w:vAlign w:val="center"/>
            <w:hideMark/>
          </w:tcPr>
          <w:p w14:paraId="2E576588" w14:textId="77777777" w:rsidR="006A7A9F" w:rsidRPr="006A7A9F" w:rsidRDefault="006A7A9F" w:rsidP="006A7A9F">
            <w:pPr>
              <w:rPr>
                <w:rFonts w:ascii="Arial" w:eastAsia="Times New Roman" w:hAnsi="Arial" w:cs="Arial"/>
                <w:color w:val="000000"/>
                <w:sz w:val="14"/>
                <w:szCs w:val="14"/>
                <w:lang w:val="cs-CZ" w:eastAsia="cs-CZ"/>
              </w:rPr>
            </w:pPr>
          </w:p>
        </w:tc>
        <w:tc>
          <w:tcPr>
            <w:tcW w:w="726" w:type="dxa"/>
            <w:vMerge/>
            <w:tcBorders>
              <w:top w:val="nil"/>
              <w:left w:val="single" w:sz="4" w:space="0" w:color="auto"/>
              <w:bottom w:val="single" w:sz="4" w:space="0" w:color="000000"/>
              <w:right w:val="single" w:sz="4" w:space="0" w:color="auto"/>
            </w:tcBorders>
            <w:vAlign w:val="center"/>
            <w:hideMark/>
          </w:tcPr>
          <w:p w14:paraId="69DEE0DB" w14:textId="77777777" w:rsidR="006A7A9F" w:rsidRPr="006A7A9F" w:rsidRDefault="006A7A9F" w:rsidP="006A7A9F">
            <w:pPr>
              <w:rPr>
                <w:rFonts w:ascii="Arial" w:eastAsia="Times New Roman" w:hAnsi="Arial" w:cs="Arial"/>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2665123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0E78ADF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46B6720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52" w:type="dxa"/>
            <w:tcBorders>
              <w:top w:val="nil"/>
              <w:left w:val="nil"/>
              <w:bottom w:val="single" w:sz="4" w:space="0" w:color="auto"/>
              <w:right w:val="single" w:sz="4" w:space="0" w:color="auto"/>
            </w:tcBorders>
            <w:shd w:val="clear" w:color="auto" w:fill="auto"/>
            <w:vAlign w:val="center"/>
            <w:hideMark/>
          </w:tcPr>
          <w:p w14:paraId="6040A70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60" w:type="dxa"/>
            <w:tcBorders>
              <w:top w:val="nil"/>
              <w:left w:val="nil"/>
              <w:bottom w:val="single" w:sz="4" w:space="0" w:color="auto"/>
              <w:right w:val="single" w:sz="4" w:space="0" w:color="auto"/>
            </w:tcBorders>
            <w:shd w:val="clear" w:color="auto" w:fill="auto"/>
            <w:vAlign w:val="center"/>
            <w:hideMark/>
          </w:tcPr>
          <w:p w14:paraId="2B55358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8 109,000</w:t>
            </w:r>
          </w:p>
        </w:tc>
        <w:tc>
          <w:tcPr>
            <w:tcW w:w="690" w:type="dxa"/>
            <w:tcBorders>
              <w:top w:val="nil"/>
              <w:left w:val="nil"/>
              <w:bottom w:val="single" w:sz="4" w:space="0" w:color="auto"/>
              <w:right w:val="single" w:sz="4" w:space="0" w:color="auto"/>
            </w:tcBorders>
            <w:shd w:val="clear" w:color="auto" w:fill="auto"/>
            <w:vAlign w:val="center"/>
            <w:hideMark/>
          </w:tcPr>
          <w:p w14:paraId="7EF432E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3" w:type="dxa"/>
            <w:tcBorders>
              <w:top w:val="nil"/>
              <w:left w:val="nil"/>
              <w:bottom w:val="single" w:sz="4" w:space="0" w:color="auto"/>
              <w:right w:val="single" w:sz="4" w:space="0" w:color="auto"/>
            </w:tcBorders>
            <w:shd w:val="clear" w:color="auto" w:fill="auto"/>
            <w:vAlign w:val="center"/>
            <w:hideMark/>
          </w:tcPr>
          <w:p w14:paraId="7952534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66510EC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4EB0AF4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6B40049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11FDD72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8 109,000</w:t>
            </w:r>
          </w:p>
        </w:tc>
        <w:tc>
          <w:tcPr>
            <w:tcW w:w="688" w:type="dxa"/>
            <w:vMerge/>
            <w:tcBorders>
              <w:top w:val="nil"/>
              <w:left w:val="single" w:sz="4" w:space="0" w:color="auto"/>
              <w:bottom w:val="single" w:sz="4" w:space="0" w:color="000000"/>
              <w:right w:val="single" w:sz="4" w:space="0" w:color="auto"/>
            </w:tcBorders>
            <w:vAlign w:val="center"/>
            <w:hideMark/>
          </w:tcPr>
          <w:p w14:paraId="5232A33E"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11AB90B4" w14:textId="77777777" w:rsidTr="007D24EE">
        <w:trPr>
          <w:trHeight w:val="20"/>
        </w:trPr>
        <w:tc>
          <w:tcPr>
            <w:tcW w:w="759" w:type="dxa"/>
            <w:vMerge/>
            <w:tcBorders>
              <w:top w:val="nil"/>
              <w:left w:val="single" w:sz="4" w:space="0" w:color="auto"/>
              <w:bottom w:val="single" w:sz="4" w:space="0" w:color="000000"/>
              <w:right w:val="single" w:sz="4" w:space="0" w:color="auto"/>
            </w:tcBorders>
            <w:vAlign w:val="center"/>
            <w:hideMark/>
          </w:tcPr>
          <w:p w14:paraId="444933F3" w14:textId="77777777" w:rsidR="006A7A9F" w:rsidRPr="006A7A9F" w:rsidRDefault="006A7A9F" w:rsidP="006A7A9F">
            <w:pPr>
              <w:rPr>
                <w:rFonts w:ascii="Arial" w:eastAsia="Times New Roman" w:hAnsi="Arial" w:cs="Arial"/>
                <w:color w:val="000000"/>
                <w:sz w:val="14"/>
                <w:szCs w:val="14"/>
                <w:lang w:val="cs-CZ" w:eastAsia="cs-CZ"/>
              </w:rPr>
            </w:pPr>
          </w:p>
        </w:tc>
        <w:tc>
          <w:tcPr>
            <w:tcW w:w="2766" w:type="dxa"/>
            <w:vMerge/>
            <w:tcBorders>
              <w:top w:val="nil"/>
              <w:left w:val="single" w:sz="4" w:space="0" w:color="auto"/>
              <w:bottom w:val="single" w:sz="4" w:space="0" w:color="000000"/>
              <w:right w:val="single" w:sz="4" w:space="0" w:color="auto"/>
            </w:tcBorders>
            <w:vAlign w:val="center"/>
            <w:hideMark/>
          </w:tcPr>
          <w:p w14:paraId="475AC6EC" w14:textId="77777777" w:rsidR="006A7A9F" w:rsidRPr="006A7A9F" w:rsidRDefault="006A7A9F" w:rsidP="006A7A9F">
            <w:pPr>
              <w:rPr>
                <w:rFonts w:ascii="Arial" w:eastAsia="Times New Roman" w:hAnsi="Arial" w:cs="Arial"/>
                <w:color w:val="000000"/>
                <w:sz w:val="14"/>
                <w:szCs w:val="14"/>
                <w:lang w:val="cs-CZ" w:eastAsia="cs-CZ"/>
              </w:rPr>
            </w:pPr>
          </w:p>
        </w:tc>
        <w:tc>
          <w:tcPr>
            <w:tcW w:w="1020" w:type="dxa"/>
            <w:vMerge/>
            <w:tcBorders>
              <w:top w:val="nil"/>
              <w:left w:val="single" w:sz="4" w:space="0" w:color="auto"/>
              <w:bottom w:val="single" w:sz="4" w:space="0" w:color="000000"/>
              <w:right w:val="single" w:sz="4" w:space="0" w:color="auto"/>
            </w:tcBorders>
            <w:vAlign w:val="center"/>
            <w:hideMark/>
          </w:tcPr>
          <w:p w14:paraId="008E16D1" w14:textId="77777777" w:rsidR="006A7A9F" w:rsidRPr="006A7A9F" w:rsidRDefault="006A7A9F" w:rsidP="006A7A9F">
            <w:pPr>
              <w:rPr>
                <w:rFonts w:ascii="Arial" w:eastAsia="Times New Roman" w:hAnsi="Arial" w:cs="Arial"/>
                <w:color w:val="000000"/>
                <w:sz w:val="14"/>
                <w:szCs w:val="14"/>
                <w:lang w:val="cs-CZ" w:eastAsia="cs-CZ"/>
              </w:rPr>
            </w:pPr>
          </w:p>
        </w:tc>
        <w:tc>
          <w:tcPr>
            <w:tcW w:w="2624" w:type="dxa"/>
            <w:vMerge/>
            <w:tcBorders>
              <w:top w:val="nil"/>
              <w:left w:val="single" w:sz="4" w:space="0" w:color="auto"/>
              <w:bottom w:val="single" w:sz="4" w:space="0" w:color="000000"/>
              <w:right w:val="single" w:sz="4" w:space="0" w:color="auto"/>
            </w:tcBorders>
            <w:vAlign w:val="center"/>
            <w:hideMark/>
          </w:tcPr>
          <w:p w14:paraId="660E038D" w14:textId="77777777" w:rsidR="006A7A9F" w:rsidRPr="006A7A9F" w:rsidRDefault="006A7A9F" w:rsidP="006A7A9F">
            <w:pPr>
              <w:rPr>
                <w:rFonts w:ascii="Arial" w:eastAsia="Times New Roman" w:hAnsi="Arial" w:cs="Arial"/>
                <w:color w:val="000000"/>
                <w:sz w:val="14"/>
                <w:szCs w:val="14"/>
                <w:lang w:val="cs-CZ" w:eastAsia="cs-CZ"/>
              </w:rPr>
            </w:pPr>
          </w:p>
        </w:tc>
        <w:tc>
          <w:tcPr>
            <w:tcW w:w="756" w:type="dxa"/>
            <w:vMerge/>
            <w:tcBorders>
              <w:top w:val="nil"/>
              <w:left w:val="single" w:sz="4" w:space="0" w:color="auto"/>
              <w:bottom w:val="single" w:sz="4" w:space="0" w:color="000000"/>
              <w:right w:val="single" w:sz="4" w:space="0" w:color="auto"/>
            </w:tcBorders>
            <w:vAlign w:val="center"/>
            <w:hideMark/>
          </w:tcPr>
          <w:p w14:paraId="42AB17D5" w14:textId="77777777" w:rsidR="006A7A9F" w:rsidRPr="006A7A9F" w:rsidRDefault="006A7A9F" w:rsidP="006A7A9F">
            <w:pPr>
              <w:rPr>
                <w:rFonts w:ascii="Arial" w:eastAsia="Times New Roman" w:hAnsi="Arial" w:cs="Arial"/>
                <w:color w:val="000000"/>
                <w:sz w:val="14"/>
                <w:szCs w:val="14"/>
                <w:lang w:val="cs-CZ" w:eastAsia="cs-CZ"/>
              </w:rPr>
            </w:pPr>
          </w:p>
        </w:tc>
        <w:tc>
          <w:tcPr>
            <w:tcW w:w="726" w:type="dxa"/>
            <w:vMerge/>
            <w:tcBorders>
              <w:top w:val="nil"/>
              <w:left w:val="single" w:sz="4" w:space="0" w:color="auto"/>
              <w:bottom w:val="single" w:sz="4" w:space="0" w:color="000000"/>
              <w:right w:val="single" w:sz="4" w:space="0" w:color="auto"/>
            </w:tcBorders>
            <w:vAlign w:val="center"/>
            <w:hideMark/>
          </w:tcPr>
          <w:p w14:paraId="38BE22FE" w14:textId="77777777" w:rsidR="006A7A9F" w:rsidRPr="006A7A9F" w:rsidRDefault="006A7A9F" w:rsidP="006A7A9F">
            <w:pPr>
              <w:rPr>
                <w:rFonts w:ascii="Arial" w:eastAsia="Times New Roman" w:hAnsi="Arial" w:cs="Arial"/>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7151313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52DA7EC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233F345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52" w:type="dxa"/>
            <w:tcBorders>
              <w:top w:val="nil"/>
              <w:left w:val="nil"/>
              <w:bottom w:val="single" w:sz="4" w:space="0" w:color="auto"/>
              <w:right w:val="single" w:sz="4" w:space="0" w:color="auto"/>
            </w:tcBorders>
            <w:shd w:val="clear" w:color="auto" w:fill="auto"/>
            <w:vAlign w:val="center"/>
            <w:hideMark/>
          </w:tcPr>
          <w:p w14:paraId="4AC804C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60" w:type="dxa"/>
            <w:tcBorders>
              <w:top w:val="nil"/>
              <w:left w:val="nil"/>
              <w:bottom w:val="single" w:sz="4" w:space="0" w:color="auto"/>
              <w:right w:val="single" w:sz="4" w:space="0" w:color="auto"/>
            </w:tcBorders>
            <w:shd w:val="clear" w:color="auto" w:fill="auto"/>
            <w:vAlign w:val="center"/>
            <w:hideMark/>
          </w:tcPr>
          <w:p w14:paraId="766D682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4 555,000</w:t>
            </w:r>
          </w:p>
        </w:tc>
        <w:tc>
          <w:tcPr>
            <w:tcW w:w="690" w:type="dxa"/>
            <w:tcBorders>
              <w:top w:val="nil"/>
              <w:left w:val="nil"/>
              <w:bottom w:val="single" w:sz="4" w:space="0" w:color="auto"/>
              <w:right w:val="single" w:sz="4" w:space="0" w:color="auto"/>
            </w:tcBorders>
            <w:shd w:val="clear" w:color="auto" w:fill="auto"/>
            <w:vAlign w:val="center"/>
            <w:hideMark/>
          </w:tcPr>
          <w:p w14:paraId="5E4213D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3" w:type="dxa"/>
            <w:tcBorders>
              <w:top w:val="nil"/>
              <w:left w:val="nil"/>
              <w:bottom w:val="single" w:sz="4" w:space="0" w:color="auto"/>
              <w:right w:val="single" w:sz="4" w:space="0" w:color="auto"/>
            </w:tcBorders>
            <w:shd w:val="clear" w:color="auto" w:fill="auto"/>
            <w:vAlign w:val="center"/>
            <w:hideMark/>
          </w:tcPr>
          <w:p w14:paraId="27FFC6E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1A7E03F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6F6B5DE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04FEE0E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4105EFC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4 555,000</w:t>
            </w:r>
          </w:p>
        </w:tc>
        <w:tc>
          <w:tcPr>
            <w:tcW w:w="688" w:type="dxa"/>
            <w:vMerge/>
            <w:tcBorders>
              <w:top w:val="nil"/>
              <w:left w:val="single" w:sz="4" w:space="0" w:color="auto"/>
              <w:bottom w:val="single" w:sz="4" w:space="0" w:color="000000"/>
              <w:right w:val="single" w:sz="4" w:space="0" w:color="auto"/>
            </w:tcBorders>
            <w:vAlign w:val="center"/>
            <w:hideMark/>
          </w:tcPr>
          <w:p w14:paraId="1BCC8F8B"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060C0090" w14:textId="77777777" w:rsidTr="007D24EE">
        <w:trPr>
          <w:trHeight w:val="20"/>
        </w:trPr>
        <w:tc>
          <w:tcPr>
            <w:tcW w:w="759" w:type="dxa"/>
            <w:vMerge w:val="restart"/>
            <w:tcBorders>
              <w:top w:val="nil"/>
              <w:left w:val="single" w:sz="4" w:space="0" w:color="auto"/>
              <w:bottom w:val="single" w:sz="4" w:space="0" w:color="000000"/>
              <w:right w:val="single" w:sz="4" w:space="0" w:color="auto"/>
            </w:tcBorders>
            <w:shd w:val="clear" w:color="auto" w:fill="auto"/>
            <w:vAlign w:val="center"/>
            <w:hideMark/>
          </w:tcPr>
          <w:p w14:paraId="7DDB0E9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63000/CR07</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14:paraId="57CCE3A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jejichž situace na trhu práce se 6 měsíců po ukončení jejich účasti zlepšila</w:t>
            </w:r>
          </w:p>
        </w:tc>
        <w:tc>
          <w:tcPr>
            <w:tcW w:w="1020" w:type="dxa"/>
            <w:vMerge w:val="restart"/>
            <w:tcBorders>
              <w:top w:val="nil"/>
              <w:left w:val="single" w:sz="4" w:space="0" w:color="auto"/>
              <w:bottom w:val="single" w:sz="4" w:space="0" w:color="000000"/>
              <w:right w:val="single" w:sz="4" w:space="0" w:color="auto"/>
            </w:tcBorders>
            <w:shd w:val="clear" w:color="auto" w:fill="auto"/>
            <w:vAlign w:val="center"/>
            <w:hideMark/>
          </w:tcPr>
          <w:p w14:paraId="6A47055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Více rozvinuté regiony</w:t>
            </w:r>
          </w:p>
        </w:tc>
        <w:tc>
          <w:tcPr>
            <w:tcW w:w="2624" w:type="dxa"/>
            <w:vMerge w:val="restart"/>
            <w:tcBorders>
              <w:top w:val="nil"/>
              <w:left w:val="single" w:sz="4" w:space="0" w:color="auto"/>
              <w:bottom w:val="single" w:sz="4" w:space="0" w:color="000000"/>
              <w:right w:val="single" w:sz="4" w:space="0" w:color="auto"/>
            </w:tcBorders>
            <w:shd w:val="clear" w:color="auto" w:fill="auto"/>
            <w:vAlign w:val="center"/>
            <w:hideMark/>
          </w:tcPr>
          <w:p w14:paraId="41A4BBD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60500 Zaměstnaní, včetně OSVČ</w:t>
            </w:r>
          </w:p>
        </w:tc>
        <w:tc>
          <w:tcPr>
            <w:tcW w:w="756" w:type="dxa"/>
            <w:vMerge w:val="restart"/>
            <w:tcBorders>
              <w:top w:val="nil"/>
              <w:left w:val="single" w:sz="4" w:space="0" w:color="auto"/>
              <w:bottom w:val="single" w:sz="4" w:space="0" w:color="000000"/>
              <w:right w:val="single" w:sz="4" w:space="0" w:color="auto"/>
            </w:tcBorders>
            <w:shd w:val="clear" w:color="auto" w:fill="auto"/>
            <w:vAlign w:val="center"/>
            <w:hideMark/>
          </w:tcPr>
          <w:p w14:paraId="67C7DE4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26" w:type="dxa"/>
            <w:vMerge w:val="restart"/>
            <w:tcBorders>
              <w:top w:val="nil"/>
              <w:left w:val="single" w:sz="4" w:space="0" w:color="auto"/>
              <w:bottom w:val="single" w:sz="4" w:space="0" w:color="000000"/>
              <w:right w:val="single" w:sz="4" w:space="0" w:color="auto"/>
            </w:tcBorders>
            <w:shd w:val="clear" w:color="auto" w:fill="auto"/>
            <w:vAlign w:val="center"/>
            <w:hideMark/>
          </w:tcPr>
          <w:p w14:paraId="79A7578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710" w:type="dxa"/>
            <w:gridSpan w:val="10"/>
            <w:tcBorders>
              <w:top w:val="single" w:sz="4" w:space="0" w:color="auto"/>
              <w:left w:val="nil"/>
              <w:bottom w:val="single" w:sz="4" w:space="0" w:color="auto"/>
              <w:right w:val="single" w:sz="4" w:space="0" w:color="000000"/>
            </w:tcBorders>
            <w:shd w:val="clear" w:color="auto" w:fill="auto"/>
            <w:vAlign w:val="center"/>
            <w:hideMark/>
          </w:tcPr>
          <w:p w14:paraId="23D6D5E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03D8C76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88" w:type="dxa"/>
            <w:vMerge w:val="restart"/>
            <w:tcBorders>
              <w:top w:val="nil"/>
              <w:left w:val="single" w:sz="4" w:space="0" w:color="auto"/>
              <w:bottom w:val="single" w:sz="4" w:space="0" w:color="000000"/>
              <w:right w:val="single" w:sz="4" w:space="0" w:color="auto"/>
            </w:tcBorders>
            <w:shd w:val="clear" w:color="auto" w:fill="auto"/>
            <w:vAlign w:val="center"/>
            <w:hideMark/>
          </w:tcPr>
          <w:p w14:paraId="2E657A2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NR</w:t>
            </w:r>
          </w:p>
        </w:tc>
      </w:tr>
      <w:tr w:rsidR="006A7A9F" w:rsidRPr="006A7A9F" w14:paraId="5089D2C8" w14:textId="77777777" w:rsidTr="007D24EE">
        <w:trPr>
          <w:trHeight w:val="20"/>
        </w:trPr>
        <w:tc>
          <w:tcPr>
            <w:tcW w:w="759" w:type="dxa"/>
            <w:vMerge/>
            <w:tcBorders>
              <w:top w:val="nil"/>
              <w:left w:val="single" w:sz="4" w:space="0" w:color="auto"/>
              <w:bottom w:val="single" w:sz="4" w:space="0" w:color="000000"/>
              <w:right w:val="single" w:sz="4" w:space="0" w:color="auto"/>
            </w:tcBorders>
            <w:vAlign w:val="center"/>
            <w:hideMark/>
          </w:tcPr>
          <w:p w14:paraId="157E585A" w14:textId="77777777" w:rsidR="006A7A9F" w:rsidRPr="006A7A9F" w:rsidRDefault="006A7A9F" w:rsidP="006A7A9F">
            <w:pPr>
              <w:rPr>
                <w:rFonts w:ascii="Arial" w:eastAsia="Times New Roman" w:hAnsi="Arial" w:cs="Arial"/>
                <w:color w:val="000000"/>
                <w:sz w:val="14"/>
                <w:szCs w:val="14"/>
                <w:lang w:val="cs-CZ" w:eastAsia="cs-CZ"/>
              </w:rPr>
            </w:pPr>
          </w:p>
        </w:tc>
        <w:tc>
          <w:tcPr>
            <w:tcW w:w="2766" w:type="dxa"/>
            <w:vMerge/>
            <w:tcBorders>
              <w:top w:val="nil"/>
              <w:left w:val="single" w:sz="4" w:space="0" w:color="auto"/>
              <w:bottom w:val="single" w:sz="4" w:space="0" w:color="000000"/>
              <w:right w:val="single" w:sz="4" w:space="0" w:color="auto"/>
            </w:tcBorders>
            <w:vAlign w:val="center"/>
            <w:hideMark/>
          </w:tcPr>
          <w:p w14:paraId="2B10257A" w14:textId="77777777" w:rsidR="006A7A9F" w:rsidRPr="006A7A9F" w:rsidRDefault="006A7A9F" w:rsidP="006A7A9F">
            <w:pPr>
              <w:rPr>
                <w:rFonts w:ascii="Arial" w:eastAsia="Times New Roman" w:hAnsi="Arial" w:cs="Arial"/>
                <w:color w:val="000000"/>
                <w:sz w:val="14"/>
                <w:szCs w:val="14"/>
                <w:lang w:val="cs-CZ" w:eastAsia="cs-CZ"/>
              </w:rPr>
            </w:pPr>
          </w:p>
        </w:tc>
        <w:tc>
          <w:tcPr>
            <w:tcW w:w="1020" w:type="dxa"/>
            <w:vMerge/>
            <w:tcBorders>
              <w:top w:val="nil"/>
              <w:left w:val="single" w:sz="4" w:space="0" w:color="auto"/>
              <w:bottom w:val="single" w:sz="4" w:space="0" w:color="000000"/>
              <w:right w:val="single" w:sz="4" w:space="0" w:color="auto"/>
            </w:tcBorders>
            <w:vAlign w:val="center"/>
            <w:hideMark/>
          </w:tcPr>
          <w:p w14:paraId="257A7650" w14:textId="77777777" w:rsidR="006A7A9F" w:rsidRPr="006A7A9F" w:rsidRDefault="006A7A9F" w:rsidP="006A7A9F">
            <w:pPr>
              <w:rPr>
                <w:rFonts w:ascii="Arial" w:eastAsia="Times New Roman" w:hAnsi="Arial" w:cs="Arial"/>
                <w:color w:val="000000"/>
                <w:sz w:val="14"/>
                <w:szCs w:val="14"/>
                <w:lang w:val="cs-CZ" w:eastAsia="cs-CZ"/>
              </w:rPr>
            </w:pPr>
          </w:p>
        </w:tc>
        <w:tc>
          <w:tcPr>
            <w:tcW w:w="2624" w:type="dxa"/>
            <w:vMerge/>
            <w:tcBorders>
              <w:top w:val="nil"/>
              <w:left w:val="single" w:sz="4" w:space="0" w:color="auto"/>
              <w:bottom w:val="single" w:sz="4" w:space="0" w:color="000000"/>
              <w:right w:val="single" w:sz="4" w:space="0" w:color="auto"/>
            </w:tcBorders>
            <w:vAlign w:val="center"/>
            <w:hideMark/>
          </w:tcPr>
          <w:p w14:paraId="6619AF5B" w14:textId="77777777" w:rsidR="006A7A9F" w:rsidRPr="006A7A9F" w:rsidRDefault="006A7A9F" w:rsidP="006A7A9F">
            <w:pPr>
              <w:rPr>
                <w:rFonts w:ascii="Arial" w:eastAsia="Times New Roman" w:hAnsi="Arial" w:cs="Arial"/>
                <w:color w:val="000000"/>
                <w:sz w:val="14"/>
                <w:szCs w:val="14"/>
                <w:lang w:val="cs-CZ" w:eastAsia="cs-CZ"/>
              </w:rPr>
            </w:pPr>
          </w:p>
        </w:tc>
        <w:tc>
          <w:tcPr>
            <w:tcW w:w="756" w:type="dxa"/>
            <w:vMerge/>
            <w:tcBorders>
              <w:top w:val="nil"/>
              <w:left w:val="single" w:sz="4" w:space="0" w:color="auto"/>
              <w:bottom w:val="single" w:sz="4" w:space="0" w:color="000000"/>
              <w:right w:val="single" w:sz="4" w:space="0" w:color="auto"/>
            </w:tcBorders>
            <w:vAlign w:val="center"/>
            <w:hideMark/>
          </w:tcPr>
          <w:p w14:paraId="02691D2A" w14:textId="77777777" w:rsidR="006A7A9F" w:rsidRPr="006A7A9F" w:rsidRDefault="006A7A9F" w:rsidP="006A7A9F">
            <w:pPr>
              <w:rPr>
                <w:rFonts w:ascii="Arial" w:eastAsia="Times New Roman" w:hAnsi="Arial" w:cs="Arial"/>
                <w:color w:val="000000"/>
                <w:sz w:val="14"/>
                <w:szCs w:val="14"/>
                <w:lang w:val="cs-CZ" w:eastAsia="cs-CZ"/>
              </w:rPr>
            </w:pPr>
          </w:p>
        </w:tc>
        <w:tc>
          <w:tcPr>
            <w:tcW w:w="726" w:type="dxa"/>
            <w:vMerge/>
            <w:tcBorders>
              <w:top w:val="nil"/>
              <w:left w:val="single" w:sz="4" w:space="0" w:color="auto"/>
              <w:bottom w:val="single" w:sz="4" w:space="0" w:color="000000"/>
              <w:right w:val="single" w:sz="4" w:space="0" w:color="auto"/>
            </w:tcBorders>
            <w:vAlign w:val="center"/>
            <w:hideMark/>
          </w:tcPr>
          <w:p w14:paraId="15908557" w14:textId="77777777" w:rsidR="006A7A9F" w:rsidRPr="006A7A9F" w:rsidRDefault="006A7A9F" w:rsidP="006A7A9F">
            <w:pPr>
              <w:rPr>
                <w:rFonts w:ascii="Arial" w:eastAsia="Times New Roman" w:hAnsi="Arial" w:cs="Arial"/>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64580D1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20FBC5F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75E7341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52" w:type="dxa"/>
            <w:tcBorders>
              <w:top w:val="nil"/>
              <w:left w:val="nil"/>
              <w:bottom w:val="single" w:sz="4" w:space="0" w:color="auto"/>
              <w:right w:val="single" w:sz="4" w:space="0" w:color="auto"/>
            </w:tcBorders>
            <w:shd w:val="clear" w:color="auto" w:fill="auto"/>
            <w:vAlign w:val="center"/>
            <w:hideMark/>
          </w:tcPr>
          <w:p w14:paraId="41C5D3C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60" w:type="dxa"/>
            <w:tcBorders>
              <w:top w:val="nil"/>
              <w:left w:val="nil"/>
              <w:bottom w:val="single" w:sz="4" w:space="0" w:color="auto"/>
              <w:right w:val="single" w:sz="4" w:space="0" w:color="auto"/>
            </w:tcBorders>
            <w:shd w:val="clear" w:color="auto" w:fill="auto"/>
            <w:vAlign w:val="center"/>
            <w:hideMark/>
          </w:tcPr>
          <w:p w14:paraId="5D5B7F7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90" w:type="dxa"/>
            <w:tcBorders>
              <w:top w:val="nil"/>
              <w:left w:val="nil"/>
              <w:bottom w:val="single" w:sz="4" w:space="0" w:color="auto"/>
              <w:right w:val="single" w:sz="4" w:space="0" w:color="auto"/>
            </w:tcBorders>
            <w:shd w:val="clear" w:color="auto" w:fill="auto"/>
            <w:vAlign w:val="center"/>
            <w:hideMark/>
          </w:tcPr>
          <w:p w14:paraId="1A350AB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3" w:type="dxa"/>
            <w:tcBorders>
              <w:top w:val="nil"/>
              <w:left w:val="nil"/>
              <w:bottom w:val="single" w:sz="4" w:space="0" w:color="auto"/>
              <w:right w:val="single" w:sz="4" w:space="0" w:color="auto"/>
            </w:tcBorders>
            <w:shd w:val="clear" w:color="auto" w:fill="auto"/>
            <w:vAlign w:val="center"/>
            <w:hideMark/>
          </w:tcPr>
          <w:p w14:paraId="7FE7C65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79B117F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19F0BA6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432B649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72BE117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88" w:type="dxa"/>
            <w:vMerge/>
            <w:tcBorders>
              <w:top w:val="nil"/>
              <w:left w:val="single" w:sz="4" w:space="0" w:color="auto"/>
              <w:bottom w:val="single" w:sz="4" w:space="0" w:color="000000"/>
              <w:right w:val="single" w:sz="4" w:space="0" w:color="auto"/>
            </w:tcBorders>
            <w:vAlign w:val="center"/>
            <w:hideMark/>
          </w:tcPr>
          <w:p w14:paraId="00B23AE3"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758BB5B1" w14:textId="77777777" w:rsidTr="007D24EE">
        <w:trPr>
          <w:trHeight w:val="20"/>
        </w:trPr>
        <w:tc>
          <w:tcPr>
            <w:tcW w:w="759" w:type="dxa"/>
            <w:vMerge/>
            <w:tcBorders>
              <w:top w:val="nil"/>
              <w:left w:val="single" w:sz="4" w:space="0" w:color="auto"/>
              <w:bottom w:val="single" w:sz="4" w:space="0" w:color="000000"/>
              <w:right w:val="single" w:sz="4" w:space="0" w:color="auto"/>
            </w:tcBorders>
            <w:vAlign w:val="center"/>
            <w:hideMark/>
          </w:tcPr>
          <w:p w14:paraId="526824F6" w14:textId="77777777" w:rsidR="006A7A9F" w:rsidRPr="006A7A9F" w:rsidRDefault="006A7A9F" w:rsidP="006A7A9F">
            <w:pPr>
              <w:rPr>
                <w:rFonts w:ascii="Arial" w:eastAsia="Times New Roman" w:hAnsi="Arial" w:cs="Arial"/>
                <w:color w:val="000000"/>
                <w:sz w:val="14"/>
                <w:szCs w:val="14"/>
                <w:lang w:val="cs-CZ" w:eastAsia="cs-CZ"/>
              </w:rPr>
            </w:pPr>
          </w:p>
        </w:tc>
        <w:tc>
          <w:tcPr>
            <w:tcW w:w="2766" w:type="dxa"/>
            <w:vMerge/>
            <w:tcBorders>
              <w:top w:val="nil"/>
              <w:left w:val="single" w:sz="4" w:space="0" w:color="auto"/>
              <w:bottom w:val="single" w:sz="4" w:space="0" w:color="000000"/>
              <w:right w:val="single" w:sz="4" w:space="0" w:color="auto"/>
            </w:tcBorders>
            <w:vAlign w:val="center"/>
            <w:hideMark/>
          </w:tcPr>
          <w:p w14:paraId="005EE2AA" w14:textId="77777777" w:rsidR="006A7A9F" w:rsidRPr="006A7A9F" w:rsidRDefault="006A7A9F" w:rsidP="006A7A9F">
            <w:pPr>
              <w:rPr>
                <w:rFonts w:ascii="Arial" w:eastAsia="Times New Roman" w:hAnsi="Arial" w:cs="Arial"/>
                <w:color w:val="000000"/>
                <w:sz w:val="14"/>
                <w:szCs w:val="14"/>
                <w:lang w:val="cs-CZ" w:eastAsia="cs-CZ"/>
              </w:rPr>
            </w:pPr>
          </w:p>
        </w:tc>
        <w:tc>
          <w:tcPr>
            <w:tcW w:w="1020" w:type="dxa"/>
            <w:vMerge/>
            <w:tcBorders>
              <w:top w:val="nil"/>
              <w:left w:val="single" w:sz="4" w:space="0" w:color="auto"/>
              <w:bottom w:val="single" w:sz="4" w:space="0" w:color="000000"/>
              <w:right w:val="single" w:sz="4" w:space="0" w:color="auto"/>
            </w:tcBorders>
            <w:vAlign w:val="center"/>
            <w:hideMark/>
          </w:tcPr>
          <w:p w14:paraId="532A3972" w14:textId="77777777" w:rsidR="006A7A9F" w:rsidRPr="006A7A9F" w:rsidRDefault="006A7A9F" w:rsidP="006A7A9F">
            <w:pPr>
              <w:rPr>
                <w:rFonts w:ascii="Arial" w:eastAsia="Times New Roman" w:hAnsi="Arial" w:cs="Arial"/>
                <w:color w:val="000000"/>
                <w:sz w:val="14"/>
                <w:szCs w:val="14"/>
                <w:lang w:val="cs-CZ" w:eastAsia="cs-CZ"/>
              </w:rPr>
            </w:pPr>
          </w:p>
        </w:tc>
        <w:tc>
          <w:tcPr>
            <w:tcW w:w="2624" w:type="dxa"/>
            <w:vMerge/>
            <w:tcBorders>
              <w:top w:val="nil"/>
              <w:left w:val="single" w:sz="4" w:space="0" w:color="auto"/>
              <w:bottom w:val="single" w:sz="4" w:space="0" w:color="000000"/>
              <w:right w:val="single" w:sz="4" w:space="0" w:color="auto"/>
            </w:tcBorders>
            <w:vAlign w:val="center"/>
            <w:hideMark/>
          </w:tcPr>
          <w:p w14:paraId="15EAB245" w14:textId="77777777" w:rsidR="006A7A9F" w:rsidRPr="006A7A9F" w:rsidRDefault="006A7A9F" w:rsidP="006A7A9F">
            <w:pPr>
              <w:rPr>
                <w:rFonts w:ascii="Arial" w:eastAsia="Times New Roman" w:hAnsi="Arial" w:cs="Arial"/>
                <w:color w:val="000000"/>
                <w:sz w:val="14"/>
                <w:szCs w:val="14"/>
                <w:lang w:val="cs-CZ" w:eastAsia="cs-CZ"/>
              </w:rPr>
            </w:pPr>
          </w:p>
        </w:tc>
        <w:tc>
          <w:tcPr>
            <w:tcW w:w="756" w:type="dxa"/>
            <w:vMerge/>
            <w:tcBorders>
              <w:top w:val="nil"/>
              <w:left w:val="single" w:sz="4" w:space="0" w:color="auto"/>
              <w:bottom w:val="single" w:sz="4" w:space="0" w:color="000000"/>
              <w:right w:val="single" w:sz="4" w:space="0" w:color="auto"/>
            </w:tcBorders>
            <w:vAlign w:val="center"/>
            <w:hideMark/>
          </w:tcPr>
          <w:p w14:paraId="67C5B97C" w14:textId="77777777" w:rsidR="006A7A9F" w:rsidRPr="006A7A9F" w:rsidRDefault="006A7A9F" w:rsidP="006A7A9F">
            <w:pPr>
              <w:rPr>
                <w:rFonts w:ascii="Arial" w:eastAsia="Times New Roman" w:hAnsi="Arial" w:cs="Arial"/>
                <w:color w:val="000000"/>
                <w:sz w:val="14"/>
                <w:szCs w:val="14"/>
                <w:lang w:val="cs-CZ" w:eastAsia="cs-CZ"/>
              </w:rPr>
            </w:pPr>
          </w:p>
        </w:tc>
        <w:tc>
          <w:tcPr>
            <w:tcW w:w="726" w:type="dxa"/>
            <w:vMerge/>
            <w:tcBorders>
              <w:top w:val="nil"/>
              <w:left w:val="single" w:sz="4" w:space="0" w:color="auto"/>
              <w:bottom w:val="single" w:sz="4" w:space="0" w:color="000000"/>
              <w:right w:val="single" w:sz="4" w:space="0" w:color="auto"/>
            </w:tcBorders>
            <w:vAlign w:val="center"/>
            <w:hideMark/>
          </w:tcPr>
          <w:p w14:paraId="2769C1A2" w14:textId="77777777" w:rsidR="006A7A9F" w:rsidRPr="006A7A9F" w:rsidRDefault="006A7A9F" w:rsidP="006A7A9F">
            <w:pPr>
              <w:rPr>
                <w:rFonts w:ascii="Arial" w:eastAsia="Times New Roman" w:hAnsi="Arial" w:cs="Arial"/>
                <w:color w:val="000000"/>
                <w:sz w:val="14"/>
                <w:szCs w:val="14"/>
                <w:lang w:val="cs-CZ" w:eastAsia="cs-CZ"/>
              </w:rPr>
            </w:pPr>
          </w:p>
        </w:tc>
        <w:tc>
          <w:tcPr>
            <w:tcW w:w="544" w:type="dxa"/>
            <w:tcBorders>
              <w:top w:val="nil"/>
              <w:left w:val="nil"/>
              <w:bottom w:val="single" w:sz="4" w:space="0" w:color="auto"/>
              <w:right w:val="single" w:sz="4" w:space="0" w:color="auto"/>
            </w:tcBorders>
            <w:shd w:val="clear" w:color="auto" w:fill="auto"/>
            <w:vAlign w:val="center"/>
            <w:hideMark/>
          </w:tcPr>
          <w:p w14:paraId="1F3639C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7E5407B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4" w:type="dxa"/>
            <w:tcBorders>
              <w:top w:val="nil"/>
              <w:left w:val="nil"/>
              <w:bottom w:val="single" w:sz="4" w:space="0" w:color="auto"/>
              <w:right w:val="single" w:sz="4" w:space="0" w:color="auto"/>
            </w:tcBorders>
            <w:shd w:val="clear" w:color="auto" w:fill="auto"/>
            <w:vAlign w:val="center"/>
            <w:hideMark/>
          </w:tcPr>
          <w:p w14:paraId="78B8278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52" w:type="dxa"/>
            <w:tcBorders>
              <w:top w:val="nil"/>
              <w:left w:val="nil"/>
              <w:bottom w:val="single" w:sz="4" w:space="0" w:color="auto"/>
              <w:right w:val="single" w:sz="4" w:space="0" w:color="auto"/>
            </w:tcBorders>
            <w:shd w:val="clear" w:color="auto" w:fill="auto"/>
            <w:vAlign w:val="center"/>
            <w:hideMark/>
          </w:tcPr>
          <w:p w14:paraId="4BD16D9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60" w:type="dxa"/>
            <w:tcBorders>
              <w:top w:val="nil"/>
              <w:left w:val="nil"/>
              <w:bottom w:val="single" w:sz="4" w:space="0" w:color="auto"/>
              <w:right w:val="single" w:sz="4" w:space="0" w:color="auto"/>
            </w:tcBorders>
            <w:shd w:val="clear" w:color="auto" w:fill="auto"/>
            <w:vAlign w:val="center"/>
            <w:hideMark/>
          </w:tcPr>
          <w:p w14:paraId="3C6603F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90" w:type="dxa"/>
            <w:tcBorders>
              <w:top w:val="nil"/>
              <w:left w:val="nil"/>
              <w:bottom w:val="single" w:sz="4" w:space="0" w:color="auto"/>
              <w:right w:val="single" w:sz="4" w:space="0" w:color="auto"/>
            </w:tcBorders>
            <w:shd w:val="clear" w:color="auto" w:fill="auto"/>
            <w:vAlign w:val="center"/>
            <w:hideMark/>
          </w:tcPr>
          <w:p w14:paraId="30B2C07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43" w:type="dxa"/>
            <w:tcBorders>
              <w:top w:val="nil"/>
              <w:left w:val="nil"/>
              <w:bottom w:val="single" w:sz="4" w:space="0" w:color="auto"/>
              <w:right w:val="single" w:sz="4" w:space="0" w:color="auto"/>
            </w:tcBorders>
            <w:shd w:val="clear" w:color="auto" w:fill="auto"/>
            <w:vAlign w:val="center"/>
            <w:hideMark/>
          </w:tcPr>
          <w:p w14:paraId="548F909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22AAE37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10E6558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43" w:type="dxa"/>
            <w:tcBorders>
              <w:top w:val="nil"/>
              <w:left w:val="nil"/>
              <w:bottom w:val="single" w:sz="4" w:space="0" w:color="auto"/>
              <w:right w:val="single" w:sz="4" w:space="0" w:color="auto"/>
            </w:tcBorders>
            <w:shd w:val="clear" w:color="auto" w:fill="auto"/>
            <w:vAlign w:val="center"/>
            <w:hideMark/>
          </w:tcPr>
          <w:p w14:paraId="6F6C067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2" w:type="dxa"/>
            <w:tcBorders>
              <w:top w:val="nil"/>
              <w:left w:val="nil"/>
              <w:bottom w:val="single" w:sz="4" w:space="0" w:color="auto"/>
              <w:right w:val="single" w:sz="4" w:space="0" w:color="auto"/>
            </w:tcBorders>
            <w:shd w:val="clear" w:color="auto" w:fill="auto"/>
            <w:vAlign w:val="center"/>
            <w:hideMark/>
          </w:tcPr>
          <w:p w14:paraId="1E3FF432" w14:textId="152ED1E8"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688" w:type="dxa"/>
            <w:vMerge/>
            <w:tcBorders>
              <w:top w:val="nil"/>
              <w:left w:val="single" w:sz="4" w:space="0" w:color="auto"/>
              <w:bottom w:val="single" w:sz="4" w:space="0" w:color="000000"/>
              <w:right w:val="single" w:sz="4" w:space="0" w:color="auto"/>
            </w:tcBorders>
            <w:vAlign w:val="center"/>
            <w:hideMark/>
          </w:tcPr>
          <w:p w14:paraId="1687DF3C" w14:textId="77777777" w:rsidR="006A7A9F" w:rsidRPr="006A7A9F" w:rsidRDefault="006A7A9F" w:rsidP="006A7A9F">
            <w:pPr>
              <w:rPr>
                <w:rFonts w:ascii="Arial" w:eastAsia="Times New Roman" w:hAnsi="Arial" w:cs="Arial"/>
                <w:color w:val="000000"/>
                <w:sz w:val="14"/>
                <w:szCs w:val="14"/>
                <w:lang w:val="cs-CZ" w:eastAsia="cs-CZ"/>
              </w:rPr>
            </w:pPr>
          </w:p>
        </w:tc>
      </w:tr>
    </w:tbl>
    <w:p w14:paraId="0E29D1A3" w14:textId="77777777" w:rsidR="00541D74" w:rsidRPr="002F2BE4" w:rsidRDefault="00541D74" w:rsidP="00FD35AB">
      <w:pPr>
        <w:keepNext/>
        <w:ind w:left="115" w:right="106"/>
        <w:jc w:val="both"/>
        <w:rPr>
          <w:rFonts w:ascii="Arial" w:eastAsia="Arial" w:hAnsi="Arial" w:cs="Arial"/>
          <w:color w:val="000000"/>
          <w:sz w:val="20"/>
          <w:lang w:val="cs-CZ"/>
        </w:rPr>
      </w:pPr>
    </w:p>
    <w:p w14:paraId="6B04EA7F"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36A4F702" w14:textId="77777777" w:rsidR="00FD35AB" w:rsidRPr="002F2BE4" w:rsidRDefault="00FD35AB" w:rsidP="007D24EE">
      <w:pPr>
        <w:ind w:left="113" w:right="108"/>
        <w:jc w:val="both"/>
        <w:rPr>
          <w:rFonts w:ascii="Arial" w:eastAsia="Arial" w:hAnsi="Arial" w:cs="Arial"/>
          <w:color w:val="000000"/>
          <w:sz w:val="20"/>
          <w:lang w:val="cs-CZ"/>
        </w:rPr>
      </w:pPr>
    </w:p>
    <w:p w14:paraId="71A4DEB7"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03.1.54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w:t>
      </w:r>
    </w:p>
    <w:tbl>
      <w:tblPr>
        <w:tblW w:w="15940" w:type="dxa"/>
        <w:tblInd w:w="75" w:type="dxa"/>
        <w:tblCellMar>
          <w:left w:w="70" w:type="dxa"/>
          <w:right w:w="70" w:type="dxa"/>
        </w:tblCellMar>
        <w:tblLook w:val="04A0" w:firstRow="1" w:lastRow="0" w:firstColumn="1" w:lastColumn="0" w:noHBand="0" w:noVBand="1"/>
      </w:tblPr>
      <w:tblGrid>
        <w:gridCol w:w="927"/>
        <w:gridCol w:w="2254"/>
        <w:gridCol w:w="1089"/>
        <w:gridCol w:w="2577"/>
        <w:gridCol w:w="781"/>
        <w:gridCol w:w="887"/>
        <w:gridCol w:w="560"/>
        <w:gridCol w:w="560"/>
        <w:gridCol w:w="560"/>
        <w:gridCol w:w="560"/>
        <w:gridCol w:w="560"/>
        <w:gridCol w:w="560"/>
        <w:gridCol w:w="554"/>
        <w:gridCol w:w="554"/>
        <w:gridCol w:w="554"/>
        <w:gridCol w:w="558"/>
        <w:gridCol w:w="1004"/>
        <w:gridCol w:w="841"/>
      </w:tblGrid>
      <w:tr w:rsidR="006A7A9F" w:rsidRPr="006A7A9F" w14:paraId="2B40FD6D" w14:textId="77777777" w:rsidTr="007D24EE">
        <w:trPr>
          <w:trHeight w:val="20"/>
          <w:tblHeader/>
        </w:trPr>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5136A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ID</w:t>
            </w:r>
          </w:p>
        </w:tc>
        <w:tc>
          <w:tcPr>
            <w:tcW w:w="24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AA682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Indikátor</w:t>
            </w:r>
          </w:p>
        </w:tc>
        <w:tc>
          <w:tcPr>
            <w:tcW w:w="11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6B797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Kategorie regionu</w:t>
            </w:r>
          </w:p>
        </w:tc>
        <w:tc>
          <w:tcPr>
            <w:tcW w:w="27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1E978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Společný indikátor výstupů použitý jako základ pro stanovení cíle</w:t>
            </w:r>
          </w:p>
        </w:tc>
        <w:tc>
          <w:tcPr>
            <w:tcW w:w="7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A7E7B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Měrná jednotka pro výchozí hodnotu a cíl</w:t>
            </w:r>
          </w:p>
        </w:tc>
        <w:tc>
          <w:tcPr>
            <w:tcW w:w="7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7130D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Cílová hodnota (2023) (Rozdělení podle pohlaví je pro cíl nepovinné)</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2E6CA93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2014</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19A554E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2015</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76B760F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2016</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7410846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2017</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38B5448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2018</w:t>
            </w:r>
          </w:p>
        </w:tc>
        <w:tc>
          <w:tcPr>
            <w:tcW w:w="569" w:type="dxa"/>
            <w:tcBorders>
              <w:top w:val="single" w:sz="4" w:space="0" w:color="auto"/>
              <w:left w:val="nil"/>
              <w:bottom w:val="single" w:sz="4" w:space="0" w:color="auto"/>
              <w:right w:val="single" w:sz="4" w:space="0" w:color="auto"/>
            </w:tcBorders>
            <w:shd w:val="clear" w:color="auto" w:fill="auto"/>
            <w:vAlign w:val="center"/>
            <w:hideMark/>
          </w:tcPr>
          <w:p w14:paraId="1D13D84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D5CC35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ABF504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878766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0645FB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2023</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55B8855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Kumulativní hodnota (vypočítána automaticky)</w:t>
            </w:r>
          </w:p>
        </w:tc>
        <w:tc>
          <w:tcPr>
            <w:tcW w:w="7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E0F5C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Míra splnění Rozdělení podle pohlaví je nepovinné</w:t>
            </w:r>
          </w:p>
        </w:tc>
      </w:tr>
      <w:tr w:rsidR="006A7A9F" w:rsidRPr="006A7A9F" w14:paraId="71D50488" w14:textId="77777777" w:rsidTr="007D24EE">
        <w:trPr>
          <w:trHeight w:val="20"/>
          <w:tblHeader/>
        </w:trPr>
        <w:tc>
          <w:tcPr>
            <w:tcW w:w="796" w:type="dxa"/>
            <w:vMerge/>
            <w:tcBorders>
              <w:top w:val="single" w:sz="4" w:space="0" w:color="auto"/>
              <w:left w:val="single" w:sz="4" w:space="0" w:color="auto"/>
              <w:bottom w:val="single" w:sz="4" w:space="0" w:color="000000"/>
              <w:right w:val="single" w:sz="4" w:space="0" w:color="auto"/>
            </w:tcBorders>
            <w:vAlign w:val="center"/>
            <w:hideMark/>
          </w:tcPr>
          <w:p w14:paraId="7747124A" w14:textId="77777777" w:rsidR="006A7A9F" w:rsidRPr="006A7A9F" w:rsidRDefault="006A7A9F" w:rsidP="006A7A9F">
            <w:pPr>
              <w:rPr>
                <w:rFonts w:ascii="Arial" w:eastAsia="Times New Roman" w:hAnsi="Arial" w:cs="Arial"/>
                <w:b/>
                <w:bCs/>
                <w:color w:val="000000"/>
                <w:sz w:val="14"/>
                <w:szCs w:val="14"/>
                <w:lang w:val="cs-CZ" w:eastAsia="cs-CZ"/>
              </w:rPr>
            </w:pPr>
          </w:p>
        </w:tc>
        <w:tc>
          <w:tcPr>
            <w:tcW w:w="2448" w:type="dxa"/>
            <w:vMerge/>
            <w:tcBorders>
              <w:top w:val="single" w:sz="4" w:space="0" w:color="auto"/>
              <w:left w:val="single" w:sz="4" w:space="0" w:color="auto"/>
              <w:bottom w:val="single" w:sz="4" w:space="0" w:color="000000"/>
              <w:right w:val="single" w:sz="4" w:space="0" w:color="auto"/>
            </w:tcBorders>
            <w:vAlign w:val="center"/>
            <w:hideMark/>
          </w:tcPr>
          <w:p w14:paraId="7C959CF6" w14:textId="77777777" w:rsidR="006A7A9F" w:rsidRPr="006A7A9F" w:rsidRDefault="006A7A9F" w:rsidP="006A7A9F">
            <w:pPr>
              <w:rPr>
                <w:rFonts w:ascii="Arial" w:eastAsia="Times New Roman" w:hAnsi="Arial" w:cs="Arial"/>
                <w:b/>
                <w:bCs/>
                <w:color w:val="000000"/>
                <w:sz w:val="14"/>
                <w:szCs w:val="14"/>
                <w:lang w:val="cs-CZ" w:eastAsia="cs-CZ"/>
              </w:rPr>
            </w:pPr>
          </w:p>
        </w:tc>
        <w:tc>
          <w:tcPr>
            <w:tcW w:w="1128" w:type="dxa"/>
            <w:vMerge/>
            <w:tcBorders>
              <w:top w:val="single" w:sz="4" w:space="0" w:color="auto"/>
              <w:left w:val="single" w:sz="4" w:space="0" w:color="auto"/>
              <w:bottom w:val="single" w:sz="4" w:space="0" w:color="000000"/>
              <w:right w:val="single" w:sz="4" w:space="0" w:color="auto"/>
            </w:tcBorders>
            <w:vAlign w:val="center"/>
            <w:hideMark/>
          </w:tcPr>
          <w:p w14:paraId="12B381C8" w14:textId="77777777" w:rsidR="006A7A9F" w:rsidRPr="006A7A9F" w:rsidRDefault="006A7A9F" w:rsidP="006A7A9F">
            <w:pPr>
              <w:rPr>
                <w:rFonts w:ascii="Arial" w:eastAsia="Times New Roman" w:hAnsi="Arial" w:cs="Arial"/>
                <w:b/>
                <w:bCs/>
                <w:color w:val="000000"/>
                <w:sz w:val="14"/>
                <w:szCs w:val="14"/>
                <w:lang w:val="cs-CZ" w:eastAsia="cs-CZ"/>
              </w:rPr>
            </w:pPr>
          </w:p>
        </w:tc>
        <w:tc>
          <w:tcPr>
            <w:tcW w:w="2749" w:type="dxa"/>
            <w:vMerge/>
            <w:tcBorders>
              <w:top w:val="single" w:sz="4" w:space="0" w:color="auto"/>
              <w:left w:val="single" w:sz="4" w:space="0" w:color="auto"/>
              <w:bottom w:val="single" w:sz="4" w:space="0" w:color="000000"/>
              <w:right w:val="single" w:sz="4" w:space="0" w:color="auto"/>
            </w:tcBorders>
            <w:vAlign w:val="center"/>
            <w:hideMark/>
          </w:tcPr>
          <w:p w14:paraId="0B86853D" w14:textId="77777777" w:rsidR="006A7A9F" w:rsidRPr="006A7A9F" w:rsidRDefault="006A7A9F" w:rsidP="006A7A9F">
            <w:pPr>
              <w:rPr>
                <w:rFonts w:ascii="Arial" w:eastAsia="Times New Roman" w:hAnsi="Arial" w:cs="Arial"/>
                <w:b/>
                <w:bCs/>
                <w:color w:val="000000"/>
                <w:sz w:val="14"/>
                <w:szCs w:val="14"/>
                <w:lang w:val="cs-CZ" w:eastAsia="cs-CZ"/>
              </w:rPr>
            </w:pPr>
          </w:p>
        </w:tc>
        <w:tc>
          <w:tcPr>
            <w:tcW w:w="789" w:type="dxa"/>
            <w:vMerge/>
            <w:tcBorders>
              <w:top w:val="single" w:sz="4" w:space="0" w:color="auto"/>
              <w:left w:val="single" w:sz="4" w:space="0" w:color="auto"/>
              <w:bottom w:val="single" w:sz="4" w:space="0" w:color="000000"/>
              <w:right w:val="single" w:sz="4" w:space="0" w:color="auto"/>
            </w:tcBorders>
            <w:vAlign w:val="center"/>
            <w:hideMark/>
          </w:tcPr>
          <w:p w14:paraId="42B235C0" w14:textId="77777777" w:rsidR="006A7A9F" w:rsidRPr="006A7A9F" w:rsidRDefault="006A7A9F" w:rsidP="006A7A9F">
            <w:pPr>
              <w:rPr>
                <w:rFonts w:ascii="Arial" w:eastAsia="Times New Roman" w:hAnsi="Arial" w:cs="Arial"/>
                <w:b/>
                <w:bCs/>
                <w:color w:val="000000"/>
                <w:sz w:val="14"/>
                <w:szCs w:val="14"/>
                <w:lang w:val="cs-CZ" w:eastAsia="cs-CZ"/>
              </w:rPr>
            </w:pPr>
          </w:p>
        </w:tc>
        <w:tc>
          <w:tcPr>
            <w:tcW w:w="761" w:type="dxa"/>
            <w:vMerge/>
            <w:tcBorders>
              <w:top w:val="single" w:sz="4" w:space="0" w:color="auto"/>
              <w:left w:val="single" w:sz="4" w:space="0" w:color="auto"/>
              <w:bottom w:val="single" w:sz="4" w:space="0" w:color="000000"/>
              <w:right w:val="single" w:sz="4" w:space="0" w:color="auto"/>
            </w:tcBorders>
            <w:vAlign w:val="center"/>
            <w:hideMark/>
          </w:tcPr>
          <w:p w14:paraId="49C4D041" w14:textId="77777777" w:rsidR="006A7A9F" w:rsidRPr="006A7A9F" w:rsidRDefault="006A7A9F" w:rsidP="006A7A9F">
            <w:pPr>
              <w:rPr>
                <w:rFonts w:ascii="Arial" w:eastAsia="Times New Roman" w:hAnsi="Arial" w:cs="Arial"/>
                <w:b/>
                <w:bCs/>
                <w:color w:val="000000"/>
                <w:sz w:val="14"/>
                <w:szCs w:val="14"/>
                <w:lang w:val="cs-CZ" w:eastAsia="cs-CZ"/>
              </w:rPr>
            </w:pPr>
          </w:p>
        </w:tc>
        <w:tc>
          <w:tcPr>
            <w:tcW w:w="5687" w:type="dxa"/>
            <w:gridSpan w:val="10"/>
            <w:tcBorders>
              <w:top w:val="single" w:sz="4" w:space="0" w:color="auto"/>
              <w:left w:val="nil"/>
              <w:bottom w:val="single" w:sz="4" w:space="0" w:color="auto"/>
              <w:right w:val="single" w:sz="4" w:space="0" w:color="000000"/>
            </w:tcBorders>
            <w:shd w:val="clear" w:color="auto" w:fill="auto"/>
            <w:vAlign w:val="center"/>
            <w:hideMark/>
          </w:tcPr>
          <w:p w14:paraId="1E762EB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Roční hodnota</w:t>
            </w:r>
          </w:p>
        </w:tc>
        <w:tc>
          <w:tcPr>
            <w:tcW w:w="861" w:type="dxa"/>
            <w:tcBorders>
              <w:top w:val="nil"/>
              <w:left w:val="nil"/>
              <w:bottom w:val="single" w:sz="4" w:space="0" w:color="auto"/>
              <w:right w:val="single" w:sz="4" w:space="0" w:color="auto"/>
            </w:tcBorders>
            <w:shd w:val="clear" w:color="auto" w:fill="auto"/>
            <w:vAlign w:val="center"/>
            <w:hideMark/>
          </w:tcPr>
          <w:p w14:paraId="36EB324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Celkem</w:t>
            </w:r>
          </w:p>
        </w:tc>
        <w:tc>
          <w:tcPr>
            <w:tcW w:w="721" w:type="dxa"/>
            <w:vMerge/>
            <w:tcBorders>
              <w:top w:val="single" w:sz="4" w:space="0" w:color="auto"/>
              <w:left w:val="single" w:sz="4" w:space="0" w:color="auto"/>
              <w:bottom w:val="single" w:sz="4" w:space="0" w:color="000000"/>
              <w:right w:val="single" w:sz="4" w:space="0" w:color="auto"/>
            </w:tcBorders>
            <w:vAlign w:val="center"/>
            <w:hideMark/>
          </w:tcPr>
          <w:p w14:paraId="77F44A58"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5C541F61" w14:textId="77777777" w:rsidTr="007D24EE">
        <w:trPr>
          <w:trHeight w:val="20"/>
          <w:tblHeader/>
        </w:trPr>
        <w:tc>
          <w:tcPr>
            <w:tcW w:w="796" w:type="dxa"/>
            <w:vMerge/>
            <w:tcBorders>
              <w:top w:val="single" w:sz="4" w:space="0" w:color="auto"/>
              <w:left w:val="single" w:sz="4" w:space="0" w:color="auto"/>
              <w:bottom w:val="single" w:sz="4" w:space="0" w:color="000000"/>
              <w:right w:val="single" w:sz="4" w:space="0" w:color="auto"/>
            </w:tcBorders>
            <w:vAlign w:val="center"/>
            <w:hideMark/>
          </w:tcPr>
          <w:p w14:paraId="141BCB45" w14:textId="77777777" w:rsidR="006A7A9F" w:rsidRPr="006A7A9F" w:rsidRDefault="006A7A9F" w:rsidP="006A7A9F">
            <w:pPr>
              <w:rPr>
                <w:rFonts w:ascii="Arial" w:eastAsia="Times New Roman" w:hAnsi="Arial" w:cs="Arial"/>
                <w:b/>
                <w:bCs/>
                <w:color w:val="000000"/>
                <w:sz w:val="14"/>
                <w:szCs w:val="14"/>
                <w:lang w:val="cs-CZ" w:eastAsia="cs-CZ"/>
              </w:rPr>
            </w:pPr>
          </w:p>
        </w:tc>
        <w:tc>
          <w:tcPr>
            <w:tcW w:w="2448" w:type="dxa"/>
            <w:vMerge/>
            <w:tcBorders>
              <w:top w:val="single" w:sz="4" w:space="0" w:color="auto"/>
              <w:left w:val="single" w:sz="4" w:space="0" w:color="auto"/>
              <w:bottom w:val="single" w:sz="4" w:space="0" w:color="000000"/>
              <w:right w:val="single" w:sz="4" w:space="0" w:color="auto"/>
            </w:tcBorders>
            <w:vAlign w:val="center"/>
            <w:hideMark/>
          </w:tcPr>
          <w:p w14:paraId="0951E545" w14:textId="77777777" w:rsidR="006A7A9F" w:rsidRPr="006A7A9F" w:rsidRDefault="006A7A9F" w:rsidP="006A7A9F">
            <w:pPr>
              <w:rPr>
                <w:rFonts w:ascii="Arial" w:eastAsia="Times New Roman" w:hAnsi="Arial" w:cs="Arial"/>
                <w:b/>
                <w:bCs/>
                <w:color w:val="000000"/>
                <w:sz w:val="14"/>
                <w:szCs w:val="14"/>
                <w:lang w:val="cs-CZ" w:eastAsia="cs-CZ"/>
              </w:rPr>
            </w:pPr>
          </w:p>
        </w:tc>
        <w:tc>
          <w:tcPr>
            <w:tcW w:w="1128" w:type="dxa"/>
            <w:vMerge/>
            <w:tcBorders>
              <w:top w:val="single" w:sz="4" w:space="0" w:color="auto"/>
              <w:left w:val="single" w:sz="4" w:space="0" w:color="auto"/>
              <w:bottom w:val="single" w:sz="4" w:space="0" w:color="000000"/>
              <w:right w:val="single" w:sz="4" w:space="0" w:color="auto"/>
            </w:tcBorders>
            <w:vAlign w:val="center"/>
            <w:hideMark/>
          </w:tcPr>
          <w:p w14:paraId="25D53B52" w14:textId="77777777" w:rsidR="006A7A9F" w:rsidRPr="006A7A9F" w:rsidRDefault="006A7A9F" w:rsidP="006A7A9F">
            <w:pPr>
              <w:rPr>
                <w:rFonts w:ascii="Arial" w:eastAsia="Times New Roman" w:hAnsi="Arial" w:cs="Arial"/>
                <w:b/>
                <w:bCs/>
                <w:color w:val="000000"/>
                <w:sz w:val="14"/>
                <w:szCs w:val="14"/>
                <w:lang w:val="cs-CZ" w:eastAsia="cs-CZ"/>
              </w:rPr>
            </w:pPr>
          </w:p>
        </w:tc>
        <w:tc>
          <w:tcPr>
            <w:tcW w:w="2749" w:type="dxa"/>
            <w:vMerge/>
            <w:tcBorders>
              <w:top w:val="single" w:sz="4" w:space="0" w:color="auto"/>
              <w:left w:val="single" w:sz="4" w:space="0" w:color="auto"/>
              <w:bottom w:val="single" w:sz="4" w:space="0" w:color="000000"/>
              <w:right w:val="single" w:sz="4" w:space="0" w:color="auto"/>
            </w:tcBorders>
            <w:vAlign w:val="center"/>
            <w:hideMark/>
          </w:tcPr>
          <w:p w14:paraId="0051758F" w14:textId="77777777" w:rsidR="006A7A9F" w:rsidRPr="006A7A9F" w:rsidRDefault="006A7A9F" w:rsidP="006A7A9F">
            <w:pPr>
              <w:rPr>
                <w:rFonts w:ascii="Arial" w:eastAsia="Times New Roman" w:hAnsi="Arial" w:cs="Arial"/>
                <w:b/>
                <w:bCs/>
                <w:color w:val="000000"/>
                <w:sz w:val="14"/>
                <w:szCs w:val="14"/>
                <w:lang w:val="cs-CZ" w:eastAsia="cs-CZ"/>
              </w:rPr>
            </w:pPr>
          </w:p>
        </w:tc>
        <w:tc>
          <w:tcPr>
            <w:tcW w:w="789" w:type="dxa"/>
            <w:vMerge/>
            <w:tcBorders>
              <w:top w:val="single" w:sz="4" w:space="0" w:color="auto"/>
              <w:left w:val="single" w:sz="4" w:space="0" w:color="auto"/>
              <w:bottom w:val="single" w:sz="4" w:space="0" w:color="000000"/>
              <w:right w:val="single" w:sz="4" w:space="0" w:color="auto"/>
            </w:tcBorders>
            <w:vAlign w:val="center"/>
            <w:hideMark/>
          </w:tcPr>
          <w:p w14:paraId="5017AE57" w14:textId="77777777" w:rsidR="006A7A9F" w:rsidRPr="006A7A9F" w:rsidRDefault="006A7A9F" w:rsidP="006A7A9F">
            <w:pPr>
              <w:rPr>
                <w:rFonts w:ascii="Arial" w:eastAsia="Times New Roman" w:hAnsi="Arial" w:cs="Arial"/>
                <w:b/>
                <w:bCs/>
                <w:color w:val="000000"/>
                <w:sz w:val="14"/>
                <w:szCs w:val="14"/>
                <w:lang w:val="cs-CZ" w:eastAsia="cs-CZ"/>
              </w:rPr>
            </w:pPr>
          </w:p>
        </w:tc>
        <w:tc>
          <w:tcPr>
            <w:tcW w:w="761" w:type="dxa"/>
            <w:vMerge/>
            <w:tcBorders>
              <w:top w:val="single" w:sz="4" w:space="0" w:color="auto"/>
              <w:left w:val="single" w:sz="4" w:space="0" w:color="auto"/>
              <w:bottom w:val="single" w:sz="4" w:space="0" w:color="000000"/>
              <w:right w:val="single" w:sz="4" w:space="0" w:color="auto"/>
            </w:tcBorders>
            <w:vAlign w:val="center"/>
            <w:hideMark/>
          </w:tcPr>
          <w:p w14:paraId="37880CB6" w14:textId="77777777" w:rsidR="006A7A9F" w:rsidRPr="006A7A9F" w:rsidRDefault="006A7A9F" w:rsidP="006A7A9F">
            <w:pPr>
              <w:rPr>
                <w:rFonts w:ascii="Arial" w:eastAsia="Times New Roman" w:hAnsi="Arial" w:cs="Arial"/>
                <w:b/>
                <w:bCs/>
                <w:color w:val="000000"/>
                <w:sz w:val="14"/>
                <w:szCs w:val="14"/>
                <w:lang w:val="cs-CZ" w:eastAsia="cs-CZ"/>
              </w:rPr>
            </w:pPr>
          </w:p>
        </w:tc>
        <w:tc>
          <w:tcPr>
            <w:tcW w:w="569" w:type="dxa"/>
            <w:tcBorders>
              <w:top w:val="nil"/>
              <w:left w:val="nil"/>
              <w:bottom w:val="single" w:sz="4" w:space="0" w:color="auto"/>
              <w:right w:val="single" w:sz="4" w:space="0" w:color="auto"/>
            </w:tcBorders>
            <w:shd w:val="clear" w:color="auto" w:fill="auto"/>
            <w:vAlign w:val="center"/>
            <w:hideMark/>
          </w:tcPr>
          <w:p w14:paraId="795C607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67ED472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14CEF37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625DF4D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4986BE3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9" w:type="dxa"/>
            <w:tcBorders>
              <w:top w:val="nil"/>
              <w:left w:val="nil"/>
              <w:bottom w:val="single" w:sz="4" w:space="0" w:color="auto"/>
              <w:right w:val="single" w:sz="4" w:space="0" w:color="auto"/>
            </w:tcBorders>
            <w:shd w:val="clear" w:color="auto" w:fill="auto"/>
            <w:vAlign w:val="center"/>
            <w:hideMark/>
          </w:tcPr>
          <w:p w14:paraId="513B085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7" w:type="dxa"/>
            <w:tcBorders>
              <w:top w:val="nil"/>
              <w:left w:val="nil"/>
              <w:bottom w:val="single" w:sz="4" w:space="0" w:color="auto"/>
              <w:right w:val="single" w:sz="4" w:space="0" w:color="auto"/>
            </w:tcBorders>
            <w:shd w:val="clear" w:color="auto" w:fill="auto"/>
            <w:vAlign w:val="center"/>
            <w:hideMark/>
          </w:tcPr>
          <w:p w14:paraId="60BC91D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7" w:type="dxa"/>
            <w:tcBorders>
              <w:top w:val="nil"/>
              <w:left w:val="nil"/>
              <w:bottom w:val="single" w:sz="4" w:space="0" w:color="auto"/>
              <w:right w:val="single" w:sz="4" w:space="0" w:color="auto"/>
            </w:tcBorders>
            <w:shd w:val="clear" w:color="auto" w:fill="auto"/>
            <w:vAlign w:val="center"/>
            <w:hideMark/>
          </w:tcPr>
          <w:p w14:paraId="3D344FA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7" w:type="dxa"/>
            <w:tcBorders>
              <w:top w:val="nil"/>
              <w:left w:val="nil"/>
              <w:bottom w:val="single" w:sz="4" w:space="0" w:color="auto"/>
              <w:right w:val="single" w:sz="4" w:space="0" w:color="auto"/>
            </w:tcBorders>
            <w:shd w:val="clear" w:color="auto" w:fill="auto"/>
            <w:vAlign w:val="center"/>
            <w:hideMark/>
          </w:tcPr>
          <w:p w14:paraId="1ADFC1D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7" w:type="dxa"/>
            <w:tcBorders>
              <w:top w:val="nil"/>
              <w:left w:val="nil"/>
              <w:bottom w:val="single" w:sz="4" w:space="0" w:color="auto"/>
              <w:right w:val="single" w:sz="4" w:space="0" w:color="auto"/>
            </w:tcBorders>
            <w:shd w:val="clear" w:color="auto" w:fill="auto"/>
            <w:vAlign w:val="center"/>
            <w:hideMark/>
          </w:tcPr>
          <w:p w14:paraId="151CDDC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861" w:type="dxa"/>
            <w:tcBorders>
              <w:top w:val="nil"/>
              <w:left w:val="nil"/>
              <w:bottom w:val="single" w:sz="4" w:space="0" w:color="auto"/>
              <w:right w:val="single" w:sz="4" w:space="0" w:color="auto"/>
            </w:tcBorders>
            <w:shd w:val="clear" w:color="auto" w:fill="auto"/>
            <w:vAlign w:val="center"/>
            <w:hideMark/>
          </w:tcPr>
          <w:p w14:paraId="0F73FDD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721" w:type="dxa"/>
            <w:vMerge/>
            <w:tcBorders>
              <w:top w:val="single" w:sz="4" w:space="0" w:color="auto"/>
              <w:left w:val="single" w:sz="4" w:space="0" w:color="auto"/>
              <w:bottom w:val="single" w:sz="4" w:space="0" w:color="000000"/>
              <w:right w:val="single" w:sz="4" w:space="0" w:color="auto"/>
            </w:tcBorders>
            <w:vAlign w:val="center"/>
            <w:hideMark/>
          </w:tcPr>
          <w:p w14:paraId="6FDF15CC"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635A9E14" w14:textId="77777777" w:rsidTr="007D24EE">
        <w:trPr>
          <w:trHeight w:val="20"/>
          <w:tblHeader/>
        </w:trPr>
        <w:tc>
          <w:tcPr>
            <w:tcW w:w="796" w:type="dxa"/>
            <w:vMerge/>
            <w:tcBorders>
              <w:top w:val="single" w:sz="4" w:space="0" w:color="auto"/>
              <w:left w:val="single" w:sz="4" w:space="0" w:color="auto"/>
              <w:bottom w:val="single" w:sz="4" w:space="0" w:color="000000"/>
              <w:right w:val="single" w:sz="4" w:space="0" w:color="auto"/>
            </w:tcBorders>
            <w:vAlign w:val="center"/>
            <w:hideMark/>
          </w:tcPr>
          <w:p w14:paraId="2244B836" w14:textId="77777777" w:rsidR="006A7A9F" w:rsidRPr="006A7A9F" w:rsidRDefault="006A7A9F" w:rsidP="006A7A9F">
            <w:pPr>
              <w:rPr>
                <w:rFonts w:ascii="Arial" w:eastAsia="Times New Roman" w:hAnsi="Arial" w:cs="Arial"/>
                <w:b/>
                <w:bCs/>
                <w:color w:val="000000"/>
                <w:sz w:val="14"/>
                <w:szCs w:val="14"/>
                <w:lang w:val="cs-CZ" w:eastAsia="cs-CZ"/>
              </w:rPr>
            </w:pPr>
          </w:p>
        </w:tc>
        <w:tc>
          <w:tcPr>
            <w:tcW w:w="2448" w:type="dxa"/>
            <w:vMerge/>
            <w:tcBorders>
              <w:top w:val="single" w:sz="4" w:space="0" w:color="auto"/>
              <w:left w:val="single" w:sz="4" w:space="0" w:color="auto"/>
              <w:bottom w:val="single" w:sz="4" w:space="0" w:color="000000"/>
              <w:right w:val="single" w:sz="4" w:space="0" w:color="auto"/>
            </w:tcBorders>
            <w:vAlign w:val="center"/>
            <w:hideMark/>
          </w:tcPr>
          <w:p w14:paraId="415BBFA4" w14:textId="77777777" w:rsidR="006A7A9F" w:rsidRPr="006A7A9F" w:rsidRDefault="006A7A9F" w:rsidP="006A7A9F">
            <w:pPr>
              <w:rPr>
                <w:rFonts w:ascii="Arial" w:eastAsia="Times New Roman" w:hAnsi="Arial" w:cs="Arial"/>
                <w:b/>
                <w:bCs/>
                <w:color w:val="000000"/>
                <w:sz w:val="14"/>
                <w:szCs w:val="14"/>
                <w:lang w:val="cs-CZ" w:eastAsia="cs-CZ"/>
              </w:rPr>
            </w:pPr>
          </w:p>
        </w:tc>
        <w:tc>
          <w:tcPr>
            <w:tcW w:w="1128" w:type="dxa"/>
            <w:vMerge/>
            <w:tcBorders>
              <w:top w:val="single" w:sz="4" w:space="0" w:color="auto"/>
              <w:left w:val="single" w:sz="4" w:space="0" w:color="auto"/>
              <w:bottom w:val="single" w:sz="4" w:space="0" w:color="000000"/>
              <w:right w:val="single" w:sz="4" w:space="0" w:color="auto"/>
            </w:tcBorders>
            <w:vAlign w:val="center"/>
            <w:hideMark/>
          </w:tcPr>
          <w:p w14:paraId="77D3D01D" w14:textId="77777777" w:rsidR="006A7A9F" w:rsidRPr="006A7A9F" w:rsidRDefault="006A7A9F" w:rsidP="006A7A9F">
            <w:pPr>
              <w:rPr>
                <w:rFonts w:ascii="Arial" w:eastAsia="Times New Roman" w:hAnsi="Arial" w:cs="Arial"/>
                <w:b/>
                <w:bCs/>
                <w:color w:val="000000"/>
                <w:sz w:val="14"/>
                <w:szCs w:val="14"/>
                <w:lang w:val="cs-CZ" w:eastAsia="cs-CZ"/>
              </w:rPr>
            </w:pPr>
          </w:p>
        </w:tc>
        <w:tc>
          <w:tcPr>
            <w:tcW w:w="2749" w:type="dxa"/>
            <w:vMerge/>
            <w:tcBorders>
              <w:top w:val="single" w:sz="4" w:space="0" w:color="auto"/>
              <w:left w:val="single" w:sz="4" w:space="0" w:color="auto"/>
              <w:bottom w:val="single" w:sz="4" w:space="0" w:color="000000"/>
              <w:right w:val="single" w:sz="4" w:space="0" w:color="auto"/>
            </w:tcBorders>
            <w:vAlign w:val="center"/>
            <w:hideMark/>
          </w:tcPr>
          <w:p w14:paraId="13E3EB10" w14:textId="77777777" w:rsidR="006A7A9F" w:rsidRPr="006A7A9F" w:rsidRDefault="006A7A9F" w:rsidP="006A7A9F">
            <w:pPr>
              <w:rPr>
                <w:rFonts w:ascii="Arial" w:eastAsia="Times New Roman" w:hAnsi="Arial" w:cs="Arial"/>
                <w:b/>
                <w:bCs/>
                <w:color w:val="000000"/>
                <w:sz w:val="14"/>
                <w:szCs w:val="14"/>
                <w:lang w:val="cs-CZ" w:eastAsia="cs-CZ"/>
              </w:rPr>
            </w:pPr>
          </w:p>
        </w:tc>
        <w:tc>
          <w:tcPr>
            <w:tcW w:w="789" w:type="dxa"/>
            <w:vMerge/>
            <w:tcBorders>
              <w:top w:val="single" w:sz="4" w:space="0" w:color="auto"/>
              <w:left w:val="single" w:sz="4" w:space="0" w:color="auto"/>
              <w:bottom w:val="single" w:sz="4" w:space="0" w:color="000000"/>
              <w:right w:val="single" w:sz="4" w:space="0" w:color="auto"/>
            </w:tcBorders>
            <w:vAlign w:val="center"/>
            <w:hideMark/>
          </w:tcPr>
          <w:p w14:paraId="29BD8879" w14:textId="77777777" w:rsidR="006A7A9F" w:rsidRPr="006A7A9F" w:rsidRDefault="006A7A9F" w:rsidP="006A7A9F">
            <w:pPr>
              <w:rPr>
                <w:rFonts w:ascii="Arial" w:eastAsia="Times New Roman" w:hAnsi="Arial" w:cs="Arial"/>
                <w:b/>
                <w:bCs/>
                <w:color w:val="000000"/>
                <w:sz w:val="14"/>
                <w:szCs w:val="14"/>
                <w:lang w:val="cs-CZ" w:eastAsia="cs-CZ"/>
              </w:rPr>
            </w:pPr>
          </w:p>
        </w:tc>
        <w:tc>
          <w:tcPr>
            <w:tcW w:w="761" w:type="dxa"/>
            <w:vMerge/>
            <w:tcBorders>
              <w:top w:val="single" w:sz="4" w:space="0" w:color="auto"/>
              <w:left w:val="single" w:sz="4" w:space="0" w:color="auto"/>
              <w:bottom w:val="single" w:sz="4" w:space="0" w:color="000000"/>
              <w:right w:val="single" w:sz="4" w:space="0" w:color="auto"/>
            </w:tcBorders>
            <w:vAlign w:val="center"/>
            <w:hideMark/>
          </w:tcPr>
          <w:p w14:paraId="6729649E" w14:textId="77777777" w:rsidR="006A7A9F" w:rsidRPr="006A7A9F" w:rsidRDefault="006A7A9F" w:rsidP="006A7A9F">
            <w:pPr>
              <w:rPr>
                <w:rFonts w:ascii="Arial" w:eastAsia="Times New Roman" w:hAnsi="Arial" w:cs="Arial"/>
                <w:b/>
                <w:bCs/>
                <w:color w:val="000000"/>
                <w:sz w:val="14"/>
                <w:szCs w:val="14"/>
                <w:lang w:val="cs-CZ" w:eastAsia="cs-CZ"/>
              </w:rPr>
            </w:pPr>
          </w:p>
        </w:tc>
        <w:tc>
          <w:tcPr>
            <w:tcW w:w="569" w:type="dxa"/>
            <w:tcBorders>
              <w:top w:val="nil"/>
              <w:left w:val="nil"/>
              <w:bottom w:val="single" w:sz="4" w:space="0" w:color="auto"/>
              <w:right w:val="single" w:sz="4" w:space="0" w:color="auto"/>
            </w:tcBorders>
            <w:shd w:val="clear" w:color="auto" w:fill="auto"/>
            <w:vAlign w:val="center"/>
            <w:hideMark/>
          </w:tcPr>
          <w:p w14:paraId="3A05F95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123C10D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255F00D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48AF1D4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010408D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9" w:type="dxa"/>
            <w:tcBorders>
              <w:top w:val="nil"/>
              <w:left w:val="nil"/>
              <w:bottom w:val="single" w:sz="4" w:space="0" w:color="auto"/>
              <w:right w:val="single" w:sz="4" w:space="0" w:color="auto"/>
            </w:tcBorders>
            <w:shd w:val="clear" w:color="auto" w:fill="auto"/>
            <w:vAlign w:val="center"/>
            <w:hideMark/>
          </w:tcPr>
          <w:p w14:paraId="12D3C8D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7" w:type="dxa"/>
            <w:tcBorders>
              <w:top w:val="nil"/>
              <w:left w:val="nil"/>
              <w:bottom w:val="single" w:sz="4" w:space="0" w:color="auto"/>
              <w:right w:val="single" w:sz="4" w:space="0" w:color="auto"/>
            </w:tcBorders>
            <w:shd w:val="clear" w:color="auto" w:fill="auto"/>
            <w:vAlign w:val="center"/>
            <w:hideMark/>
          </w:tcPr>
          <w:p w14:paraId="61CDBF4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7" w:type="dxa"/>
            <w:tcBorders>
              <w:top w:val="nil"/>
              <w:left w:val="nil"/>
              <w:bottom w:val="single" w:sz="4" w:space="0" w:color="auto"/>
              <w:right w:val="single" w:sz="4" w:space="0" w:color="auto"/>
            </w:tcBorders>
            <w:shd w:val="clear" w:color="auto" w:fill="auto"/>
            <w:vAlign w:val="center"/>
            <w:hideMark/>
          </w:tcPr>
          <w:p w14:paraId="2D30930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7" w:type="dxa"/>
            <w:tcBorders>
              <w:top w:val="nil"/>
              <w:left w:val="nil"/>
              <w:bottom w:val="single" w:sz="4" w:space="0" w:color="auto"/>
              <w:right w:val="single" w:sz="4" w:space="0" w:color="auto"/>
            </w:tcBorders>
            <w:shd w:val="clear" w:color="auto" w:fill="auto"/>
            <w:vAlign w:val="center"/>
            <w:hideMark/>
          </w:tcPr>
          <w:p w14:paraId="3B8434A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7" w:type="dxa"/>
            <w:tcBorders>
              <w:top w:val="nil"/>
              <w:left w:val="nil"/>
              <w:bottom w:val="single" w:sz="4" w:space="0" w:color="auto"/>
              <w:right w:val="single" w:sz="4" w:space="0" w:color="auto"/>
            </w:tcBorders>
            <w:shd w:val="clear" w:color="auto" w:fill="auto"/>
            <w:vAlign w:val="center"/>
            <w:hideMark/>
          </w:tcPr>
          <w:p w14:paraId="59E3BED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861" w:type="dxa"/>
            <w:tcBorders>
              <w:top w:val="nil"/>
              <w:left w:val="nil"/>
              <w:bottom w:val="single" w:sz="4" w:space="0" w:color="auto"/>
              <w:right w:val="single" w:sz="4" w:space="0" w:color="auto"/>
            </w:tcBorders>
            <w:shd w:val="clear" w:color="auto" w:fill="auto"/>
            <w:vAlign w:val="center"/>
            <w:hideMark/>
          </w:tcPr>
          <w:p w14:paraId="111DC48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721" w:type="dxa"/>
            <w:vMerge/>
            <w:tcBorders>
              <w:top w:val="single" w:sz="4" w:space="0" w:color="auto"/>
              <w:left w:val="single" w:sz="4" w:space="0" w:color="auto"/>
              <w:bottom w:val="single" w:sz="4" w:space="0" w:color="000000"/>
              <w:right w:val="single" w:sz="4" w:space="0" w:color="auto"/>
            </w:tcBorders>
            <w:vAlign w:val="center"/>
            <w:hideMark/>
          </w:tcPr>
          <w:p w14:paraId="3E0866C0"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2C55B602"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266F464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62600/CR03</w:t>
            </w:r>
          </w:p>
        </w:tc>
        <w:tc>
          <w:tcPr>
            <w:tcW w:w="2448" w:type="dxa"/>
            <w:vMerge w:val="restart"/>
            <w:tcBorders>
              <w:top w:val="nil"/>
              <w:left w:val="single" w:sz="4" w:space="0" w:color="auto"/>
              <w:bottom w:val="single" w:sz="4" w:space="0" w:color="000000"/>
              <w:right w:val="single" w:sz="4" w:space="0" w:color="auto"/>
            </w:tcBorders>
            <w:shd w:val="clear" w:color="auto" w:fill="auto"/>
            <w:vAlign w:val="center"/>
            <w:hideMark/>
          </w:tcPr>
          <w:p w14:paraId="15E8B41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128" w:type="dxa"/>
            <w:vMerge w:val="restart"/>
            <w:tcBorders>
              <w:top w:val="nil"/>
              <w:left w:val="single" w:sz="4" w:space="0" w:color="auto"/>
              <w:bottom w:val="single" w:sz="4" w:space="0" w:color="000000"/>
              <w:right w:val="single" w:sz="4" w:space="0" w:color="auto"/>
            </w:tcBorders>
            <w:shd w:val="clear" w:color="auto" w:fill="auto"/>
            <w:vAlign w:val="center"/>
            <w:hideMark/>
          </w:tcPr>
          <w:p w14:paraId="1B50BD9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749" w:type="dxa"/>
            <w:vMerge w:val="restart"/>
            <w:tcBorders>
              <w:top w:val="nil"/>
              <w:left w:val="single" w:sz="4" w:space="0" w:color="auto"/>
              <w:bottom w:val="single" w:sz="4" w:space="0" w:color="000000"/>
              <w:right w:val="single" w:sz="4" w:space="0" w:color="auto"/>
            </w:tcBorders>
            <w:shd w:val="clear" w:color="auto" w:fill="auto"/>
            <w:vAlign w:val="center"/>
            <w:hideMark/>
          </w:tcPr>
          <w:p w14:paraId="0385A29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89" w:type="dxa"/>
            <w:vMerge w:val="restart"/>
            <w:tcBorders>
              <w:top w:val="nil"/>
              <w:left w:val="single" w:sz="4" w:space="0" w:color="auto"/>
              <w:bottom w:val="single" w:sz="4" w:space="0" w:color="000000"/>
              <w:right w:val="single" w:sz="4" w:space="0" w:color="auto"/>
            </w:tcBorders>
            <w:shd w:val="clear" w:color="auto" w:fill="auto"/>
            <w:vAlign w:val="center"/>
            <w:hideMark/>
          </w:tcPr>
          <w:p w14:paraId="38BB742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61" w:type="dxa"/>
            <w:vMerge w:val="restart"/>
            <w:tcBorders>
              <w:top w:val="nil"/>
              <w:left w:val="single" w:sz="4" w:space="0" w:color="auto"/>
              <w:bottom w:val="single" w:sz="4" w:space="0" w:color="000000"/>
              <w:right w:val="single" w:sz="4" w:space="0" w:color="auto"/>
            </w:tcBorders>
            <w:shd w:val="clear" w:color="auto" w:fill="auto"/>
            <w:vAlign w:val="center"/>
            <w:hideMark/>
          </w:tcPr>
          <w:p w14:paraId="0A644C0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2 790,000</w:t>
            </w:r>
          </w:p>
        </w:tc>
        <w:tc>
          <w:tcPr>
            <w:tcW w:w="569" w:type="dxa"/>
            <w:tcBorders>
              <w:top w:val="nil"/>
              <w:left w:val="nil"/>
              <w:bottom w:val="single" w:sz="4" w:space="0" w:color="auto"/>
              <w:right w:val="single" w:sz="4" w:space="0" w:color="auto"/>
            </w:tcBorders>
            <w:shd w:val="clear" w:color="auto" w:fill="auto"/>
            <w:vAlign w:val="center"/>
            <w:hideMark/>
          </w:tcPr>
          <w:p w14:paraId="44C530B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5BEA883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4F7968F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7FBDDA7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31742E80"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5128C1C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239F1B5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29E8412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4E1854A0"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167367B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61" w:type="dxa"/>
            <w:tcBorders>
              <w:top w:val="nil"/>
              <w:left w:val="nil"/>
              <w:bottom w:val="single" w:sz="4" w:space="0" w:color="auto"/>
              <w:right w:val="single" w:sz="4" w:space="0" w:color="auto"/>
            </w:tcBorders>
            <w:shd w:val="clear" w:color="auto" w:fill="auto"/>
            <w:vAlign w:val="center"/>
            <w:hideMark/>
          </w:tcPr>
          <w:p w14:paraId="645E153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12,000</w:t>
            </w:r>
          </w:p>
        </w:tc>
        <w:tc>
          <w:tcPr>
            <w:tcW w:w="721" w:type="dxa"/>
            <w:vMerge w:val="restart"/>
            <w:tcBorders>
              <w:top w:val="nil"/>
              <w:left w:val="single" w:sz="4" w:space="0" w:color="auto"/>
              <w:bottom w:val="single" w:sz="4" w:space="0" w:color="000000"/>
              <w:right w:val="single" w:sz="4" w:space="0" w:color="auto"/>
            </w:tcBorders>
            <w:shd w:val="clear" w:color="auto" w:fill="auto"/>
            <w:vAlign w:val="center"/>
            <w:hideMark/>
          </w:tcPr>
          <w:p w14:paraId="0861D5D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0,430%</w:t>
            </w:r>
          </w:p>
        </w:tc>
      </w:tr>
      <w:tr w:rsidR="006A7A9F" w:rsidRPr="006A7A9F" w14:paraId="492C7F61"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6F342BD6" w14:textId="77777777" w:rsidR="006A7A9F" w:rsidRPr="006A7A9F" w:rsidRDefault="006A7A9F" w:rsidP="006A7A9F">
            <w:pPr>
              <w:rPr>
                <w:rFonts w:ascii="Arial" w:eastAsia="Times New Roman" w:hAnsi="Arial" w:cs="Arial"/>
                <w:color w:val="000000"/>
                <w:sz w:val="14"/>
                <w:szCs w:val="14"/>
                <w:lang w:val="cs-CZ" w:eastAsia="cs-CZ"/>
              </w:rPr>
            </w:pPr>
          </w:p>
        </w:tc>
        <w:tc>
          <w:tcPr>
            <w:tcW w:w="2448" w:type="dxa"/>
            <w:vMerge/>
            <w:tcBorders>
              <w:top w:val="nil"/>
              <w:left w:val="single" w:sz="4" w:space="0" w:color="auto"/>
              <w:bottom w:val="single" w:sz="4" w:space="0" w:color="000000"/>
              <w:right w:val="single" w:sz="4" w:space="0" w:color="auto"/>
            </w:tcBorders>
            <w:vAlign w:val="center"/>
            <w:hideMark/>
          </w:tcPr>
          <w:p w14:paraId="3F82AB07" w14:textId="77777777" w:rsidR="006A7A9F" w:rsidRPr="006A7A9F" w:rsidRDefault="006A7A9F" w:rsidP="006A7A9F">
            <w:pPr>
              <w:rPr>
                <w:rFonts w:ascii="Arial" w:eastAsia="Times New Roman" w:hAnsi="Arial" w:cs="Arial"/>
                <w:color w:val="000000"/>
                <w:sz w:val="14"/>
                <w:szCs w:val="14"/>
                <w:lang w:val="cs-CZ" w:eastAsia="cs-CZ"/>
              </w:rPr>
            </w:pPr>
          </w:p>
        </w:tc>
        <w:tc>
          <w:tcPr>
            <w:tcW w:w="1128" w:type="dxa"/>
            <w:vMerge/>
            <w:tcBorders>
              <w:top w:val="nil"/>
              <w:left w:val="single" w:sz="4" w:space="0" w:color="auto"/>
              <w:bottom w:val="single" w:sz="4" w:space="0" w:color="000000"/>
              <w:right w:val="single" w:sz="4" w:space="0" w:color="auto"/>
            </w:tcBorders>
            <w:vAlign w:val="center"/>
            <w:hideMark/>
          </w:tcPr>
          <w:p w14:paraId="12E7EFCE" w14:textId="77777777" w:rsidR="006A7A9F" w:rsidRPr="006A7A9F" w:rsidRDefault="006A7A9F" w:rsidP="006A7A9F">
            <w:pPr>
              <w:rPr>
                <w:rFonts w:ascii="Arial" w:eastAsia="Times New Roman" w:hAnsi="Arial" w:cs="Arial"/>
                <w:color w:val="000000"/>
                <w:sz w:val="14"/>
                <w:szCs w:val="14"/>
                <w:lang w:val="cs-CZ" w:eastAsia="cs-CZ"/>
              </w:rPr>
            </w:pPr>
          </w:p>
        </w:tc>
        <w:tc>
          <w:tcPr>
            <w:tcW w:w="2749" w:type="dxa"/>
            <w:vMerge/>
            <w:tcBorders>
              <w:top w:val="nil"/>
              <w:left w:val="single" w:sz="4" w:space="0" w:color="auto"/>
              <w:bottom w:val="single" w:sz="4" w:space="0" w:color="000000"/>
              <w:right w:val="single" w:sz="4" w:space="0" w:color="auto"/>
            </w:tcBorders>
            <w:vAlign w:val="center"/>
            <w:hideMark/>
          </w:tcPr>
          <w:p w14:paraId="66E77784" w14:textId="77777777" w:rsidR="006A7A9F" w:rsidRPr="006A7A9F" w:rsidRDefault="006A7A9F" w:rsidP="006A7A9F">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000000"/>
              <w:right w:val="single" w:sz="4" w:space="0" w:color="auto"/>
            </w:tcBorders>
            <w:vAlign w:val="center"/>
            <w:hideMark/>
          </w:tcPr>
          <w:p w14:paraId="58E1004F" w14:textId="77777777" w:rsidR="006A7A9F" w:rsidRPr="006A7A9F" w:rsidRDefault="006A7A9F" w:rsidP="006A7A9F">
            <w:pPr>
              <w:rPr>
                <w:rFonts w:ascii="Arial" w:eastAsia="Times New Roman" w:hAnsi="Arial" w:cs="Arial"/>
                <w:color w:val="000000"/>
                <w:sz w:val="14"/>
                <w:szCs w:val="14"/>
                <w:lang w:val="cs-CZ" w:eastAsia="cs-CZ"/>
              </w:rPr>
            </w:pPr>
          </w:p>
        </w:tc>
        <w:tc>
          <w:tcPr>
            <w:tcW w:w="761" w:type="dxa"/>
            <w:vMerge/>
            <w:tcBorders>
              <w:top w:val="nil"/>
              <w:left w:val="single" w:sz="4" w:space="0" w:color="auto"/>
              <w:bottom w:val="single" w:sz="4" w:space="0" w:color="000000"/>
              <w:right w:val="single" w:sz="4" w:space="0" w:color="auto"/>
            </w:tcBorders>
            <w:vAlign w:val="center"/>
            <w:hideMark/>
          </w:tcPr>
          <w:p w14:paraId="4AD5AC1E" w14:textId="77777777" w:rsidR="006A7A9F" w:rsidRPr="006A7A9F" w:rsidRDefault="006A7A9F" w:rsidP="006A7A9F">
            <w:pPr>
              <w:rPr>
                <w:rFonts w:ascii="Arial" w:eastAsia="Times New Roman" w:hAnsi="Arial" w:cs="Arial"/>
                <w:color w:val="000000"/>
                <w:sz w:val="14"/>
                <w:szCs w:val="14"/>
                <w:lang w:val="cs-CZ" w:eastAsia="cs-CZ"/>
              </w:rPr>
            </w:pPr>
          </w:p>
        </w:tc>
        <w:tc>
          <w:tcPr>
            <w:tcW w:w="569" w:type="dxa"/>
            <w:tcBorders>
              <w:top w:val="nil"/>
              <w:left w:val="nil"/>
              <w:bottom w:val="single" w:sz="4" w:space="0" w:color="auto"/>
              <w:right w:val="single" w:sz="4" w:space="0" w:color="auto"/>
            </w:tcBorders>
            <w:shd w:val="clear" w:color="auto" w:fill="auto"/>
            <w:vAlign w:val="center"/>
            <w:hideMark/>
          </w:tcPr>
          <w:p w14:paraId="0238D77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59ADA3A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756D025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71FF699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6E82C9A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2A7EF8F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7,000</w:t>
            </w:r>
          </w:p>
        </w:tc>
        <w:tc>
          <w:tcPr>
            <w:tcW w:w="567" w:type="dxa"/>
            <w:tcBorders>
              <w:top w:val="nil"/>
              <w:left w:val="nil"/>
              <w:bottom w:val="single" w:sz="4" w:space="0" w:color="auto"/>
              <w:right w:val="single" w:sz="4" w:space="0" w:color="auto"/>
            </w:tcBorders>
            <w:shd w:val="clear" w:color="auto" w:fill="auto"/>
            <w:vAlign w:val="center"/>
            <w:hideMark/>
          </w:tcPr>
          <w:p w14:paraId="6422DC5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286C256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57E325B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402C07F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61" w:type="dxa"/>
            <w:tcBorders>
              <w:top w:val="nil"/>
              <w:left w:val="nil"/>
              <w:bottom w:val="single" w:sz="4" w:space="0" w:color="auto"/>
              <w:right w:val="single" w:sz="4" w:space="0" w:color="auto"/>
            </w:tcBorders>
            <w:shd w:val="clear" w:color="auto" w:fill="auto"/>
            <w:vAlign w:val="center"/>
            <w:hideMark/>
          </w:tcPr>
          <w:p w14:paraId="743AB16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7,000</w:t>
            </w:r>
          </w:p>
        </w:tc>
        <w:tc>
          <w:tcPr>
            <w:tcW w:w="721" w:type="dxa"/>
            <w:vMerge/>
            <w:tcBorders>
              <w:top w:val="nil"/>
              <w:left w:val="single" w:sz="4" w:space="0" w:color="auto"/>
              <w:bottom w:val="single" w:sz="4" w:space="0" w:color="000000"/>
              <w:right w:val="single" w:sz="4" w:space="0" w:color="auto"/>
            </w:tcBorders>
            <w:vAlign w:val="center"/>
            <w:hideMark/>
          </w:tcPr>
          <w:p w14:paraId="0AB47D02"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06AE45CB"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4B1F9B48" w14:textId="77777777" w:rsidR="006A7A9F" w:rsidRPr="006A7A9F" w:rsidRDefault="006A7A9F" w:rsidP="006A7A9F">
            <w:pPr>
              <w:rPr>
                <w:rFonts w:ascii="Arial" w:eastAsia="Times New Roman" w:hAnsi="Arial" w:cs="Arial"/>
                <w:color w:val="000000"/>
                <w:sz w:val="14"/>
                <w:szCs w:val="14"/>
                <w:lang w:val="cs-CZ" w:eastAsia="cs-CZ"/>
              </w:rPr>
            </w:pPr>
          </w:p>
        </w:tc>
        <w:tc>
          <w:tcPr>
            <w:tcW w:w="2448" w:type="dxa"/>
            <w:vMerge/>
            <w:tcBorders>
              <w:top w:val="nil"/>
              <w:left w:val="single" w:sz="4" w:space="0" w:color="auto"/>
              <w:bottom w:val="single" w:sz="4" w:space="0" w:color="000000"/>
              <w:right w:val="single" w:sz="4" w:space="0" w:color="auto"/>
            </w:tcBorders>
            <w:vAlign w:val="center"/>
            <w:hideMark/>
          </w:tcPr>
          <w:p w14:paraId="1694FA57" w14:textId="77777777" w:rsidR="006A7A9F" w:rsidRPr="006A7A9F" w:rsidRDefault="006A7A9F" w:rsidP="006A7A9F">
            <w:pPr>
              <w:rPr>
                <w:rFonts w:ascii="Arial" w:eastAsia="Times New Roman" w:hAnsi="Arial" w:cs="Arial"/>
                <w:color w:val="000000"/>
                <w:sz w:val="14"/>
                <w:szCs w:val="14"/>
                <w:lang w:val="cs-CZ" w:eastAsia="cs-CZ"/>
              </w:rPr>
            </w:pPr>
          </w:p>
        </w:tc>
        <w:tc>
          <w:tcPr>
            <w:tcW w:w="1128" w:type="dxa"/>
            <w:vMerge/>
            <w:tcBorders>
              <w:top w:val="nil"/>
              <w:left w:val="single" w:sz="4" w:space="0" w:color="auto"/>
              <w:bottom w:val="single" w:sz="4" w:space="0" w:color="000000"/>
              <w:right w:val="single" w:sz="4" w:space="0" w:color="auto"/>
            </w:tcBorders>
            <w:vAlign w:val="center"/>
            <w:hideMark/>
          </w:tcPr>
          <w:p w14:paraId="6C54A5A2" w14:textId="77777777" w:rsidR="006A7A9F" w:rsidRPr="006A7A9F" w:rsidRDefault="006A7A9F" w:rsidP="006A7A9F">
            <w:pPr>
              <w:rPr>
                <w:rFonts w:ascii="Arial" w:eastAsia="Times New Roman" w:hAnsi="Arial" w:cs="Arial"/>
                <w:color w:val="000000"/>
                <w:sz w:val="14"/>
                <w:szCs w:val="14"/>
                <w:lang w:val="cs-CZ" w:eastAsia="cs-CZ"/>
              </w:rPr>
            </w:pPr>
          </w:p>
        </w:tc>
        <w:tc>
          <w:tcPr>
            <w:tcW w:w="2749" w:type="dxa"/>
            <w:vMerge/>
            <w:tcBorders>
              <w:top w:val="nil"/>
              <w:left w:val="single" w:sz="4" w:space="0" w:color="auto"/>
              <w:bottom w:val="single" w:sz="4" w:space="0" w:color="000000"/>
              <w:right w:val="single" w:sz="4" w:space="0" w:color="auto"/>
            </w:tcBorders>
            <w:vAlign w:val="center"/>
            <w:hideMark/>
          </w:tcPr>
          <w:p w14:paraId="06632361" w14:textId="77777777" w:rsidR="006A7A9F" w:rsidRPr="006A7A9F" w:rsidRDefault="006A7A9F" w:rsidP="006A7A9F">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000000"/>
              <w:right w:val="single" w:sz="4" w:space="0" w:color="auto"/>
            </w:tcBorders>
            <w:vAlign w:val="center"/>
            <w:hideMark/>
          </w:tcPr>
          <w:p w14:paraId="2450E687" w14:textId="77777777" w:rsidR="006A7A9F" w:rsidRPr="006A7A9F" w:rsidRDefault="006A7A9F" w:rsidP="006A7A9F">
            <w:pPr>
              <w:rPr>
                <w:rFonts w:ascii="Arial" w:eastAsia="Times New Roman" w:hAnsi="Arial" w:cs="Arial"/>
                <w:color w:val="000000"/>
                <w:sz w:val="14"/>
                <w:szCs w:val="14"/>
                <w:lang w:val="cs-CZ" w:eastAsia="cs-CZ"/>
              </w:rPr>
            </w:pPr>
          </w:p>
        </w:tc>
        <w:tc>
          <w:tcPr>
            <w:tcW w:w="761" w:type="dxa"/>
            <w:vMerge/>
            <w:tcBorders>
              <w:top w:val="nil"/>
              <w:left w:val="single" w:sz="4" w:space="0" w:color="auto"/>
              <w:bottom w:val="single" w:sz="4" w:space="0" w:color="000000"/>
              <w:right w:val="single" w:sz="4" w:space="0" w:color="auto"/>
            </w:tcBorders>
            <w:vAlign w:val="center"/>
            <w:hideMark/>
          </w:tcPr>
          <w:p w14:paraId="4EA89BEA" w14:textId="77777777" w:rsidR="006A7A9F" w:rsidRPr="006A7A9F" w:rsidRDefault="006A7A9F" w:rsidP="006A7A9F">
            <w:pPr>
              <w:rPr>
                <w:rFonts w:ascii="Arial" w:eastAsia="Times New Roman" w:hAnsi="Arial" w:cs="Arial"/>
                <w:color w:val="000000"/>
                <w:sz w:val="14"/>
                <w:szCs w:val="14"/>
                <w:lang w:val="cs-CZ" w:eastAsia="cs-CZ"/>
              </w:rPr>
            </w:pPr>
          </w:p>
        </w:tc>
        <w:tc>
          <w:tcPr>
            <w:tcW w:w="569" w:type="dxa"/>
            <w:tcBorders>
              <w:top w:val="nil"/>
              <w:left w:val="nil"/>
              <w:bottom w:val="single" w:sz="4" w:space="0" w:color="auto"/>
              <w:right w:val="single" w:sz="4" w:space="0" w:color="auto"/>
            </w:tcBorders>
            <w:shd w:val="clear" w:color="auto" w:fill="auto"/>
            <w:vAlign w:val="center"/>
            <w:hideMark/>
          </w:tcPr>
          <w:p w14:paraId="357235C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7986D27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4445D72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465BF9F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519149C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2,000</w:t>
            </w:r>
          </w:p>
        </w:tc>
        <w:tc>
          <w:tcPr>
            <w:tcW w:w="569" w:type="dxa"/>
            <w:tcBorders>
              <w:top w:val="nil"/>
              <w:left w:val="nil"/>
              <w:bottom w:val="single" w:sz="4" w:space="0" w:color="auto"/>
              <w:right w:val="single" w:sz="4" w:space="0" w:color="auto"/>
            </w:tcBorders>
            <w:shd w:val="clear" w:color="auto" w:fill="auto"/>
            <w:vAlign w:val="center"/>
            <w:hideMark/>
          </w:tcPr>
          <w:p w14:paraId="4DC92BD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w:t>
            </w:r>
          </w:p>
        </w:tc>
        <w:tc>
          <w:tcPr>
            <w:tcW w:w="567" w:type="dxa"/>
            <w:tcBorders>
              <w:top w:val="nil"/>
              <w:left w:val="nil"/>
              <w:bottom w:val="single" w:sz="4" w:space="0" w:color="auto"/>
              <w:right w:val="single" w:sz="4" w:space="0" w:color="auto"/>
            </w:tcBorders>
            <w:shd w:val="clear" w:color="auto" w:fill="auto"/>
            <w:vAlign w:val="center"/>
            <w:hideMark/>
          </w:tcPr>
          <w:p w14:paraId="39A3C64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5AFB40B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73EF07B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34080A1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61" w:type="dxa"/>
            <w:tcBorders>
              <w:top w:val="nil"/>
              <w:left w:val="nil"/>
              <w:bottom w:val="single" w:sz="4" w:space="0" w:color="auto"/>
              <w:right w:val="single" w:sz="4" w:space="0" w:color="auto"/>
            </w:tcBorders>
            <w:shd w:val="clear" w:color="auto" w:fill="auto"/>
            <w:vAlign w:val="center"/>
            <w:hideMark/>
          </w:tcPr>
          <w:p w14:paraId="3378E68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5,000</w:t>
            </w:r>
          </w:p>
        </w:tc>
        <w:tc>
          <w:tcPr>
            <w:tcW w:w="721" w:type="dxa"/>
            <w:vMerge/>
            <w:tcBorders>
              <w:top w:val="nil"/>
              <w:left w:val="single" w:sz="4" w:space="0" w:color="auto"/>
              <w:bottom w:val="single" w:sz="4" w:space="0" w:color="000000"/>
              <w:right w:val="single" w:sz="4" w:space="0" w:color="auto"/>
            </w:tcBorders>
            <w:vAlign w:val="center"/>
            <w:hideMark/>
          </w:tcPr>
          <w:p w14:paraId="402FD940"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13F46873" w14:textId="77777777" w:rsidTr="007D24EE">
        <w:trPr>
          <w:trHeight w:val="20"/>
        </w:trPr>
        <w:tc>
          <w:tcPr>
            <w:tcW w:w="796" w:type="dxa"/>
            <w:vMerge w:val="restart"/>
            <w:tcBorders>
              <w:top w:val="nil"/>
              <w:left w:val="single" w:sz="4" w:space="0" w:color="auto"/>
              <w:bottom w:val="single" w:sz="4" w:space="0" w:color="000000"/>
              <w:right w:val="single" w:sz="4" w:space="0" w:color="auto"/>
            </w:tcBorders>
            <w:shd w:val="clear" w:color="auto" w:fill="auto"/>
            <w:vAlign w:val="center"/>
            <w:hideMark/>
          </w:tcPr>
          <w:p w14:paraId="66B8328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62600/CR03</w:t>
            </w:r>
          </w:p>
        </w:tc>
        <w:tc>
          <w:tcPr>
            <w:tcW w:w="2448" w:type="dxa"/>
            <w:vMerge w:val="restart"/>
            <w:tcBorders>
              <w:top w:val="nil"/>
              <w:left w:val="single" w:sz="4" w:space="0" w:color="auto"/>
              <w:bottom w:val="single" w:sz="4" w:space="0" w:color="000000"/>
              <w:right w:val="single" w:sz="4" w:space="0" w:color="auto"/>
            </w:tcBorders>
            <w:shd w:val="clear" w:color="auto" w:fill="auto"/>
            <w:vAlign w:val="center"/>
            <w:hideMark/>
          </w:tcPr>
          <w:p w14:paraId="4377E85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128" w:type="dxa"/>
            <w:vMerge w:val="restart"/>
            <w:tcBorders>
              <w:top w:val="nil"/>
              <w:left w:val="single" w:sz="4" w:space="0" w:color="auto"/>
              <w:bottom w:val="single" w:sz="4" w:space="0" w:color="000000"/>
              <w:right w:val="single" w:sz="4" w:space="0" w:color="auto"/>
            </w:tcBorders>
            <w:shd w:val="clear" w:color="auto" w:fill="auto"/>
            <w:vAlign w:val="center"/>
            <w:hideMark/>
          </w:tcPr>
          <w:p w14:paraId="6A1A513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Více rozvinuté regiony</w:t>
            </w:r>
          </w:p>
        </w:tc>
        <w:tc>
          <w:tcPr>
            <w:tcW w:w="2749" w:type="dxa"/>
            <w:vMerge w:val="restart"/>
            <w:tcBorders>
              <w:top w:val="nil"/>
              <w:left w:val="single" w:sz="4" w:space="0" w:color="auto"/>
              <w:bottom w:val="single" w:sz="4" w:space="0" w:color="000000"/>
              <w:right w:val="single" w:sz="4" w:space="0" w:color="auto"/>
            </w:tcBorders>
            <w:shd w:val="clear" w:color="auto" w:fill="auto"/>
            <w:vAlign w:val="center"/>
            <w:hideMark/>
          </w:tcPr>
          <w:p w14:paraId="0EAB6B0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89" w:type="dxa"/>
            <w:vMerge w:val="restart"/>
            <w:tcBorders>
              <w:top w:val="nil"/>
              <w:left w:val="single" w:sz="4" w:space="0" w:color="auto"/>
              <w:bottom w:val="single" w:sz="4" w:space="0" w:color="000000"/>
              <w:right w:val="single" w:sz="4" w:space="0" w:color="auto"/>
            </w:tcBorders>
            <w:shd w:val="clear" w:color="auto" w:fill="auto"/>
            <w:vAlign w:val="center"/>
            <w:hideMark/>
          </w:tcPr>
          <w:p w14:paraId="6134B0A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61" w:type="dxa"/>
            <w:vMerge w:val="restart"/>
            <w:tcBorders>
              <w:top w:val="nil"/>
              <w:left w:val="single" w:sz="4" w:space="0" w:color="auto"/>
              <w:bottom w:val="single" w:sz="4" w:space="0" w:color="000000"/>
              <w:right w:val="single" w:sz="4" w:space="0" w:color="auto"/>
            </w:tcBorders>
            <w:shd w:val="clear" w:color="auto" w:fill="auto"/>
            <w:vAlign w:val="center"/>
            <w:hideMark/>
          </w:tcPr>
          <w:p w14:paraId="3D6A8FE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225,000</w:t>
            </w:r>
          </w:p>
        </w:tc>
        <w:tc>
          <w:tcPr>
            <w:tcW w:w="569" w:type="dxa"/>
            <w:tcBorders>
              <w:top w:val="nil"/>
              <w:left w:val="nil"/>
              <w:bottom w:val="single" w:sz="4" w:space="0" w:color="auto"/>
              <w:right w:val="single" w:sz="4" w:space="0" w:color="auto"/>
            </w:tcBorders>
            <w:shd w:val="clear" w:color="auto" w:fill="auto"/>
            <w:vAlign w:val="center"/>
            <w:hideMark/>
          </w:tcPr>
          <w:p w14:paraId="3C1E529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7253A9B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0EA2040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78807B6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740AB42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9" w:type="dxa"/>
            <w:tcBorders>
              <w:top w:val="nil"/>
              <w:left w:val="nil"/>
              <w:bottom w:val="single" w:sz="4" w:space="0" w:color="auto"/>
              <w:right w:val="single" w:sz="4" w:space="0" w:color="auto"/>
            </w:tcBorders>
            <w:shd w:val="clear" w:color="auto" w:fill="auto"/>
            <w:vAlign w:val="center"/>
            <w:hideMark/>
          </w:tcPr>
          <w:p w14:paraId="59ADE35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7EF7F3E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0954903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0C2DDA9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56286ED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61" w:type="dxa"/>
            <w:tcBorders>
              <w:top w:val="nil"/>
              <w:left w:val="nil"/>
              <w:bottom w:val="single" w:sz="4" w:space="0" w:color="auto"/>
              <w:right w:val="single" w:sz="4" w:space="0" w:color="auto"/>
            </w:tcBorders>
            <w:shd w:val="clear" w:color="auto" w:fill="auto"/>
            <w:vAlign w:val="center"/>
            <w:hideMark/>
          </w:tcPr>
          <w:p w14:paraId="6830CB4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721" w:type="dxa"/>
            <w:vMerge w:val="restart"/>
            <w:tcBorders>
              <w:top w:val="nil"/>
              <w:left w:val="single" w:sz="4" w:space="0" w:color="auto"/>
              <w:bottom w:val="single" w:sz="4" w:space="0" w:color="000000"/>
              <w:right w:val="single" w:sz="4" w:space="0" w:color="auto"/>
            </w:tcBorders>
            <w:shd w:val="clear" w:color="auto" w:fill="auto"/>
            <w:vAlign w:val="center"/>
            <w:hideMark/>
          </w:tcPr>
          <w:p w14:paraId="32F2495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0,444%</w:t>
            </w:r>
          </w:p>
        </w:tc>
      </w:tr>
      <w:tr w:rsidR="006A7A9F" w:rsidRPr="006A7A9F" w14:paraId="2ED127A9"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2257AF17" w14:textId="77777777" w:rsidR="006A7A9F" w:rsidRPr="006A7A9F" w:rsidRDefault="006A7A9F" w:rsidP="006A7A9F">
            <w:pPr>
              <w:rPr>
                <w:rFonts w:ascii="Arial" w:eastAsia="Times New Roman" w:hAnsi="Arial" w:cs="Arial"/>
                <w:color w:val="000000"/>
                <w:sz w:val="14"/>
                <w:szCs w:val="14"/>
                <w:lang w:val="cs-CZ" w:eastAsia="cs-CZ"/>
              </w:rPr>
            </w:pPr>
          </w:p>
        </w:tc>
        <w:tc>
          <w:tcPr>
            <w:tcW w:w="2448" w:type="dxa"/>
            <w:vMerge/>
            <w:tcBorders>
              <w:top w:val="nil"/>
              <w:left w:val="single" w:sz="4" w:space="0" w:color="auto"/>
              <w:bottom w:val="single" w:sz="4" w:space="0" w:color="000000"/>
              <w:right w:val="single" w:sz="4" w:space="0" w:color="auto"/>
            </w:tcBorders>
            <w:vAlign w:val="center"/>
            <w:hideMark/>
          </w:tcPr>
          <w:p w14:paraId="18E4B862" w14:textId="77777777" w:rsidR="006A7A9F" w:rsidRPr="006A7A9F" w:rsidRDefault="006A7A9F" w:rsidP="006A7A9F">
            <w:pPr>
              <w:rPr>
                <w:rFonts w:ascii="Arial" w:eastAsia="Times New Roman" w:hAnsi="Arial" w:cs="Arial"/>
                <w:color w:val="000000"/>
                <w:sz w:val="14"/>
                <w:szCs w:val="14"/>
                <w:lang w:val="cs-CZ" w:eastAsia="cs-CZ"/>
              </w:rPr>
            </w:pPr>
          </w:p>
        </w:tc>
        <w:tc>
          <w:tcPr>
            <w:tcW w:w="1128" w:type="dxa"/>
            <w:vMerge/>
            <w:tcBorders>
              <w:top w:val="nil"/>
              <w:left w:val="single" w:sz="4" w:space="0" w:color="auto"/>
              <w:bottom w:val="single" w:sz="4" w:space="0" w:color="000000"/>
              <w:right w:val="single" w:sz="4" w:space="0" w:color="auto"/>
            </w:tcBorders>
            <w:vAlign w:val="center"/>
            <w:hideMark/>
          </w:tcPr>
          <w:p w14:paraId="198255D4" w14:textId="77777777" w:rsidR="006A7A9F" w:rsidRPr="006A7A9F" w:rsidRDefault="006A7A9F" w:rsidP="006A7A9F">
            <w:pPr>
              <w:rPr>
                <w:rFonts w:ascii="Arial" w:eastAsia="Times New Roman" w:hAnsi="Arial" w:cs="Arial"/>
                <w:color w:val="000000"/>
                <w:sz w:val="14"/>
                <w:szCs w:val="14"/>
                <w:lang w:val="cs-CZ" w:eastAsia="cs-CZ"/>
              </w:rPr>
            </w:pPr>
          </w:p>
        </w:tc>
        <w:tc>
          <w:tcPr>
            <w:tcW w:w="2749" w:type="dxa"/>
            <w:vMerge/>
            <w:tcBorders>
              <w:top w:val="nil"/>
              <w:left w:val="single" w:sz="4" w:space="0" w:color="auto"/>
              <w:bottom w:val="single" w:sz="4" w:space="0" w:color="000000"/>
              <w:right w:val="single" w:sz="4" w:space="0" w:color="auto"/>
            </w:tcBorders>
            <w:vAlign w:val="center"/>
            <w:hideMark/>
          </w:tcPr>
          <w:p w14:paraId="382371C5" w14:textId="77777777" w:rsidR="006A7A9F" w:rsidRPr="006A7A9F" w:rsidRDefault="006A7A9F" w:rsidP="006A7A9F">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000000"/>
              <w:right w:val="single" w:sz="4" w:space="0" w:color="auto"/>
            </w:tcBorders>
            <w:vAlign w:val="center"/>
            <w:hideMark/>
          </w:tcPr>
          <w:p w14:paraId="42D05E8B" w14:textId="77777777" w:rsidR="006A7A9F" w:rsidRPr="006A7A9F" w:rsidRDefault="006A7A9F" w:rsidP="006A7A9F">
            <w:pPr>
              <w:rPr>
                <w:rFonts w:ascii="Arial" w:eastAsia="Times New Roman" w:hAnsi="Arial" w:cs="Arial"/>
                <w:color w:val="000000"/>
                <w:sz w:val="14"/>
                <w:szCs w:val="14"/>
                <w:lang w:val="cs-CZ" w:eastAsia="cs-CZ"/>
              </w:rPr>
            </w:pPr>
          </w:p>
        </w:tc>
        <w:tc>
          <w:tcPr>
            <w:tcW w:w="761" w:type="dxa"/>
            <w:vMerge/>
            <w:tcBorders>
              <w:top w:val="nil"/>
              <w:left w:val="single" w:sz="4" w:space="0" w:color="auto"/>
              <w:bottom w:val="single" w:sz="4" w:space="0" w:color="000000"/>
              <w:right w:val="single" w:sz="4" w:space="0" w:color="auto"/>
            </w:tcBorders>
            <w:vAlign w:val="center"/>
            <w:hideMark/>
          </w:tcPr>
          <w:p w14:paraId="4EC7DB61" w14:textId="77777777" w:rsidR="006A7A9F" w:rsidRPr="006A7A9F" w:rsidRDefault="006A7A9F" w:rsidP="006A7A9F">
            <w:pPr>
              <w:rPr>
                <w:rFonts w:ascii="Arial" w:eastAsia="Times New Roman" w:hAnsi="Arial" w:cs="Arial"/>
                <w:color w:val="000000"/>
                <w:sz w:val="14"/>
                <w:szCs w:val="14"/>
                <w:lang w:val="cs-CZ" w:eastAsia="cs-CZ"/>
              </w:rPr>
            </w:pPr>
          </w:p>
        </w:tc>
        <w:tc>
          <w:tcPr>
            <w:tcW w:w="569" w:type="dxa"/>
            <w:tcBorders>
              <w:top w:val="nil"/>
              <w:left w:val="nil"/>
              <w:bottom w:val="single" w:sz="4" w:space="0" w:color="auto"/>
              <w:right w:val="single" w:sz="4" w:space="0" w:color="auto"/>
            </w:tcBorders>
            <w:shd w:val="clear" w:color="auto" w:fill="auto"/>
            <w:vAlign w:val="center"/>
            <w:hideMark/>
          </w:tcPr>
          <w:p w14:paraId="6437ECC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5082A41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3EDF045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0CB6579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4A4B41D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4429332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7" w:type="dxa"/>
            <w:tcBorders>
              <w:top w:val="nil"/>
              <w:left w:val="nil"/>
              <w:bottom w:val="single" w:sz="4" w:space="0" w:color="auto"/>
              <w:right w:val="single" w:sz="4" w:space="0" w:color="auto"/>
            </w:tcBorders>
            <w:shd w:val="clear" w:color="auto" w:fill="auto"/>
            <w:vAlign w:val="center"/>
            <w:hideMark/>
          </w:tcPr>
          <w:p w14:paraId="7B9CA13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42E23F8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7CAB276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4D14928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61" w:type="dxa"/>
            <w:tcBorders>
              <w:top w:val="nil"/>
              <w:left w:val="nil"/>
              <w:bottom w:val="single" w:sz="4" w:space="0" w:color="auto"/>
              <w:right w:val="single" w:sz="4" w:space="0" w:color="auto"/>
            </w:tcBorders>
            <w:shd w:val="clear" w:color="auto" w:fill="auto"/>
            <w:vAlign w:val="center"/>
            <w:hideMark/>
          </w:tcPr>
          <w:p w14:paraId="29474B7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721" w:type="dxa"/>
            <w:vMerge/>
            <w:tcBorders>
              <w:top w:val="nil"/>
              <w:left w:val="single" w:sz="4" w:space="0" w:color="auto"/>
              <w:bottom w:val="single" w:sz="4" w:space="0" w:color="000000"/>
              <w:right w:val="single" w:sz="4" w:space="0" w:color="auto"/>
            </w:tcBorders>
            <w:vAlign w:val="center"/>
            <w:hideMark/>
          </w:tcPr>
          <w:p w14:paraId="2F280EEB"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34C38744" w14:textId="77777777" w:rsidTr="007D24EE">
        <w:trPr>
          <w:trHeight w:val="20"/>
        </w:trPr>
        <w:tc>
          <w:tcPr>
            <w:tcW w:w="796" w:type="dxa"/>
            <w:vMerge/>
            <w:tcBorders>
              <w:top w:val="nil"/>
              <w:left w:val="single" w:sz="4" w:space="0" w:color="auto"/>
              <w:bottom w:val="single" w:sz="4" w:space="0" w:color="000000"/>
              <w:right w:val="single" w:sz="4" w:space="0" w:color="auto"/>
            </w:tcBorders>
            <w:vAlign w:val="center"/>
            <w:hideMark/>
          </w:tcPr>
          <w:p w14:paraId="28EB5384" w14:textId="77777777" w:rsidR="006A7A9F" w:rsidRPr="006A7A9F" w:rsidRDefault="006A7A9F" w:rsidP="006A7A9F">
            <w:pPr>
              <w:rPr>
                <w:rFonts w:ascii="Arial" w:eastAsia="Times New Roman" w:hAnsi="Arial" w:cs="Arial"/>
                <w:color w:val="000000"/>
                <w:sz w:val="14"/>
                <w:szCs w:val="14"/>
                <w:lang w:val="cs-CZ" w:eastAsia="cs-CZ"/>
              </w:rPr>
            </w:pPr>
          </w:p>
        </w:tc>
        <w:tc>
          <w:tcPr>
            <w:tcW w:w="2448" w:type="dxa"/>
            <w:vMerge/>
            <w:tcBorders>
              <w:top w:val="nil"/>
              <w:left w:val="single" w:sz="4" w:space="0" w:color="auto"/>
              <w:bottom w:val="single" w:sz="4" w:space="0" w:color="000000"/>
              <w:right w:val="single" w:sz="4" w:space="0" w:color="auto"/>
            </w:tcBorders>
            <w:vAlign w:val="center"/>
            <w:hideMark/>
          </w:tcPr>
          <w:p w14:paraId="66EFAF9D" w14:textId="77777777" w:rsidR="006A7A9F" w:rsidRPr="006A7A9F" w:rsidRDefault="006A7A9F" w:rsidP="006A7A9F">
            <w:pPr>
              <w:rPr>
                <w:rFonts w:ascii="Arial" w:eastAsia="Times New Roman" w:hAnsi="Arial" w:cs="Arial"/>
                <w:color w:val="000000"/>
                <w:sz w:val="14"/>
                <w:szCs w:val="14"/>
                <w:lang w:val="cs-CZ" w:eastAsia="cs-CZ"/>
              </w:rPr>
            </w:pPr>
          </w:p>
        </w:tc>
        <w:tc>
          <w:tcPr>
            <w:tcW w:w="1128" w:type="dxa"/>
            <w:vMerge/>
            <w:tcBorders>
              <w:top w:val="nil"/>
              <w:left w:val="single" w:sz="4" w:space="0" w:color="auto"/>
              <w:bottom w:val="single" w:sz="4" w:space="0" w:color="000000"/>
              <w:right w:val="single" w:sz="4" w:space="0" w:color="auto"/>
            </w:tcBorders>
            <w:vAlign w:val="center"/>
            <w:hideMark/>
          </w:tcPr>
          <w:p w14:paraId="143110E0" w14:textId="77777777" w:rsidR="006A7A9F" w:rsidRPr="006A7A9F" w:rsidRDefault="006A7A9F" w:rsidP="006A7A9F">
            <w:pPr>
              <w:rPr>
                <w:rFonts w:ascii="Arial" w:eastAsia="Times New Roman" w:hAnsi="Arial" w:cs="Arial"/>
                <w:color w:val="000000"/>
                <w:sz w:val="14"/>
                <w:szCs w:val="14"/>
                <w:lang w:val="cs-CZ" w:eastAsia="cs-CZ"/>
              </w:rPr>
            </w:pPr>
          </w:p>
        </w:tc>
        <w:tc>
          <w:tcPr>
            <w:tcW w:w="2749" w:type="dxa"/>
            <w:vMerge/>
            <w:tcBorders>
              <w:top w:val="nil"/>
              <w:left w:val="single" w:sz="4" w:space="0" w:color="auto"/>
              <w:bottom w:val="single" w:sz="4" w:space="0" w:color="000000"/>
              <w:right w:val="single" w:sz="4" w:space="0" w:color="auto"/>
            </w:tcBorders>
            <w:vAlign w:val="center"/>
            <w:hideMark/>
          </w:tcPr>
          <w:p w14:paraId="39611800" w14:textId="77777777" w:rsidR="006A7A9F" w:rsidRPr="006A7A9F" w:rsidRDefault="006A7A9F" w:rsidP="006A7A9F">
            <w:pPr>
              <w:rPr>
                <w:rFonts w:ascii="Arial" w:eastAsia="Times New Roman" w:hAnsi="Arial" w:cs="Arial"/>
                <w:color w:val="000000"/>
                <w:sz w:val="14"/>
                <w:szCs w:val="14"/>
                <w:lang w:val="cs-CZ" w:eastAsia="cs-CZ"/>
              </w:rPr>
            </w:pPr>
          </w:p>
        </w:tc>
        <w:tc>
          <w:tcPr>
            <w:tcW w:w="789" w:type="dxa"/>
            <w:vMerge/>
            <w:tcBorders>
              <w:top w:val="nil"/>
              <w:left w:val="single" w:sz="4" w:space="0" w:color="auto"/>
              <w:bottom w:val="single" w:sz="4" w:space="0" w:color="000000"/>
              <w:right w:val="single" w:sz="4" w:space="0" w:color="auto"/>
            </w:tcBorders>
            <w:vAlign w:val="center"/>
            <w:hideMark/>
          </w:tcPr>
          <w:p w14:paraId="5CE27B6F" w14:textId="77777777" w:rsidR="006A7A9F" w:rsidRPr="006A7A9F" w:rsidRDefault="006A7A9F" w:rsidP="006A7A9F">
            <w:pPr>
              <w:rPr>
                <w:rFonts w:ascii="Arial" w:eastAsia="Times New Roman" w:hAnsi="Arial" w:cs="Arial"/>
                <w:color w:val="000000"/>
                <w:sz w:val="14"/>
                <w:szCs w:val="14"/>
                <w:lang w:val="cs-CZ" w:eastAsia="cs-CZ"/>
              </w:rPr>
            </w:pPr>
          </w:p>
        </w:tc>
        <w:tc>
          <w:tcPr>
            <w:tcW w:w="761" w:type="dxa"/>
            <w:vMerge/>
            <w:tcBorders>
              <w:top w:val="nil"/>
              <w:left w:val="single" w:sz="4" w:space="0" w:color="auto"/>
              <w:bottom w:val="single" w:sz="4" w:space="0" w:color="000000"/>
              <w:right w:val="single" w:sz="4" w:space="0" w:color="auto"/>
            </w:tcBorders>
            <w:vAlign w:val="center"/>
            <w:hideMark/>
          </w:tcPr>
          <w:p w14:paraId="77A63D71" w14:textId="77777777" w:rsidR="006A7A9F" w:rsidRPr="006A7A9F" w:rsidRDefault="006A7A9F" w:rsidP="006A7A9F">
            <w:pPr>
              <w:rPr>
                <w:rFonts w:ascii="Arial" w:eastAsia="Times New Roman" w:hAnsi="Arial" w:cs="Arial"/>
                <w:color w:val="000000"/>
                <w:sz w:val="14"/>
                <w:szCs w:val="14"/>
                <w:lang w:val="cs-CZ" w:eastAsia="cs-CZ"/>
              </w:rPr>
            </w:pPr>
          </w:p>
        </w:tc>
        <w:tc>
          <w:tcPr>
            <w:tcW w:w="569" w:type="dxa"/>
            <w:tcBorders>
              <w:top w:val="nil"/>
              <w:left w:val="nil"/>
              <w:bottom w:val="single" w:sz="4" w:space="0" w:color="auto"/>
              <w:right w:val="single" w:sz="4" w:space="0" w:color="auto"/>
            </w:tcBorders>
            <w:shd w:val="clear" w:color="auto" w:fill="auto"/>
            <w:vAlign w:val="center"/>
            <w:hideMark/>
          </w:tcPr>
          <w:p w14:paraId="3F901C6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169D605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2E8514A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42758BC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3281287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9" w:type="dxa"/>
            <w:tcBorders>
              <w:top w:val="nil"/>
              <w:left w:val="nil"/>
              <w:bottom w:val="single" w:sz="4" w:space="0" w:color="auto"/>
              <w:right w:val="single" w:sz="4" w:space="0" w:color="auto"/>
            </w:tcBorders>
            <w:shd w:val="clear" w:color="auto" w:fill="auto"/>
            <w:vAlign w:val="center"/>
            <w:hideMark/>
          </w:tcPr>
          <w:p w14:paraId="1FFA33C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7" w:type="dxa"/>
            <w:tcBorders>
              <w:top w:val="nil"/>
              <w:left w:val="nil"/>
              <w:bottom w:val="single" w:sz="4" w:space="0" w:color="auto"/>
              <w:right w:val="single" w:sz="4" w:space="0" w:color="auto"/>
            </w:tcBorders>
            <w:shd w:val="clear" w:color="auto" w:fill="auto"/>
            <w:vAlign w:val="center"/>
            <w:hideMark/>
          </w:tcPr>
          <w:p w14:paraId="5CA104E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2845E0D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1BCE960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7" w:type="dxa"/>
            <w:tcBorders>
              <w:top w:val="nil"/>
              <w:left w:val="nil"/>
              <w:bottom w:val="single" w:sz="4" w:space="0" w:color="auto"/>
              <w:right w:val="single" w:sz="4" w:space="0" w:color="auto"/>
            </w:tcBorders>
            <w:shd w:val="clear" w:color="auto" w:fill="auto"/>
            <w:vAlign w:val="center"/>
            <w:hideMark/>
          </w:tcPr>
          <w:p w14:paraId="5F5E7E2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61" w:type="dxa"/>
            <w:tcBorders>
              <w:top w:val="nil"/>
              <w:left w:val="nil"/>
              <w:bottom w:val="single" w:sz="4" w:space="0" w:color="auto"/>
              <w:right w:val="single" w:sz="4" w:space="0" w:color="auto"/>
            </w:tcBorders>
            <w:shd w:val="clear" w:color="auto" w:fill="auto"/>
            <w:vAlign w:val="center"/>
            <w:hideMark/>
          </w:tcPr>
          <w:p w14:paraId="471AA8C9" w14:textId="34298A95"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721" w:type="dxa"/>
            <w:vMerge/>
            <w:tcBorders>
              <w:top w:val="nil"/>
              <w:left w:val="single" w:sz="4" w:space="0" w:color="auto"/>
              <w:bottom w:val="single" w:sz="4" w:space="0" w:color="000000"/>
              <w:right w:val="single" w:sz="4" w:space="0" w:color="auto"/>
            </w:tcBorders>
            <w:vAlign w:val="center"/>
            <w:hideMark/>
          </w:tcPr>
          <w:p w14:paraId="64CA0235" w14:textId="77777777" w:rsidR="006A7A9F" w:rsidRPr="006A7A9F" w:rsidRDefault="006A7A9F" w:rsidP="006A7A9F">
            <w:pPr>
              <w:rPr>
                <w:rFonts w:ascii="Arial" w:eastAsia="Times New Roman" w:hAnsi="Arial" w:cs="Arial"/>
                <w:color w:val="000000"/>
                <w:sz w:val="14"/>
                <w:szCs w:val="14"/>
                <w:lang w:val="cs-CZ" w:eastAsia="cs-CZ"/>
              </w:rPr>
            </w:pPr>
          </w:p>
        </w:tc>
      </w:tr>
    </w:tbl>
    <w:p w14:paraId="0E5AD7BD" w14:textId="77777777" w:rsidR="00541D74" w:rsidRPr="002F2BE4" w:rsidRDefault="00541D74" w:rsidP="00FD35AB">
      <w:pPr>
        <w:keepNext/>
        <w:ind w:left="115" w:right="106"/>
        <w:jc w:val="both"/>
        <w:rPr>
          <w:rFonts w:ascii="Arial" w:eastAsia="Arial" w:hAnsi="Arial" w:cs="Arial"/>
          <w:color w:val="000000"/>
          <w:sz w:val="20"/>
          <w:lang w:val="cs-CZ"/>
        </w:rPr>
      </w:pPr>
    </w:p>
    <w:p w14:paraId="2031D4C0"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32BB8EAF" w14:textId="77777777" w:rsidR="00FD35AB" w:rsidRPr="002F2BE4" w:rsidRDefault="00FD35AB" w:rsidP="007D24EE">
      <w:pPr>
        <w:ind w:left="113" w:right="108"/>
        <w:jc w:val="both"/>
        <w:rPr>
          <w:rFonts w:ascii="Arial" w:eastAsia="Arial" w:hAnsi="Arial" w:cs="Arial"/>
          <w:color w:val="000000"/>
          <w:sz w:val="20"/>
          <w:lang w:val="cs-CZ"/>
        </w:rPr>
      </w:pPr>
    </w:p>
    <w:p w14:paraId="605DAD9C" w14:textId="654A3AD3"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lastRenderedPageBreak/>
        <w:t>Investiční priorita: 03.2.60 Aktivní začleňování, včetně začleňování s ohledem na podporu rovných příležitostí a aktivní účast a zlepšení zaměstnatelnosti</w:t>
      </w:r>
    </w:p>
    <w:tbl>
      <w:tblPr>
        <w:tblW w:w="15834" w:type="dxa"/>
        <w:tblInd w:w="75" w:type="dxa"/>
        <w:tblCellMar>
          <w:left w:w="70" w:type="dxa"/>
          <w:right w:w="70" w:type="dxa"/>
        </w:tblCellMar>
        <w:tblLook w:val="04A0" w:firstRow="1" w:lastRow="0" w:firstColumn="1" w:lastColumn="0" w:noHBand="0" w:noVBand="1"/>
      </w:tblPr>
      <w:tblGrid>
        <w:gridCol w:w="530"/>
        <w:gridCol w:w="2640"/>
        <w:gridCol w:w="1008"/>
        <w:gridCol w:w="2502"/>
        <w:gridCol w:w="759"/>
        <w:gridCol w:w="887"/>
        <w:gridCol w:w="546"/>
        <w:gridCol w:w="546"/>
        <w:gridCol w:w="546"/>
        <w:gridCol w:w="569"/>
        <w:gridCol w:w="647"/>
        <w:gridCol w:w="647"/>
        <w:gridCol w:w="540"/>
        <w:gridCol w:w="540"/>
        <w:gridCol w:w="540"/>
        <w:gridCol w:w="542"/>
        <w:gridCol w:w="1004"/>
        <w:gridCol w:w="841"/>
      </w:tblGrid>
      <w:tr w:rsidR="00BC5BB6" w:rsidRPr="00BC5BB6" w14:paraId="009E5CE2" w14:textId="77777777" w:rsidTr="00BC5BB6">
        <w:trPr>
          <w:trHeight w:val="20"/>
          <w:tblHeader/>
        </w:trPr>
        <w:tc>
          <w:tcPr>
            <w:tcW w:w="5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37A6BCA" w14:textId="77777777" w:rsidR="00BC5BB6" w:rsidRPr="00BC5BB6" w:rsidRDefault="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ID</w:t>
            </w:r>
          </w:p>
        </w:tc>
        <w:tc>
          <w:tcPr>
            <w:tcW w:w="2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85E0A0"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Indikátor</w:t>
            </w:r>
          </w:p>
        </w:tc>
        <w:tc>
          <w:tcPr>
            <w:tcW w:w="10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073576"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Kategorie regionu</w:t>
            </w:r>
          </w:p>
        </w:tc>
        <w:tc>
          <w:tcPr>
            <w:tcW w:w="26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9AD9D0"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Společný indikátor výstupů použitý jako základ pro stanovení cíle</w:t>
            </w:r>
          </w:p>
        </w:tc>
        <w:tc>
          <w:tcPr>
            <w:tcW w:w="7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A2FA9E"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Měrná jednotka pro výchozí hodnotu a cíl</w:t>
            </w:r>
          </w:p>
        </w:tc>
        <w:tc>
          <w:tcPr>
            <w:tcW w:w="7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757B8D"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Cílová hodnota (2023) (Rozdělení podle pohlaví je pro cíl nepovinné)</w:t>
            </w:r>
          </w:p>
        </w:tc>
        <w:tc>
          <w:tcPr>
            <w:tcW w:w="554" w:type="dxa"/>
            <w:tcBorders>
              <w:top w:val="single" w:sz="4" w:space="0" w:color="auto"/>
              <w:left w:val="nil"/>
              <w:bottom w:val="single" w:sz="4" w:space="0" w:color="auto"/>
              <w:right w:val="single" w:sz="4" w:space="0" w:color="auto"/>
            </w:tcBorders>
            <w:shd w:val="clear" w:color="auto" w:fill="auto"/>
            <w:vAlign w:val="center"/>
            <w:hideMark/>
          </w:tcPr>
          <w:p w14:paraId="2011CF9A"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2014</w:t>
            </w:r>
          </w:p>
        </w:tc>
        <w:tc>
          <w:tcPr>
            <w:tcW w:w="554" w:type="dxa"/>
            <w:tcBorders>
              <w:top w:val="single" w:sz="4" w:space="0" w:color="auto"/>
              <w:left w:val="nil"/>
              <w:bottom w:val="single" w:sz="4" w:space="0" w:color="auto"/>
              <w:right w:val="single" w:sz="4" w:space="0" w:color="auto"/>
            </w:tcBorders>
            <w:shd w:val="clear" w:color="auto" w:fill="auto"/>
            <w:vAlign w:val="center"/>
            <w:hideMark/>
          </w:tcPr>
          <w:p w14:paraId="665618B1"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2015</w:t>
            </w:r>
          </w:p>
        </w:tc>
        <w:tc>
          <w:tcPr>
            <w:tcW w:w="554" w:type="dxa"/>
            <w:tcBorders>
              <w:top w:val="single" w:sz="4" w:space="0" w:color="auto"/>
              <w:left w:val="nil"/>
              <w:bottom w:val="single" w:sz="4" w:space="0" w:color="auto"/>
              <w:right w:val="single" w:sz="4" w:space="0" w:color="auto"/>
            </w:tcBorders>
            <w:shd w:val="clear" w:color="auto" w:fill="auto"/>
            <w:vAlign w:val="center"/>
            <w:hideMark/>
          </w:tcPr>
          <w:p w14:paraId="0FFE1EA9"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2016</w:t>
            </w:r>
          </w:p>
        </w:tc>
        <w:tc>
          <w:tcPr>
            <w:tcW w:w="554" w:type="dxa"/>
            <w:tcBorders>
              <w:top w:val="single" w:sz="4" w:space="0" w:color="auto"/>
              <w:left w:val="nil"/>
              <w:bottom w:val="single" w:sz="4" w:space="0" w:color="auto"/>
              <w:right w:val="single" w:sz="4" w:space="0" w:color="auto"/>
            </w:tcBorders>
            <w:shd w:val="clear" w:color="auto" w:fill="auto"/>
            <w:vAlign w:val="center"/>
            <w:hideMark/>
          </w:tcPr>
          <w:p w14:paraId="22EB0380"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2017</w:t>
            </w:r>
          </w:p>
        </w:tc>
        <w:tc>
          <w:tcPr>
            <w:tcW w:w="555" w:type="dxa"/>
            <w:tcBorders>
              <w:top w:val="single" w:sz="4" w:space="0" w:color="auto"/>
              <w:left w:val="nil"/>
              <w:bottom w:val="single" w:sz="4" w:space="0" w:color="auto"/>
              <w:right w:val="single" w:sz="4" w:space="0" w:color="auto"/>
            </w:tcBorders>
            <w:shd w:val="clear" w:color="auto" w:fill="auto"/>
            <w:vAlign w:val="center"/>
            <w:hideMark/>
          </w:tcPr>
          <w:p w14:paraId="2CF211A1"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2018</w:t>
            </w:r>
          </w:p>
        </w:tc>
        <w:tc>
          <w:tcPr>
            <w:tcW w:w="555" w:type="dxa"/>
            <w:tcBorders>
              <w:top w:val="single" w:sz="4" w:space="0" w:color="auto"/>
              <w:left w:val="nil"/>
              <w:bottom w:val="single" w:sz="4" w:space="0" w:color="auto"/>
              <w:right w:val="single" w:sz="4" w:space="0" w:color="auto"/>
            </w:tcBorders>
            <w:shd w:val="clear" w:color="auto" w:fill="auto"/>
            <w:vAlign w:val="center"/>
            <w:hideMark/>
          </w:tcPr>
          <w:p w14:paraId="5D9B15F1"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2019</w:t>
            </w:r>
          </w:p>
        </w:tc>
        <w:tc>
          <w:tcPr>
            <w:tcW w:w="554" w:type="dxa"/>
            <w:tcBorders>
              <w:top w:val="single" w:sz="4" w:space="0" w:color="auto"/>
              <w:left w:val="nil"/>
              <w:bottom w:val="single" w:sz="4" w:space="0" w:color="auto"/>
              <w:right w:val="single" w:sz="4" w:space="0" w:color="auto"/>
            </w:tcBorders>
            <w:shd w:val="clear" w:color="auto" w:fill="auto"/>
            <w:vAlign w:val="center"/>
            <w:hideMark/>
          </w:tcPr>
          <w:p w14:paraId="21A5B131"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2020</w:t>
            </w:r>
          </w:p>
        </w:tc>
        <w:tc>
          <w:tcPr>
            <w:tcW w:w="554" w:type="dxa"/>
            <w:tcBorders>
              <w:top w:val="single" w:sz="4" w:space="0" w:color="auto"/>
              <w:left w:val="nil"/>
              <w:bottom w:val="single" w:sz="4" w:space="0" w:color="auto"/>
              <w:right w:val="single" w:sz="4" w:space="0" w:color="auto"/>
            </w:tcBorders>
            <w:shd w:val="clear" w:color="auto" w:fill="auto"/>
            <w:vAlign w:val="center"/>
            <w:hideMark/>
          </w:tcPr>
          <w:p w14:paraId="6C8B7B31"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2021</w:t>
            </w:r>
          </w:p>
        </w:tc>
        <w:tc>
          <w:tcPr>
            <w:tcW w:w="554" w:type="dxa"/>
            <w:tcBorders>
              <w:top w:val="single" w:sz="4" w:space="0" w:color="auto"/>
              <w:left w:val="nil"/>
              <w:bottom w:val="single" w:sz="4" w:space="0" w:color="auto"/>
              <w:right w:val="single" w:sz="4" w:space="0" w:color="auto"/>
            </w:tcBorders>
            <w:shd w:val="clear" w:color="auto" w:fill="auto"/>
            <w:vAlign w:val="center"/>
            <w:hideMark/>
          </w:tcPr>
          <w:p w14:paraId="3E01F133"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2022</w:t>
            </w:r>
          </w:p>
        </w:tc>
        <w:tc>
          <w:tcPr>
            <w:tcW w:w="554" w:type="dxa"/>
            <w:tcBorders>
              <w:top w:val="single" w:sz="4" w:space="0" w:color="auto"/>
              <w:left w:val="nil"/>
              <w:bottom w:val="single" w:sz="4" w:space="0" w:color="auto"/>
              <w:right w:val="single" w:sz="4" w:space="0" w:color="auto"/>
            </w:tcBorders>
            <w:shd w:val="clear" w:color="auto" w:fill="auto"/>
            <w:vAlign w:val="center"/>
            <w:hideMark/>
          </w:tcPr>
          <w:p w14:paraId="6B8F08AB"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2023</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694C6B79"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Kumulativní hodnota (vypočítána automaticky)</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C3FBC4"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Míra splnění Rozdělení podle pohlaví je nepovinné</w:t>
            </w:r>
          </w:p>
        </w:tc>
      </w:tr>
      <w:tr w:rsidR="00BC5BB6" w:rsidRPr="00BC5BB6" w14:paraId="71C83692" w14:textId="77777777" w:rsidTr="00BC5BB6">
        <w:trPr>
          <w:trHeight w:val="20"/>
          <w:tblHeader/>
        </w:trPr>
        <w:tc>
          <w:tcPr>
            <w:tcW w:w="505" w:type="dxa"/>
            <w:vMerge/>
            <w:tcBorders>
              <w:top w:val="single" w:sz="4" w:space="0" w:color="auto"/>
              <w:left w:val="single" w:sz="4" w:space="0" w:color="auto"/>
              <w:bottom w:val="single" w:sz="4" w:space="0" w:color="000000"/>
              <w:right w:val="single" w:sz="4" w:space="0" w:color="auto"/>
            </w:tcBorders>
            <w:vAlign w:val="center"/>
            <w:hideMark/>
          </w:tcPr>
          <w:p w14:paraId="565DF2F0" w14:textId="77777777" w:rsidR="00BC5BB6" w:rsidRPr="00BC5BB6" w:rsidRDefault="00BC5BB6" w:rsidP="00BC5BB6">
            <w:pPr>
              <w:rPr>
                <w:rFonts w:ascii="Arial" w:eastAsia="Times New Roman" w:hAnsi="Arial" w:cs="Arial"/>
                <w:b/>
                <w:bCs/>
                <w:color w:val="000000"/>
                <w:sz w:val="14"/>
                <w:szCs w:val="14"/>
                <w:lang w:val="cs-CZ" w:eastAsia="cs-CZ"/>
              </w:rPr>
            </w:pPr>
          </w:p>
        </w:tc>
        <w:tc>
          <w:tcPr>
            <w:tcW w:w="2891" w:type="dxa"/>
            <w:vMerge/>
            <w:tcBorders>
              <w:top w:val="single" w:sz="4" w:space="0" w:color="auto"/>
              <w:left w:val="single" w:sz="4" w:space="0" w:color="auto"/>
              <w:bottom w:val="single" w:sz="4" w:space="0" w:color="000000"/>
              <w:right w:val="single" w:sz="4" w:space="0" w:color="auto"/>
            </w:tcBorders>
            <w:vAlign w:val="center"/>
            <w:hideMark/>
          </w:tcPr>
          <w:p w14:paraId="6D3DBACD" w14:textId="77777777" w:rsidR="00BC5BB6" w:rsidRPr="00BC5BB6" w:rsidRDefault="00BC5BB6" w:rsidP="00BC5BB6">
            <w:pPr>
              <w:rPr>
                <w:rFonts w:ascii="Arial" w:eastAsia="Times New Roman" w:hAnsi="Arial" w:cs="Arial"/>
                <w:b/>
                <w:bCs/>
                <w:color w:val="000000"/>
                <w:sz w:val="14"/>
                <w:szCs w:val="14"/>
                <w:lang w:val="cs-CZ" w:eastAsia="cs-CZ"/>
              </w:rPr>
            </w:pPr>
          </w:p>
        </w:tc>
        <w:tc>
          <w:tcPr>
            <w:tcW w:w="1042" w:type="dxa"/>
            <w:vMerge/>
            <w:tcBorders>
              <w:top w:val="single" w:sz="4" w:space="0" w:color="auto"/>
              <w:left w:val="single" w:sz="4" w:space="0" w:color="auto"/>
              <w:bottom w:val="single" w:sz="4" w:space="0" w:color="000000"/>
              <w:right w:val="single" w:sz="4" w:space="0" w:color="auto"/>
            </w:tcBorders>
            <w:vAlign w:val="center"/>
            <w:hideMark/>
          </w:tcPr>
          <w:p w14:paraId="74343910" w14:textId="77777777" w:rsidR="00BC5BB6" w:rsidRPr="00BC5BB6" w:rsidRDefault="00BC5BB6" w:rsidP="00BC5BB6">
            <w:pPr>
              <w:rPr>
                <w:rFonts w:ascii="Arial" w:eastAsia="Times New Roman" w:hAnsi="Arial" w:cs="Arial"/>
                <w:b/>
                <w:bCs/>
                <w:color w:val="000000"/>
                <w:sz w:val="14"/>
                <w:szCs w:val="14"/>
                <w:lang w:val="cs-CZ" w:eastAsia="cs-CZ"/>
              </w:rPr>
            </w:pPr>
          </w:p>
        </w:tc>
        <w:tc>
          <w:tcPr>
            <w:tcW w:w="2698" w:type="dxa"/>
            <w:vMerge/>
            <w:tcBorders>
              <w:top w:val="single" w:sz="4" w:space="0" w:color="auto"/>
              <w:left w:val="single" w:sz="4" w:space="0" w:color="auto"/>
              <w:bottom w:val="single" w:sz="4" w:space="0" w:color="000000"/>
              <w:right w:val="single" w:sz="4" w:space="0" w:color="auto"/>
            </w:tcBorders>
            <w:vAlign w:val="center"/>
            <w:hideMark/>
          </w:tcPr>
          <w:p w14:paraId="127E1EEA" w14:textId="77777777" w:rsidR="00BC5BB6" w:rsidRPr="00BC5BB6" w:rsidRDefault="00BC5BB6" w:rsidP="00BC5BB6">
            <w:pPr>
              <w:rPr>
                <w:rFonts w:ascii="Arial" w:eastAsia="Times New Roman" w:hAnsi="Arial" w:cs="Arial"/>
                <w:b/>
                <w:bCs/>
                <w:color w:val="000000"/>
                <w:sz w:val="14"/>
                <w:szCs w:val="14"/>
                <w:lang w:val="cs-CZ" w:eastAsia="cs-CZ"/>
              </w:rPr>
            </w:pPr>
          </w:p>
        </w:tc>
        <w:tc>
          <w:tcPr>
            <w:tcW w:w="766" w:type="dxa"/>
            <w:vMerge/>
            <w:tcBorders>
              <w:top w:val="single" w:sz="4" w:space="0" w:color="auto"/>
              <w:left w:val="single" w:sz="4" w:space="0" w:color="auto"/>
              <w:bottom w:val="single" w:sz="4" w:space="0" w:color="000000"/>
              <w:right w:val="single" w:sz="4" w:space="0" w:color="auto"/>
            </w:tcBorders>
            <w:vAlign w:val="center"/>
            <w:hideMark/>
          </w:tcPr>
          <w:p w14:paraId="0B74B37A" w14:textId="77777777" w:rsidR="00BC5BB6" w:rsidRPr="00BC5BB6" w:rsidRDefault="00BC5BB6" w:rsidP="00BC5BB6">
            <w:pPr>
              <w:rPr>
                <w:rFonts w:ascii="Arial" w:eastAsia="Times New Roman" w:hAnsi="Arial" w:cs="Arial"/>
                <w:b/>
                <w:bCs/>
                <w:color w:val="000000"/>
                <w:sz w:val="14"/>
                <w:szCs w:val="14"/>
                <w:lang w:val="cs-CZ" w:eastAsia="cs-CZ"/>
              </w:rPr>
            </w:pPr>
          </w:p>
        </w:tc>
        <w:tc>
          <w:tcPr>
            <w:tcW w:w="768" w:type="dxa"/>
            <w:vMerge/>
            <w:tcBorders>
              <w:top w:val="single" w:sz="4" w:space="0" w:color="auto"/>
              <w:left w:val="single" w:sz="4" w:space="0" w:color="auto"/>
              <w:bottom w:val="single" w:sz="4" w:space="0" w:color="000000"/>
              <w:right w:val="single" w:sz="4" w:space="0" w:color="auto"/>
            </w:tcBorders>
            <w:vAlign w:val="center"/>
            <w:hideMark/>
          </w:tcPr>
          <w:p w14:paraId="17161934" w14:textId="77777777" w:rsidR="00BC5BB6" w:rsidRPr="00BC5BB6" w:rsidRDefault="00BC5BB6" w:rsidP="00BC5BB6">
            <w:pPr>
              <w:rPr>
                <w:rFonts w:ascii="Arial" w:eastAsia="Times New Roman" w:hAnsi="Arial" w:cs="Arial"/>
                <w:b/>
                <w:bCs/>
                <w:color w:val="000000"/>
                <w:sz w:val="14"/>
                <w:szCs w:val="14"/>
                <w:lang w:val="cs-CZ" w:eastAsia="cs-CZ"/>
              </w:rPr>
            </w:pP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45D1971D"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Roční hodnota</w:t>
            </w:r>
          </w:p>
        </w:tc>
        <w:tc>
          <w:tcPr>
            <w:tcW w:w="820" w:type="dxa"/>
            <w:tcBorders>
              <w:top w:val="nil"/>
              <w:left w:val="nil"/>
              <w:bottom w:val="single" w:sz="4" w:space="0" w:color="auto"/>
              <w:right w:val="single" w:sz="4" w:space="0" w:color="auto"/>
            </w:tcBorders>
            <w:shd w:val="clear" w:color="auto" w:fill="auto"/>
            <w:vAlign w:val="center"/>
            <w:hideMark/>
          </w:tcPr>
          <w:p w14:paraId="149F085B"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Celkem</w:t>
            </w: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34105636" w14:textId="77777777" w:rsidR="00BC5BB6" w:rsidRPr="00BC5BB6" w:rsidRDefault="00BC5BB6" w:rsidP="00BC5BB6">
            <w:pPr>
              <w:rPr>
                <w:rFonts w:ascii="Arial" w:eastAsia="Times New Roman" w:hAnsi="Arial" w:cs="Arial"/>
                <w:b/>
                <w:bCs/>
                <w:color w:val="000000"/>
                <w:sz w:val="14"/>
                <w:szCs w:val="14"/>
                <w:lang w:val="cs-CZ" w:eastAsia="cs-CZ"/>
              </w:rPr>
            </w:pPr>
          </w:p>
        </w:tc>
      </w:tr>
      <w:tr w:rsidR="00BC5BB6" w:rsidRPr="00BC5BB6" w14:paraId="24561591" w14:textId="77777777" w:rsidTr="00BC5BB6">
        <w:trPr>
          <w:trHeight w:val="20"/>
          <w:tblHeader/>
        </w:trPr>
        <w:tc>
          <w:tcPr>
            <w:tcW w:w="505" w:type="dxa"/>
            <w:vMerge/>
            <w:tcBorders>
              <w:top w:val="single" w:sz="4" w:space="0" w:color="auto"/>
              <w:left w:val="single" w:sz="4" w:space="0" w:color="auto"/>
              <w:bottom w:val="single" w:sz="4" w:space="0" w:color="000000"/>
              <w:right w:val="single" w:sz="4" w:space="0" w:color="auto"/>
            </w:tcBorders>
            <w:vAlign w:val="center"/>
            <w:hideMark/>
          </w:tcPr>
          <w:p w14:paraId="28E280E4" w14:textId="77777777" w:rsidR="00BC5BB6" w:rsidRPr="00BC5BB6" w:rsidRDefault="00BC5BB6" w:rsidP="00BC5BB6">
            <w:pPr>
              <w:rPr>
                <w:rFonts w:ascii="Arial" w:eastAsia="Times New Roman" w:hAnsi="Arial" w:cs="Arial"/>
                <w:b/>
                <w:bCs/>
                <w:color w:val="000000"/>
                <w:sz w:val="14"/>
                <w:szCs w:val="14"/>
                <w:lang w:val="cs-CZ" w:eastAsia="cs-CZ"/>
              </w:rPr>
            </w:pPr>
          </w:p>
        </w:tc>
        <w:tc>
          <w:tcPr>
            <w:tcW w:w="2891" w:type="dxa"/>
            <w:vMerge/>
            <w:tcBorders>
              <w:top w:val="single" w:sz="4" w:space="0" w:color="auto"/>
              <w:left w:val="single" w:sz="4" w:space="0" w:color="auto"/>
              <w:bottom w:val="single" w:sz="4" w:space="0" w:color="000000"/>
              <w:right w:val="single" w:sz="4" w:space="0" w:color="auto"/>
            </w:tcBorders>
            <w:vAlign w:val="center"/>
            <w:hideMark/>
          </w:tcPr>
          <w:p w14:paraId="14777C6E" w14:textId="77777777" w:rsidR="00BC5BB6" w:rsidRPr="00BC5BB6" w:rsidRDefault="00BC5BB6" w:rsidP="00BC5BB6">
            <w:pPr>
              <w:rPr>
                <w:rFonts w:ascii="Arial" w:eastAsia="Times New Roman" w:hAnsi="Arial" w:cs="Arial"/>
                <w:b/>
                <w:bCs/>
                <w:color w:val="000000"/>
                <w:sz w:val="14"/>
                <w:szCs w:val="14"/>
                <w:lang w:val="cs-CZ" w:eastAsia="cs-CZ"/>
              </w:rPr>
            </w:pPr>
          </w:p>
        </w:tc>
        <w:tc>
          <w:tcPr>
            <w:tcW w:w="1042" w:type="dxa"/>
            <w:vMerge/>
            <w:tcBorders>
              <w:top w:val="single" w:sz="4" w:space="0" w:color="auto"/>
              <w:left w:val="single" w:sz="4" w:space="0" w:color="auto"/>
              <w:bottom w:val="single" w:sz="4" w:space="0" w:color="000000"/>
              <w:right w:val="single" w:sz="4" w:space="0" w:color="auto"/>
            </w:tcBorders>
            <w:vAlign w:val="center"/>
            <w:hideMark/>
          </w:tcPr>
          <w:p w14:paraId="46ED3405" w14:textId="77777777" w:rsidR="00BC5BB6" w:rsidRPr="00BC5BB6" w:rsidRDefault="00BC5BB6" w:rsidP="00BC5BB6">
            <w:pPr>
              <w:rPr>
                <w:rFonts w:ascii="Arial" w:eastAsia="Times New Roman" w:hAnsi="Arial" w:cs="Arial"/>
                <w:b/>
                <w:bCs/>
                <w:color w:val="000000"/>
                <w:sz w:val="14"/>
                <w:szCs w:val="14"/>
                <w:lang w:val="cs-CZ" w:eastAsia="cs-CZ"/>
              </w:rPr>
            </w:pPr>
          </w:p>
        </w:tc>
        <w:tc>
          <w:tcPr>
            <w:tcW w:w="2698" w:type="dxa"/>
            <w:vMerge/>
            <w:tcBorders>
              <w:top w:val="single" w:sz="4" w:space="0" w:color="auto"/>
              <w:left w:val="single" w:sz="4" w:space="0" w:color="auto"/>
              <w:bottom w:val="single" w:sz="4" w:space="0" w:color="000000"/>
              <w:right w:val="single" w:sz="4" w:space="0" w:color="auto"/>
            </w:tcBorders>
            <w:vAlign w:val="center"/>
            <w:hideMark/>
          </w:tcPr>
          <w:p w14:paraId="14F1762A" w14:textId="77777777" w:rsidR="00BC5BB6" w:rsidRPr="00BC5BB6" w:rsidRDefault="00BC5BB6" w:rsidP="00BC5BB6">
            <w:pPr>
              <w:rPr>
                <w:rFonts w:ascii="Arial" w:eastAsia="Times New Roman" w:hAnsi="Arial" w:cs="Arial"/>
                <w:b/>
                <w:bCs/>
                <w:color w:val="000000"/>
                <w:sz w:val="14"/>
                <w:szCs w:val="14"/>
                <w:lang w:val="cs-CZ" w:eastAsia="cs-CZ"/>
              </w:rPr>
            </w:pPr>
          </w:p>
        </w:tc>
        <w:tc>
          <w:tcPr>
            <w:tcW w:w="766" w:type="dxa"/>
            <w:vMerge/>
            <w:tcBorders>
              <w:top w:val="single" w:sz="4" w:space="0" w:color="auto"/>
              <w:left w:val="single" w:sz="4" w:space="0" w:color="auto"/>
              <w:bottom w:val="single" w:sz="4" w:space="0" w:color="000000"/>
              <w:right w:val="single" w:sz="4" w:space="0" w:color="auto"/>
            </w:tcBorders>
            <w:vAlign w:val="center"/>
            <w:hideMark/>
          </w:tcPr>
          <w:p w14:paraId="0E4EF4A4" w14:textId="77777777" w:rsidR="00BC5BB6" w:rsidRPr="00BC5BB6" w:rsidRDefault="00BC5BB6" w:rsidP="00BC5BB6">
            <w:pPr>
              <w:rPr>
                <w:rFonts w:ascii="Arial" w:eastAsia="Times New Roman" w:hAnsi="Arial" w:cs="Arial"/>
                <w:b/>
                <w:bCs/>
                <w:color w:val="000000"/>
                <w:sz w:val="14"/>
                <w:szCs w:val="14"/>
                <w:lang w:val="cs-CZ" w:eastAsia="cs-CZ"/>
              </w:rPr>
            </w:pPr>
          </w:p>
        </w:tc>
        <w:tc>
          <w:tcPr>
            <w:tcW w:w="768" w:type="dxa"/>
            <w:vMerge/>
            <w:tcBorders>
              <w:top w:val="single" w:sz="4" w:space="0" w:color="auto"/>
              <w:left w:val="single" w:sz="4" w:space="0" w:color="auto"/>
              <w:bottom w:val="single" w:sz="4" w:space="0" w:color="000000"/>
              <w:right w:val="single" w:sz="4" w:space="0" w:color="auto"/>
            </w:tcBorders>
            <w:vAlign w:val="center"/>
            <w:hideMark/>
          </w:tcPr>
          <w:p w14:paraId="060BE0B8" w14:textId="77777777" w:rsidR="00BC5BB6" w:rsidRPr="00BC5BB6" w:rsidRDefault="00BC5BB6" w:rsidP="00BC5BB6">
            <w:pPr>
              <w:rPr>
                <w:rFonts w:ascii="Arial" w:eastAsia="Times New Roman" w:hAnsi="Arial" w:cs="Arial"/>
                <w:b/>
                <w:bCs/>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10B89B9C"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4" w:type="dxa"/>
            <w:tcBorders>
              <w:top w:val="nil"/>
              <w:left w:val="nil"/>
              <w:bottom w:val="single" w:sz="4" w:space="0" w:color="auto"/>
              <w:right w:val="single" w:sz="4" w:space="0" w:color="auto"/>
            </w:tcBorders>
            <w:shd w:val="clear" w:color="auto" w:fill="auto"/>
            <w:vAlign w:val="center"/>
            <w:hideMark/>
          </w:tcPr>
          <w:p w14:paraId="15365BF5"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4" w:type="dxa"/>
            <w:tcBorders>
              <w:top w:val="nil"/>
              <w:left w:val="nil"/>
              <w:bottom w:val="single" w:sz="4" w:space="0" w:color="auto"/>
              <w:right w:val="single" w:sz="4" w:space="0" w:color="auto"/>
            </w:tcBorders>
            <w:shd w:val="clear" w:color="auto" w:fill="auto"/>
            <w:vAlign w:val="center"/>
            <w:hideMark/>
          </w:tcPr>
          <w:p w14:paraId="617286E4"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4" w:type="dxa"/>
            <w:tcBorders>
              <w:top w:val="nil"/>
              <w:left w:val="nil"/>
              <w:bottom w:val="single" w:sz="4" w:space="0" w:color="auto"/>
              <w:right w:val="single" w:sz="4" w:space="0" w:color="auto"/>
            </w:tcBorders>
            <w:shd w:val="clear" w:color="auto" w:fill="auto"/>
            <w:vAlign w:val="center"/>
            <w:hideMark/>
          </w:tcPr>
          <w:p w14:paraId="01ADBE36"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5" w:type="dxa"/>
            <w:tcBorders>
              <w:top w:val="nil"/>
              <w:left w:val="nil"/>
              <w:bottom w:val="single" w:sz="4" w:space="0" w:color="auto"/>
              <w:right w:val="single" w:sz="4" w:space="0" w:color="auto"/>
            </w:tcBorders>
            <w:shd w:val="clear" w:color="auto" w:fill="auto"/>
            <w:vAlign w:val="center"/>
            <w:hideMark/>
          </w:tcPr>
          <w:p w14:paraId="0166C7E2"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5" w:type="dxa"/>
            <w:tcBorders>
              <w:top w:val="nil"/>
              <w:left w:val="nil"/>
              <w:bottom w:val="single" w:sz="4" w:space="0" w:color="auto"/>
              <w:right w:val="single" w:sz="4" w:space="0" w:color="auto"/>
            </w:tcBorders>
            <w:shd w:val="clear" w:color="auto" w:fill="auto"/>
            <w:vAlign w:val="center"/>
            <w:hideMark/>
          </w:tcPr>
          <w:p w14:paraId="5F0EC74C"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4" w:type="dxa"/>
            <w:tcBorders>
              <w:top w:val="nil"/>
              <w:left w:val="nil"/>
              <w:bottom w:val="single" w:sz="4" w:space="0" w:color="auto"/>
              <w:right w:val="single" w:sz="4" w:space="0" w:color="auto"/>
            </w:tcBorders>
            <w:shd w:val="clear" w:color="auto" w:fill="auto"/>
            <w:vAlign w:val="center"/>
            <w:hideMark/>
          </w:tcPr>
          <w:p w14:paraId="5500A72A"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4" w:type="dxa"/>
            <w:tcBorders>
              <w:top w:val="nil"/>
              <w:left w:val="nil"/>
              <w:bottom w:val="single" w:sz="4" w:space="0" w:color="auto"/>
              <w:right w:val="single" w:sz="4" w:space="0" w:color="auto"/>
            </w:tcBorders>
            <w:shd w:val="clear" w:color="auto" w:fill="auto"/>
            <w:vAlign w:val="center"/>
            <w:hideMark/>
          </w:tcPr>
          <w:p w14:paraId="1519C6F5"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4" w:type="dxa"/>
            <w:tcBorders>
              <w:top w:val="nil"/>
              <w:left w:val="nil"/>
              <w:bottom w:val="single" w:sz="4" w:space="0" w:color="auto"/>
              <w:right w:val="single" w:sz="4" w:space="0" w:color="auto"/>
            </w:tcBorders>
            <w:shd w:val="clear" w:color="auto" w:fill="auto"/>
            <w:vAlign w:val="center"/>
            <w:hideMark/>
          </w:tcPr>
          <w:p w14:paraId="18F27089"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554" w:type="dxa"/>
            <w:tcBorders>
              <w:top w:val="nil"/>
              <w:left w:val="nil"/>
              <w:bottom w:val="single" w:sz="4" w:space="0" w:color="auto"/>
              <w:right w:val="single" w:sz="4" w:space="0" w:color="auto"/>
            </w:tcBorders>
            <w:shd w:val="clear" w:color="auto" w:fill="auto"/>
            <w:vAlign w:val="center"/>
            <w:hideMark/>
          </w:tcPr>
          <w:p w14:paraId="27D3EED8"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820" w:type="dxa"/>
            <w:tcBorders>
              <w:top w:val="nil"/>
              <w:left w:val="nil"/>
              <w:bottom w:val="single" w:sz="4" w:space="0" w:color="auto"/>
              <w:right w:val="single" w:sz="4" w:space="0" w:color="auto"/>
            </w:tcBorders>
            <w:shd w:val="clear" w:color="auto" w:fill="auto"/>
            <w:vAlign w:val="center"/>
            <w:hideMark/>
          </w:tcPr>
          <w:p w14:paraId="087E9B5B"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M</w:t>
            </w: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7C1A9F16" w14:textId="77777777" w:rsidR="00BC5BB6" w:rsidRPr="00BC5BB6" w:rsidRDefault="00BC5BB6" w:rsidP="00BC5BB6">
            <w:pPr>
              <w:rPr>
                <w:rFonts w:ascii="Arial" w:eastAsia="Times New Roman" w:hAnsi="Arial" w:cs="Arial"/>
                <w:b/>
                <w:bCs/>
                <w:color w:val="000000"/>
                <w:sz w:val="14"/>
                <w:szCs w:val="14"/>
                <w:lang w:val="cs-CZ" w:eastAsia="cs-CZ"/>
              </w:rPr>
            </w:pPr>
          </w:p>
        </w:tc>
      </w:tr>
      <w:tr w:rsidR="00BC5BB6" w:rsidRPr="00BC5BB6" w14:paraId="169A55B8" w14:textId="77777777" w:rsidTr="00BC5BB6">
        <w:trPr>
          <w:trHeight w:val="20"/>
          <w:tblHeader/>
        </w:trPr>
        <w:tc>
          <w:tcPr>
            <w:tcW w:w="505" w:type="dxa"/>
            <w:vMerge/>
            <w:tcBorders>
              <w:top w:val="single" w:sz="4" w:space="0" w:color="auto"/>
              <w:left w:val="single" w:sz="4" w:space="0" w:color="auto"/>
              <w:bottom w:val="single" w:sz="4" w:space="0" w:color="000000"/>
              <w:right w:val="single" w:sz="4" w:space="0" w:color="auto"/>
            </w:tcBorders>
            <w:vAlign w:val="center"/>
            <w:hideMark/>
          </w:tcPr>
          <w:p w14:paraId="158617D9" w14:textId="77777777" w:rsidR="00BC5BB6" w:rsidRPr="00BC5BB6" w:rsidRDefault="00BC5BB6" w:rsidP="00BC5BB6">
            <w:pPr>
              <w:rPr>
                <w:rFonts w:ascii="Arial" w:eastAsia="Times New Roman" w:hAnsi="Arial" w:cs="Arial"/>
                <w:b/>
                <w:bCs/>
                <w:color w:val="000000"/>
                <w:sz w:val="14"/>
                <w:szCs w:val="14"/>
                <w:lang w:val="cs-CZ" w:eastAsia="cs-CZ"/>
              </w:rPr>
            </w:pPr>
          </w:p>
        </w:tc>
        <w:tc>
          <w:tcPr>
            <w:tcW w:w="2891" w:type="dxa"/>
            <w:vMerge/>
            <w:tcBorders>
              <w:top w:val="single" w:sz="4" w:space="0" w:color="auto"/>
              <w:left w:val="single" w:sz="4" w:space="0" w:color="auto"/>
              <w:bottom w:val="single" w:sz="4" w:space="0" w:color="000000"/>
              <w:right w:val="single" w:sz="4" w:space="0" w:color="auto"/>
            </w:tcBorders>
            <w:vAlign w:val="center"/>
            <w:hideMark/>
          </w:tcPr>
          <w:p w14:paraId="544D8DD6" w14:textId="77777777" w:rsidR="00BC5BB6" w:rsidRPr="00BC5BB6" w:rsidRDefault="00BC5BB6" w:rsidP="00BC5BB6">
            <w:pPr>
              <w:rPr>
                <w:rFonts w:ascii="Arial" w:eastAsia="Times New Roman" w:hAnsi="Arial" w:cs="Arial"/>
                <w:b/>
                <w:bCs/>
                <w:color w:val="000000"/>
                <w:sz w:val="14"/>
                <w:szCs w:val="14"/>
                <w:lang w:val="cs-CZ" w:eastAsia="cs-CZ"/>
              </w:rPr>
            </w:pPr>
          </w:p>
        </w:tc>
        <w:tc>
          <w:tcPr>
            <w:tcW w:w="1042" w:type="dxa"/>
            <w:vMerge/>
            <w:tcBorders>
              <w:top w:val="single" w:sz="4" w:space="0" w:color="auto"/>
              <w:left w:val="single" w:sz="4" w:space="0" w:color="auto"/>
              <w:bottom w:val="single" w:sz="4" w:space="0" w:color="000000"/>
              <w:right w:val="single" w:sz="4" w:space="0" w:color="auto"/>
            </w:tcBorders>
            <w:vAlign w:val="center"/>
            <w:hideMark/>
          </w:tcPr>
          <w:p w14:paraId="3E4738D0" w14:textId="77777777" w:rsidR="00BC5BB6" w:rsidRPr="00BC5BB6" w:rsidRDefault="00BC5BB6" w:rsidP="00BC5BB6">
            <w:pPr>
              <w:rPr>
                <w:rFonts w:ascii="Arial" w:eastAsia="Times New Roman" w:hAnsi="Arial" w:cs="Arial"/>
                <w:b/>
                <w:bCs/>
                <w:color w:val="000000"/>
                <w:sz w:val="14"/>
                <w:szCs w:val="14"/>
                <w:lang w:val="cs-CZ" w:eastAsia="cs-CZ"/>
              </w:rPr>
            </w:pPr>
          </w:p>
        </w:tc>
        <w:tc>
          <w:tcPr>
            <w:tcW w:w="2698" w:type="dxa"/>
            <w:vMerge/>
            <w:tcBorders>
              <w:top w:val="single" w:sz="4" w:space="0" w:color="auto"/>
              <w:left w:val="single" w:sz="4" w:space="0" w:color="auto"/>
              <w:bottom w:val="single" w:sz="4" w:space="0" w:color="000000"/>
              <w:right w:val="single" w:sz="4" w:space="0" w:color="auto"/>
            </w:tcBorders>
            <w:vAlign w:val="center"/>
            <w:hideMark/>
          </w:tcPr>
          <w:p w14:paraId="4D5B56E2" w14:textId="77777777" w:rsidR="00BC5BB6" w:rsidRPr="00BC5BB6" w:rsidRDefault="00BC5BB6" w:rsidP="00BC5BB6">
            <w:pPr>
              <w:rPr>
                <w:rFonts w:ascii="Arial" w:eastAsia="Times New Roman" w:hAnsi="Arial" w:cs="Arial"/>
                <w:b/>
                <w:bCs/>
                <w:color w:val="000000"/>
                <w:sz w:val="14"/>
                <w:szCs w:val="14"/>
                <w:lang w:val="cs-CZ" w:eastAsia="cs-CZ"/>
              </w:rPr>
            </w:pPr>
          </w:p>
        </w:tc>
        <w:tc>
          <w:tcPr>
            <w:tcW w:w="766" w:type="dxa"/>
            <w:vMerge/>
            <w:tcBorders>
              <w:top w:val="single" w:sz="4" w:space="0" w:color="auto"/>
              <w:left w:val="single" w:sz="4" w:space="0" w:color="auto"/>
              <w:bottom w:val="single" w:sz="4" w:space="0" w:color="000000"/>
              <w:right w:val="single" w:sz="4" w:space="0" w:color="auto"/>
            </w:tcBorders>
            <w:vAlign w:val="center"/>
            <w:hideMark/>
          </w:tcPr>
          <w:p w14:paraId="4420F557" w14:textId="77777777" w:rsidR="00BC5BB6" w:rsidRPr="00BC5BB6" w:rsidRDefault="00BC5BB6" w:rsidP="00BC5BB6">
            <w:pPr>
              <w:rPr>
                <w:rFonts w:ascii="Arial" w:eastAsia="Times New Roman" w:hAnsi="Arial" w:cs="Arial"/>
                <w:b/>
                <w:bCs/>
                <w:color w:val="000000"/>
                <w:sz w:val="14"/>
                <w:szCs w:val="14"/>
                <w:lang w:val="cs-CZ" w:eastAsia="cs-CZ"/>
              </w:rPr>
            </w:pPr>
          </w:p>
        </w:tc>
        <w:tc>
          <w:tcPr>
            <w:tcW w:w="768" w:type="dxa"/>
            <w:vMerge/>
            <w:tcBorders>
              <w:top w:val="single" w:sz="4" w:space="0" w:color="auto"/>
              <w:left w:val="single" w:sz="4" w:space="0" w:color="auto"/>
              <w:bottom w:val="single" w:sz="4" w:space="0" w:color="000000"/>
              <w:right w:val="single" w:sz="4" w:space="0" w:color="auto"/>
            </w:tcBorders>
            <w:vAlign w:val="center"/>
            <w:hideMark/>
          </w:tcPr>
          <w:p w14:paraId="3F70F142" w14:textId="77777777" w:rsidR="00BC5BB6" w:rsidRPr="00BC5BB6" w:rsidRDefault="00BC5BB6" w:rsidP="00BC5BB6">
            <w:pPr>
              <w:rPr>
                <w:rFonts w:ascii="Arial" w:eastAsia="Times New Roman" w:hAnsi="Arial" w:cs="Arial"/>
                <w:b/>
                <w:bCs/>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6AE444F8"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4" w:type="dxa"/>
            <w:tcBorders>
              <w:top w:val="nil"/>
              <w:left w:val="nil"/>
              <w:bottom w:val="single" w:sz="4" w:space="0" w:color="auto"/>
              <w:right w:val="single" w:sz="4" w:space="0" w:color="auto"/>
            </w:tcBorders>
            <w:shd w:val="clear" w:color="auto" w:fill="auto"/>
            <w:vAlign w:val="center"/>
            <w:hideMark/>
          </w:tcPr>
          <w:p w14:paraId="5236CFAF"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4" w:type="dxa"/>
            <w:tcBorders>
              <w:top w:val="nil"/>
              <w:left w:val="nil"/>
              <w:bottom w:val="single" w:sz="4" w:space="0" w:color="auto"/>
              <w:right w:val="single" w:sz="4" w:space="0" w:color="auto"/>
            </w:tcBorders>
            <w:shd w:val="clear" w:color="auto" w:fill="auto"/>
            <w:vAlign w:val="center"/>
            <w:hideMark/>
          </w:tcPr>
          <w:p w14:paraId="1BCA5481"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4" w:type="dxa"/>
            <w:tcBorders>
              <w:top w:val="nil"/>
              <w:left w:val="nil"/>
              <w:bottom w:val="single" w:sz="4" w:space="0" w:color="auto"/>
              <w:right w:val="single" w:sz="4" w:space="0" w:color="auto"/>
            </w:tcBorders>
            <w:shd w:val="clear" w:color="auto" w:fill="auto"/>
            <w:vAlign w:val="center"/>
            <w:hideMark/>
          </w:tcPr>
          <w:p w14:paraId="3C1889DE"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5" w:type="dxa"/>
            <w:tcBorders>
              <w:top w:val="nil"/>
              <w:left w:val="nil"/>
              <w:bottom w:val="single" w:sz="4" w:space="0" w:color="auto"/>
              <w:right w:val="single" w:sz="4" w:space="0" w:color="auto"/>
            </w:tcBorders>
            <w:shd w:val="clear" w:color="auto" w:fill="auto"/>
            <w:vAlign w:val="center"/>
            <w:hideMark/>
          </w:tcPr>
          <w:p w14:paraId="146DDB8C"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5" w:type="dxa"/>
            <w:tcBorders>
              <w:top w:val="nil"/>
              <w:left w:val="nil"/>
              <w:bottom w:val="single" w:sz="4" w:space="0" w:color="auto"/>
              <w:right w:val="single" w:sz="4" w:space="0" w:color="auto"/>
            </w:tcBorders>
            <w:shd w:val="clear" w:color="auto" w:fill="auto"/>
            <w:vAlign w:val="center"/>
            <w:hideMark/>
          </w:tcPr>
          <w:p w14:paraId="558C51CA"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4" w:type="dxa"/>
            <w:tcBorders>
              <w:top w:val="nil"/>
              <w:left w:val="nil"/>
              <w:bottom w:val="single" w:sz="4" w:space="0" w:color="auto"/>
              <w:right w:val="single" w:sz="4" w:space="0" w:color="auto"/>
            </w:tcBorders>
            <w:shd w:val="clear" w:color="auto" w:fill="auto"/>
            <w:vAlign w:val="center"/>
            <w:hideMark/>
          </w:tcPr>
          <w:p w14:paraId="032A9A9D"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4" w:type="dxa"/>
            <w:tcBorders>
              <w:top w:val="nil"/>
              <w:left w:val="nil"/>
              <w:bottom w:val="single" w:sz="4" w:space="0" w:color="auto"/>
              <w:right w:val="single" w:sz="4" w:space="0" w:color="auto"/>
            </w:tcBorders>
            <w:shd w:val="clear" w:color="auto" w:fill="auto"/>
            <w:vAlign w:val="center"/>
            <w:hideMark/>
          </w:tcPr>
          <w:p w14:paraId="147A1F8D"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4" w:type="dxa"/>
            <w:tcBorders>
              <w:top w:val="nil"/>
              <w:left w:val="nil"/>
              <w:bottom w:val="single" w:sz="4" w:space="0" w:color="auto"/>
              <w:right w:val="single" w:sz="4" w:space="0" w:color="auto"/>
            </w:tcBorders>
            <w:shd w:val="clear" w:color="auto" w:fill="auto"/>
            <w:vAlign w:val="center"/>
            <w:hideMark/>
          </w:tcPr>
          <w:p w14:paraId="2C1925A4"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554" w:type="dxa"/>
            <w:tcBorders>
              <w:top w:val="nil"/>
              <w:left w:val="nil"/>
              <w:bottom w:val="single" w:sz="4" w:space="0" w:color="auto"/>
              <w:right w:val="single" w:sz="4" w:space="0" w:color="auto"/>
            </w:tcBorders>
            <w:shd w:val="clear" w:color="auto" w:fill="auto"/>
            <w:vAlign w:val="center"/>
            <w:hideMark/>
          </w:tcPr>
          <w:p w14:paraId="5BC5BEA5"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820" w:type="dxa"/>
            <w:tcBorders>
              <w:top w:val="nil"/>
              <w:left w:val="nil"/>
              <w:bottom w:val="single" w:sz="4" w:space="0" w:color="auto"/>
              <w:right w:val="single" w:sz="4" w:space="0" w:color="auto"/>
            </w:tcBorders>
            <w:shd w:val="clear" w:color="auto" w:fill="auto"/>
            <w:vAlign w:val="center"/>
            <w:hideMark/>
          </w:tcPr>
          <w:p w14:paraId="4C2FB760" w14:textId="77777777" w:rsidR="00BC5BB6" w:rsidRPr="00BC5BB6" w:rsidRDefault="00BC5BB6" w:rsidP="00BC5BB6">
            <w:pPr>
              <w:jc w:val="center"/>
              <w:rPr>
                <w:rFonts w:ascii="Arial" w:eastAsia="Times New Roman" w:hAnsi="Arial" w:cs="Arial"/>
                <w:b/>
                <w:bCs/>
                <w:color w:val="000000"/>
                <w:sz w:val="14"/>
                <w:szCs w:val="14"/>
                <w:lang w:val="cs-CZ" w:eastAsia="cs-CZ"/>
              </w:rPr>
            </w:pPr>
            <w:r w:rsidRPr="00BC5BB6">
              <w:rPr>
                <w:rFonts w:ascii="Arial" w:eastAsia="Times New Roman" w:hAnsi="Arial" w:cs="Arial"/>
                <w:b/>
                <w:bCs/>
                <w:color w:val="000000"/>
                <w:sz w:val="14"/>
                <w:szCs w:val="14"/>
                <w:lang w:val="cs-CZ" w:eastAsia="cs-CZ"/>
              </w:rPr>
              <w:t>Ž</w:t>
            </w: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5D9ACC3E" w14:textId="77777777" w:rsidR="00BC5BB6" w:rsidRPr="00BC5BB6" w:rsidRDefault="00BC5BB6" w:rsidP="00BC5BB6">
            <w:pPr>
              <w:rPr>
                <w:rFonts w:ascii="Arial" w:eastAsia="Times New Roman" w:hAnsi="Arial" w:cs="Arial"/>
                <w:b/>
                <w:bCs/>
                <w:color w:val="000000"/>
                <w:sz w:val="14"/>
                <w:szCs w:val="14"/>
                <w:lang w:val="cs-CZ" w:eastAsia="cs-CZ"/>
              </w:rPr>
            </w:pPr>
          </w:p>
        </w:tc>
      </w:tr>
      <w:tr w:rsidR="00BC5BB6" w:rsidRPr="00BC5BB6" w14:paraId="6A05C60B"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39D73C9A"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62400</w:t>
            </w:r>
            <w:r w:rsidRPr="00BC5BB6">
              <w:rPr>
                <w:rFonts w:ascii="Arial" w:eastAsia="Times New Roman" w:hAnsi="Arial" w:cs="Arial"/>
                <w:color w:val="000000"/>
                <w:sz w:val="14"/>
                <w:szCs w:val="14"/>
                <w:lang w:val="cs-CZ" w:eastAsia="cs-CZ"/>
              </w:rPr>
              <w:br/>
              <w:t>CR01</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113CA1B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Neaktivní účastníci, kteří znovu začali hledat zaměstnání po ukončení své účasti</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5E156F3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Méně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775809C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60300 Neaktivní účastníci</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077C537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4799CD6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2 984,000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726A8AFD"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C62F52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7B64EDDA"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r>
      <w:tr w:rsidR="00BC5BB6" w:rsidRPr="00BC5BB6" w14:paraId="25E194FA"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7A8B8BF4"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5685086D"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48A10FF2"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65ED824A"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63AC46BE"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6322DC82"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4B72603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DE2C50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FAE42B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B431D5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38CA1E0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3CEEB09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BF92D4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149EA6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BB18E4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5AC7AC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04F02D7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800" w:type="dxa"/>
            <w:vMerge/>
            <w:tcBorders>
              <w:top w:val="nil"/>
              <w:left w:val="single" w:sz="4" w:space="0" w:color="auto"/>
              <w:bottom w:val="single" w:sz="4" w:space="0" w:color="000000"/>
              <w:right w:val="single" w:sz="4" w:space="0" w:color="auto"/>
            </w:tcBorders>
            <w:vAlign w:val="center"/>
            <w:hideMark/>
          </w:tcPr>
          <w:p w14:paraId="0D0C2484"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481469B1"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5A1CF710"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243EFC27"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1F5C27C1"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2D6DEACF"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6CD5DCEA"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6388F56A"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183BDFD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4C06158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074327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4C0939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0AEBB11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0EF5D55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8071CF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3EFE55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53DDC65"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13D0BD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DFB5E5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800" w:type="dxa"/>
            <w:vMerge/>
            <w:tcBorders>
              <w:top w:val="nil"/>
              <w:left w:val="single" w:sz="4" w:space="0" w:color="auto"/>
              <w:bottom w:val="single" w:sz="4" w:space="0" w:color="000000"/>
              <w:right w:val="single" w:sz="4" w:space="0" w:color="auto"/>
            </w:tcBorders>
            <w:vAlign w:val="center"/>
            <w:hideMark/>
          </w:tcPr>
          <w:p w14:paraId="2F5E19E6"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05FE75B0"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52277CA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62400</w:t>
            </w:r>
            <w:r w:rsidRPr="00BC5BB6">
              <w:rPr>
                <w:rFonts w:ascii="Arial" w:eastAsia="Times New Roman" w:hAnsi="Arial" w:cs="Arial"/>
                <w:color w:val="000000"/>
                <w:sz w:val="14"/>
                <w:szCs w:val="14"/>
                <w:lang w:val="cs-CZ" w:eastAsia="cs-CZ"/>
              </w:rPr>
              <w:br/>
              <w:t>CR01</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4FE6B65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Neaktivní účastníci, kteří znovu začali hledat zaměstnání po ukončení své účasti</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60EEEC7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Více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48F38E6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60300 Neaktivní účastníci</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42AA6C6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1F0D1EE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342,000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5567774E"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D58E10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55BE70E9"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r>
      <w:tr w:rsidR="00BC5BB6" w:rsidRPr="00BC5BB6" w14:paraId="40B29647"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0DF588A7"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1F882C7C"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461F6544"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3D7CC1D6"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76250A4D"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06092AD5"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28BCCE6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6E47E30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6DE06B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EB4A61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1353E99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153512A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01997D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0E2E0A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AD166CB"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E616AD0"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0A4B8B2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800" w:type="dxa"/>
            <w:vMerge/>
            <w:tcBorders>
              <w:top w:val="nil"/>
              <w:left w:val="single" w:sz="4" w:space="0" w:color="auto"/>
              <w:bottom w:val="single" w:sz="4" w:space="0" w:color="000000"/>
              <w:right w:val="single" w:sz="4" w:space="0" w:color="auto"/>
            </w:tcBorders>
            <w:vAlign w:val="center"/>
            <w:hideMark/>
          </w:tcPr>
          <w:p w14:paraId="0F2605A0"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711161D6"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1E3C02C1"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7F425B3C"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2FB304AF"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01C77908"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5C7AD802"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6FBDB618"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5BFFA0B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8C673C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053D86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BA1DC3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6B8AA42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40C8CC3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24EC4E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2E5905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BE018BA"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F21625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6EC6D4C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800" w:type="dxa"/>
            <w:vMerge/>
            <w:tcBorders>
              <w:top w:val="nil"/>
              <w:left w:val="single" w:sz="4" w:space="0" w:color="auto"/>
              <w:bottom w:val="single" w:sz="4" w:space="0" w:color="000000"/>
              <w:right w:val="single" w:sz="4" w:space="0" w:color="auto"/>
            </w:tcBorders>
            <w:vAlign w:val="center"/>
            <w:hideMark/>
          </w:tcPr>
          <w:p w14:paraId="5CDEF95E"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226D435A"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42E3550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62700</w:t>
            </w:r>
            <w:r w:rsidRPr="00BC5BB6">
              <w:rPr>
                <w:rFonts w:ascii="Arial" w:eastAsia="Times New Roman" w:hAnsi="Arial" w:cs="Arial"/>
                <w:color w:val="000000"/>
                <w:sz w:val="14"/>
                <w:szCs w:val="14"/>
                <w:lang w:val="cs-CZ" w:eastAsia="cs-CZ"/>
              </w:rPr>
              <w:br/>
              <w:t>CR04</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2641411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Účastníci zaměstnaní po ukončení své účasti, včetně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306BB40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Méně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2EE636C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60100 Nezaměstnaní účastníci, včetně dlouhodobě nezaměstnaných</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50CF452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3A9CEE7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1 244,000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31752A64"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6E80C0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1 351,000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3F22503E"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108,601</w:t>
            </w:r>
          </w:p>
        </w:tc>
      </w:tr>
      <w:tr w:rsidR="00BC5BB6" w:rsidRPr="00BC5BB6" w14:paraId="7582BB45"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54BD8B97"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06A10D08"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6B7D91F8"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4B55BB6C"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33040077"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3B92B417"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0613AE8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C1C02A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99FB48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EDDD81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61,000</w:t>
            </w:r>
          </w:p>
        </w:tc>
        <w:tc>
          <w:tcPr>
            <w:tcW w:w="555" w:type="dxa"/>
            <w:tcBorders>
              <w:top w:val="nil"/>
              <w:left w:val="nil"/>
              <w:bottom w:val="single" w:sz="4" w:space="0" w:color="auto"/>
              <w:right w:val="single" w:sz="4" w:space="0" w:color="auto"/>
            </w:tcBorders>
            <w:shd w:val="clear" w:color="auto" w:fill="auto"/>
            <w:vAlign w:val="center"/>
            <w:hideMark/>
          </w:tcPr>
          <w:p w14:paraId="3FB8C36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444,000</w:t>
            </w:r>
          </w:p>
        </w:tc>
        <w:tc>
          <w:tcPr>
            <w:tcW w:w="555" w:type="dxa"/>
            <w:tcBorders>
              <w:top w:val="nil"/>
              <w:left w:val="nil"/>
              <w:bottom w:val="single" w:sz="4" w:space="0" w:color="auto"/>
              <w:right w:val="single" w:sz="4" w:space="0" w:color="auto"/>
            </w:tcBorders>
            <w:shd w:val="clear" w:color="auto" w:fill="auto"/>
            <w:vAlign w:val="center"/>
            <w:hideMark/>
          </w:tcPr>
          <w:p w14:paraId="2E2D0B5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139,000</w:t>
            </w:r>
          </w:p>
        </w:tc>
        <w:tc>
          <w:tcPr>
            <w:tcW w:w="554" w:type="dxa"/>
            <w:tcBorders>
              <w:top w:val="nil"/>
              <w:left w:val="nil"/>
              <w:bottom w:val="single" w:sz="4" w:space="0" w:color="auto"/>
              <w:right w:val="single" w:sz="4" w:space="0" w:color="auto"/>
            </w:tcBorders>
            <w:shd w:val="clear" w:color="auto" w:fill="auto"/>
            <w:vAlign w:val="center"/>
            <w:hideMark/>
          </w:tcPr>
          <w:p w14:paraId="111959B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494333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47D045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B1B7AA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083C5F3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644,000</w:t>
            </w:r>
          </w:p>
        </w:tc>
        <w:tc>
          <w:tcPr>
            <w:tcW w:w="800" w:type="dxa"/>
            <w:vMerge/>
            <w:tcBorders>
              <w:top w:val="nil"/>
              <w:left w:val="single" w:sz="4" w:space="0" w:color="auto"/>
              <w:bottom w:val="single" w:sz="4" w:space="0" w:color="000000"/>
              <w:right w:val="single" w:sz="4" w:space="0" w:color="auto"/>
            </w:tcBorders>
            <w:vAlign w:val="center"/>
            <w:hideMark/>
          </w:tcPr>
          <w:p w14:paraId="0F1D639A"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6A182794"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33574C57"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37186C44"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3EFE2B32"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37CBE35F"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23DE94EC"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2D03DA4F"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07DAC18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6E3DF2D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999E37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FB74ED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66,000</w:t>
            </w:r>
          </w:p>
        </w:tc>
        <w:tc>
          <w:tcPr>
            <w:tcW w:w="555" w:type="dxa"/>
            <w:tcBorders>
              <w:top w:val="nil"/>
              <w:left w:val="nil"/>
              <w:bottom w:val="single" w:sz="4" w:space="0" w:color="auto"/>
              <w:right w:val="single" w:sz="4" w:space="0" w:color="auto"/>
            </w:tcBorders>
            <w:shd w:val="clear" w:color="auto" w:fill="auto"/>
            <w:vAlign w:val="center"/>
            <w:hideMark/>
          </w:tcPr>
          <w:p w14:paraId="3659C5A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544,000</w:t>
            </w:r>
          </w:p>
        </w:tc>
        <w:tc>
          <w:tcPr>
            <w:tcW w:w="555" w:type="dxa"/>
            <w:tcBorders>
              <w:top w:val="nil"/>
              <w:left w:val="nil"/>
              <w:bottom w:val="single" w:sz="4" w:space="0" w:color="auto"/>
              <w:right w:val="single" w:sz="4" w:space="0" w:color="auto"/>
            </w:tcBorders>
            <w:shd w:val="clear" w:color="auto" w:fill="auto"/>
            <w:vAlign w:val="center"/>
            <w:hideMark/>
          </w:tcPr>
          <w:p w14:paraId="2CFFC52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97,000</w:t>
            </w:r>
          </w:p>
        </w:tc>
        <w:tc>
          <w:tcPr>
            <w:tcW w:w="554" w:type="dxa"/>
            <w:tcBorders>
              <w:top w:val="nil"/>
              <w:left w:val="nil"/>
              <w:bottom w:val="single" w:sz="4" w:space="0" w:color="auto"/>
              <w:right w:val="single" w:sz="4" w:space="0" w:color="auto"/>
            </w:tcBorders>
            <w:shd w:val="clear" w:color="auto" w:fill="auto"/>
            <w:vAlign w:val="center"/>
            <w:hideMark/>
          </w:tcPr>
          <w:p w14:paraId="6B3C035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859496A"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46270DB"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F90331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A04AF4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707,000</w:t>
            </w:r>
          </w:p>
        </w:tc>
        <w:tc>
          <w:tcPr>
            <w:tcW w:w="800" w:type="dxa"/>
            <w:vMerge/>
            <w:tcBorders>
              <w:top w:val="nil"/>
              <w:left w:val="single" w:sz="4" w:space="0" w:color="auto"/>
              <w:bottom w:val="single" w:sz="4" w:space="0" w:color="000000"/>
              <w:right w:val="single" w:sz="4" w:space="0" w:color="auto"/>
            </w:tcBorders>
            <w:vAlign w:val="center"/>
            <w:hideMark/>
          </w:tcPr>
          <w:p w14:paraId="20C614C9"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4C053732"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3BB33A5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62700</w:t>
            </w:r>
            <w:r w:rsidRPr="00BC5BB6">
              <w:rPr>
                <w:rFonts w:ascii="Arial" w:eastAsia="Times New Roman" w:hAnsi="Arial" w:cs="Arial"/>
                <w:color w:val="000000"/>
                <w:sz w:val="14"/>
                <w:szCs w:val="14"/>
                <w:lang w:val="cs-CZ" w:eastAsia="cs-CZ"/>
              </w:rPr>
              <w:br/>
              <w:t>CR04</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65D148A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Účastníci zaměstnaní po ukončení své účasti, včetně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28DD5250"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Více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4DAB958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60100 Nezaměstnaní účastníci, včetně dlouhodobě nezaměstnaných</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4A93A33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1CEA8DD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142,000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6D51394A"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600FBC3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179,000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56B3D528"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126,056</w:t>
            </w:r>
          </w:p>
        </w:tc>
      </w:tr>
      <w:tr w:rsidR="00BC5BB6" w:rsidRPr="00BC5BB6" w14:paraId="2A9AF2BB"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7F2366EE"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0C30BCA3"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44C17C93"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4DD4F88E"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7E5041AA"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67F40E0B"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18CB9C6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63CF90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C2A964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8D3EAA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44DCC4E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69,000</w:t>
            </w:r>
          </w:p>
        </w:tc>
        <w:tc>
          <w:tcPr>
            <w:tcW w:w="555" w:type="dxa"/>
            <w:tcBorders>
              <w:top w:val="nil"/>
              <w:left w:val="nil"/>
              <w:bottom w:val="single" w:sz="4" w:space="0" w:color="auto"/>
              <w:right w:val="single" w:sz="4" w:space="0" w:color="auto"/>
            </w:tcBorders>
            <w:shd w:val="clear" w:color="auto" w:fill="auto"/>
            <w:vAlign w:val="center"/>
            <w:hideMark/>
          </w:tcPr>
          <w:p w14:paraId="6479D3E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30,000</w:t>
            </w:r>
          </w:p>
        </w:tc>
        <w:tc>
          <w:tcPr>
            <w:tcW w:w="554" w:type="dxa"/>
            <w:tcBorders>
              <w:top w:val="nil"/>
              <w:left w:val="nil"/>
              <w:bottom w:val="single" w:sz="4" w:space="0" w:color="auto"/>
              <w:right w:val="single" w:sz="4" w:space="0" w:color="auto"/>
            </w:tcBorders>
            <w:shd w:val="clear" w:color="auto" w:fill="auto"/>
            <w:vAlign w:val="center"/>
            <w:hideMark/>
          </w:tcPr>
          <w:p w14:paraId="30C297B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3443F33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2DD58E3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4BDD800"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32147A2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99,000</w:t>
            </w:r>
          </w:p>
        </w:tc>
        <w:tc>
          <w:tcPr>
            <w:tcW w:w="800" w:type="dxa"/>
            <w:vMerge/>
            <w:tcBorders>
              <w:top w:val="nil"/>
              <w:left w:val="single" w:sz="4" w:space="0" w:color="auto"/>
              <w:bottom w:val="single" w:sz="4" w:space="0" w:color="000000"/>
              <w:right w:val="single" w:sz="4" w:space="0" w:color="auto"/>
            </w:tcBorders>
            <w:vAlign w:val="center"/>
            <w:hideMark/>
          </w:tcPr>
          <w:p w14:paraId="569EF146"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63E193B2"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155EC3C8"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6F898CF2"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0AF11016"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5D02CC52"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4F6545B2"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7B2FAAAE"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6EB3E06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5B5A25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420ECD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E2AF82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717DE5C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52,000</w:t>
            </w:r>
          </w:p>
        </w:tc>
        <w:tc>
          <w:tcPr>
            <w:tcW w:w="555" w:type="dxa"/>
            <w:tcBorders>
              <w:top w:val="nil"/>
              <w:left w:val="nil"/>
              <w:bottom w:val="single" w:sz="4" w:space="0" w:color="auto"/>
              <w:right w:val="single" w:sz="4" w:space="0" w:color="auto"/>
            </w:tcBorders>
            <w:shd w:val="clear" w:color="auto" w:fill="auto"/>
            <w:vAlign w:val="center"/>
            <w:hideMark/>
          </w:tcPr>
          <w:p w14:paraId="05E4CA5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28,000</w:t>
            </w:r>
          </w:p>
        </w:tc>
        <w:tc>
          <w:tcPr>
            <w:tcW w:w="554" w:type="dxa"/>
            <w:tcBorders>
              <w:top w:val="nil"/>
              <w:left w:val="nil"/>
              <w:bottom w:val="single" w:sz="4" w:space="0" w:color="auto"/>
              <w:right w:val="single" w:sz="4" w:space="0" w:color="auto"/>
            </w:tcBorders>
            <w:shd w:val="clear" w:color="auto" w:fill="auto"/>
            <w:vAlign w:val="center"/>
            <w:hideMark/>
          </w:tcPr>
          <w:p w14:paraId="3532B37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51C740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F9B7A5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AB25BE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577CEBD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80,000</w:t>
            </w:r>
          </w:p>
        </w:tc>
        <w:tc>
          <w:tcPr>
            <w:tcW w:w="800" w:type="dxa"/>
            <w:vMerge/>
            <w:tcBorders>
              <w:top w:val="nil"/>
              <w:left w:val="single" w:sz="4" w:space="0" w:color="auto"/>
              <w:bottom w:val="single" w:sz="4" w:space="0" w:color="000000"/>
              <w:right w:val="single" w:sz="4" w:space="0" w:color="auto"/>
            </w:tcBorders>
            <w:vAlign w:val="center"/>
            <w:hideMark/>
          </w:tcPr>
          <w:p w14:paraId="6E7043AF"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66A7CA01" w14:textId="77777777" w:rsidTr="00BC5BB6">
        <w:trPr>
          <w:trHeight w:val="25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5FEC0F1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62800</w:t>
            </w:r>
            <w:r w:rsidRPr="00BC5BB6">
              <w:rPr>
                <w:rFonts w:ascii="Arial" w:eastAsia="Times New Roman" w:hAnsi="Arial" w:cs="Arial"/>
                <w:color w:val="000000"/>
                <w:sz w:val="14"/>
                <w:szCs w:val="14"/>
                <w:lang w:val="cs-CZ" w:eastAsia="cs-CZ"/>
              </w:rPr>
              <w:br/>
              <w:t>CR05</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7E0B059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Znevýhodnění účastníci, kteří po ukončení své účasti hledají zaměstnání, jsou v procesu vzdělávání/ odborné přípravy, rozšiřují si kvalifikaci nebo jsou zaměstnaní, a to i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07E2932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Méně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1A35020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7E9BE13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3D1B116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5 057,000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52779F51"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5227CCC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1 760,000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5BE7CCC7"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34,803</w:t>
            </w:r>
          </w:p>
        </w:tc>
      </w:tr>
      <w:tr w:rsidR="00BC5BB6" w:rsidRPr="00BC5BB6" w14:paraId="206A938D"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4DFD6ECA"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0E9020D7"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4A488955"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5BC968AE"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58C1BD24"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1B81F76E"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63FDF94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150C2C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24C352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8,000</w:t>
            </w:r>
          </w:p>
        </w:tc>
        <w:tc>
          <w:tcPr>
            <w:tcW w:w="554" w:type="dxa"/>
            <w:tcBorders>
              <w:top w:val="nil"/>
              <w:left w:val="nil"/>
              <w:bottom w:val="single" w:sz="4" w:space="0" w:color="auto"/>
              <w:right w:val="single" w:sz="4" w:space="0" w:color="auto"/>
            </w:tcBorders>
            <w:shd w:val="clear" w:color="auto" w:fill="auto"/>
            <w:vAlign w:val="center"/>
            <w:hideMark/>
          </w:tcPr>
          <w:p w14:paraId="30A057F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85,000</w:t>
            </w:r>
          </w:p>
        </w:tc>
        <w:tc>
          <w:tcPr>
            <w:tcW w:w="555" w:type="dxa"/>
            <w:tcBorders>
              <w:top w:val="nil"/>
              <w:left w:val="nil"/>
              <w:bottom w:val="single" w:sz="4" w:space="0" w:color="auto"/>
              <w:right w:val="single" w:sz="4" w:space="0" w:color="auto"/>
            </w:tcBorders>
            <w:shd w:val="clear" w:color="auto" w:fill="auto"/>
            <w:vAlign w:val="center"/>
            <w:hideMark/>
          </w:tcPr>
          <w:p w14:paraId="125A573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563,000</w:t>
            </w:r>
          </w:p>
        </w:tc>
        <w:tc>
          <w:tcPr>
            <w:tcW w:w="555" w:type="dxa"/>
            <w:tcBorders>
              <w:top w:val="nil"/>
              <w:left w:val="nil"/>
              <w:bottom w:val="single" w:sz="4" w:space="0" w:color="auto"/>
              <w:right w:val="single" w:sz="4" w:space="0" w:color="auto"/>
            </w:tcBorders>
            <w:shd w:val="clear" w:color="auto" w:fill="auto"/>
            <w:vAlign w:val="center"/>
            <w:hideMark/>
          </w:tcPr>
          <w:p w14:paraId="2ECFFE2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174,000</w:t>
            </w:r>
          </w:p>
        </w:tc>
        <w:tc>
          <w:tcPr>
            <w:tcW w:w="554" w:type="dxa"/>
            <w:tcBorders>
              <w:top w:val="nil"/>
              <w:left w:val="nil"/>
              <w:bottom w:val="single" w:sz="4" w:space="0" w:color="auto"/>
              <w:right w:val="single" w:sz="4" w:space="0" w:color="auto"/>
            </w:tcBorders>
            <w:shd w:val="clear" w:color="auto" w:fill="auto"/>
            <w:vAlign w:val="center"/>
            <w:hideMark/>
          </w:tcPr>
          <w:p w14:paraId="7C568BC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F3CB75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75370FB"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722333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56146DE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830,000</w:t>
            </w:r>
          </w:p>
        </w:tc>
        <w:tc>
          <w:tcPr>
            <w:tcW w:w="800" w:type="dxa"/>
            <w:vMerge/>
            <w:tcBorders>
              <w:top w:val="nil"/>
              <w:left w:val="single" w:sz="4" w:space="0" w:color="auto"/>
              <w:bottom w:val="single" w:sz="4" w:space="0" w:color="000000"/>
              <w:right w:val="single" w:sz="4" w:space="0" w:color="auto"/>
            </w:tcBorders>
            <w:vAlign w:val="center"/>
            <w:hideMark/>
          </w:tcPr>
          <w:p w14:paraId="68C9CA81"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7CBAD241"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33AB5626"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4F14C60C"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6AFE96D2"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43ECD5AC"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6FCE0A2A"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4E68CF90"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25EFAD2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6D2122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40F0E0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2,000</w:t>
            </w:r>
          </w:p>
        </w:tc>
        <w:tc>
          <w:tcPr>
            <w:tcW w:w="554" w:type="dxa"/>
            <w:tcBorders>
              <w:top w:val="nil"/>
              <w:left w:val="nil"/>
              <w:bottom w:val="single" w:sz="4" w:space="0" w:color="auto"/>
              <w:right w:val="single" w:sz="4" w:space="0" w:color="auto"/>
            </w:tcBorders>
            <w:shd w:val="clear" w:color="auto" w:fill="auto"/>
            <w:vAlign w:val="center"/>
            <w:hideMark/>
          </w:tcPr>
          <w:p w14:paraId="0098F9E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83,000</w:t>
            </w:r>
          </w:p>
        </w:tc>
        <w:tc>
          <w:tcPr>
            <w:tcW w:w="555" w:type="dxa"/>
            <w:tcBorders>
              <w:top w:val="nil"/>
              <w:left w:val="nil"/>
              <w:bottom w:val="single" w:sz="4" w:space="0" w:color="auto"/>
              <w:right w:val="single" w:sz="4" w:space="0" w:color="auto"/>
            </w:tcBorders>
            <w:shd w:val="clear" w:color="auto" w:fill="auto"/>
            <w:vAlign w:val="center"/>
            <w:hideMark/>
          </w:tcPr>
          <w:p w14:paraId="07B70B8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478,000</w:t>
            </w:r>
          </w:p>
        </w:tc>
        <w:tc>
          <w:tcPr>
            <w:tcW w:w="555" w:type="dxa"/>
            <w:tcBorders>
              <w:top w:val="nil"/>
              <w:left w:val="nil"/>
              <w:bottom w:val="single" w:sz="4" w:space="0" w:color="auto"/>
              <w:right w:val="single" w:sz="4" w:space="0" w:color="auto"/>
            </w:tcBorders>
            <w:shd w:val="clear" w:color="auto" w:fill="auto"/>
            <w:vAlign w:val="center"/>
            <w:hideMark/>
          </w:tcPr>
          <w:p w14:paraId="1441E4E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367,000</w:t>
            </w:r>
          </w:p>
        </w:tc>
        <w:tc>
          <w:tcPr>
            <w:tcW w:w="554" w:type="dxa"/>
            <w:tcBorders>
              <w:top w:val="nil"/>
              <w:left w:val="nil"/>
              <w:bottom w:val="single" w:sz="4" w:space="0" w:color="auto"/>
              <w:right w:val="single" w:sz="4" w:space="0" w:color="auto"/>
            </w:tcBorders>
            <w:shd w:val="clear" w:color="auto" w:fill="auto"/>
            <w:vAlign w:val="center"/>
            <w:hideMark/>
          </w:tcPr>
          <w:p w14:paraId="3EF7535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3145E60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1963E0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BD7A30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A96651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930,000</w:t>
            </w:r>
          </w:p>
        </w:tc>
        <w:tc>
          <w:tcPr>
            <w:tcW w:w="800" w:type="dxa"/>
            <w:vMerge/>
            <w:tcBorders>
              <w:top w:val="nil"/>
              <w:left w:val="single" w:sz="4" w:space="0" w:color="auto"/>
              <w:bottom w:val="single" w:sz="4" w:space="0" w:color="000000"/>
              <w:right w:val="single" w:sz="4" w:space="0" w:color="auto"/>
            </w:tcBorders>
            <w:vAlign w:val="center"/>
            <w:hideMark/>
          </w:tcPr>
          <w:p w14:paraId="76B0EE81"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7C93CAAB" w14:textId="77777777" w:rsidTr="00BC5BB6">
        <w:trPr>
          <w:trHeight w:val="25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2621108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62800</w:t>
            </w:r>
            <w:r w:rsidRPr="00BC5BB6">
              <w:rPr>
                <w:rFonts w:ascii="Arial" w:eastAsia="Times New Roman" w:hAnsi="Arial" w:cs="Arial"/>
                <w:color w:val="000000"/>
                <w:sz w:val="14"/>
                <w:szCs w:val="14"/>
                <w:lang w:val="cs-CZ" w:eastAsia="cs-CZ"/>
              </w:rPr>
              <w:br/>
              <w:t>CR05</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5D831FAB"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Znevýhodnění účastníci, kteří po ukončení své účasti hledají zaměstnání, jsou v procesu vzdělávání/ odborné přípravy, rozšiřují si kvalifikaci nebo jsou zaměstnaní, a to i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0A62D82A"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Více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0D0B6C1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0A3EAE5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21B2D60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579,000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64C8F07A"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0BBE6BC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135,000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2339D457"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23,316</w:t>
            </w:r>
          </w:p>
        </w:tc>
      </w:tr>
      <w:tr w:rsidR="00BC5BB6" w:rsidRPr="00BC5BB6" w14:paraId="2000C665"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4CD303BF"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56439984"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7A6542B4"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19BCE6DC"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7EF135F3"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06AF95AE"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190DE4F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4516A14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035820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6FC8FAB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2,000</w:t>
            </w:r>
          </w:p>
        </w:tc>
        <w:tc>
          <w:tcPr>
            <w:tcW w:w="555" w:type="dxa"/>
            <w:tcBorders>
              <w:top w:val="nil"/>
              <w:left w:val="nil"/>
              <w:bottom w:val="single" w:sz="4" w:space="0" w:color="auto"/>
              <w:right w:val="single" w:sz="4" w:space="0" w:color="auto"/>
            </w:tcBorders>
            <w:shd w:val="clear" w:color="auto" w:fill="auto"/>
            <w:vAlign w:val="center"/>
            <w:hideMark/>
          </w:tcPr>
          <w:p w14:paraId="0C47FC1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64,000</w:t>
            </w:r>
          </w:p>
        </w:tc>
        <w:tc>
          <w:tcPr>
            <w:tcW w:w="555" w:type="dxa"/>
            <w:tcBorders>
              <w:top w:val="nil"/>
              <w:left w:val="nil"/>
              <w:bottom w:val="single" w:sz="4" w:space="0" w:color="auto"/>
              <w:right w:val="single" w:sz="4" w:space="0" w:color="auto"/>
            </w:tcBorders>
            <w:shd w:val="clear" w:color="auto" w:fill="auto"/>
            <w:vAlign w:val="center"/>
            <w:hideMark/>
          </w:tcPr>
          <w:p w14:paraId="409F4A6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8,000</w:t>
            </w:r>
          </w:p>
        </w:tc>
        <w:tc>
          <w:tcPr>
            <w:tcW w:w="554" w:type="dxa"/>
            <w:tcBorders>
              <w:top w:val="nil"/>
              <w:left w:val="nil"/>
              <w:bottom w:val="single" w:sz="4" w:space="0" w:color="auto"/>
              <w:right w:val="single" w:sz="4" w:space="0" w:color="auto"/>
            </w:tcBorders>
            <w:shd w:val="clear" w:color="auto" w:fill="auto"/>
            <w:vAlign w:val="center"/>
            <w:hideMark/>
          </w:tcPr>
          <w:p w14:paraId="39F582B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AA5978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DB1F99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0FC10BD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BF120B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74,000</w:t>
            </w:r>
          </w:p>
        </w:tc>
        <w:tc>
          <w:tcPr>
            <w:tcW w:w="800" w:type="dxa"/>
            <w:vMerge/>
            <w:tcBorders>
              <w:top w:val="nil"/>
              <w:left w:val="single" w:sz="4" w:space="0" w:color="auto"/>
              <w:bottom w:val="single" w:sz="4" w:space="0" w:color="000000"/>
              <w:right w:val="single" w:sz="4" w:space="0" w:color="auto"/>
            </w:tcBorders>
            <w:vAlign w:val="center"/>
            <w:hideMark/>
          </w:tcPr>
          <w:p w14:paraId="6C80B085"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316CD31B"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58C7CFB4"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04782361"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0FF204CD"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52AEE7AA"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1AFA51A2"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101A6469"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5F8AB83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67CA901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6106A85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774A6E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31331C6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61,000</w:t>
            </w:r>
          </w:p>
        </w:tc>
        <w:tc>
          <w:tcPr>
            <w:tcW w:w="555" w:type="dxa"/>
            <w:tcBorders>
              <w:top w:val="nil"/>
              <w:left w:val="nil"/>
              <w:bottom w:val="single" w:sz="4" w:space="0" w:color="auto"/>
              <w:right w:val="single" w:sz="4" w:space="0" w:color="auto"/>
            </w:tcBorders>
            <w:shd w:val="clear" w:color="auto" w:fill="auto"/>
            <w:vAlign w:val="center"/>
            <w:hideMark/>
          </w:tcPr>
          <w:p w14:paraId="10D6196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09A3B4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37E19E2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57C822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499E48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4EE0675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61,000</w:t>
            </w:r>
          </w:p>
        </w:tc>
        <w:tc>
          <w:tcPr>
            <w:tcW w:w="800" w:type="dxa"/>
            <w:vMerge/>
            <w:tcBorders>
              <w:top w:val="nil"/>
              <w:left w:val="single" w:sz="4" w:space="0" w:color="auto"/>
              <w:bottom w:val="single" w:sz="4" w:space="0" w:color="000000"/>
              <w:right w:val="single" w:sz="4" w:space="0" w:color="auto"/>
            </w:tcBorders>
            <w:vAlign w:val="center"/>
            <w:hideMark/>
          </w:tcPr>
          <w:p w14:paraId="11E8F788"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500D23F2"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36EB7D3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62900</w:t>
            </w:r>
            <w:r w:rsidRPr="00BC5BB6">
              <w:rPr>
                <w:rFonts w:ascii="Arial" w:eastAsia="Times New Roman" w:hAnsi="Arial" w:cs="Arial"/>
                <w:color w:val="000000"/>
                <w:sz w:val="14"/>
                <w:szCs w:val="14"/>
                <w:lang w:val="cs-CZ" w:eastAsia="cs-CZ"/>
              </w:rPr>
              <w:br/>
              <w:t>CR06</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032F689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Účastníci zaměstnaní 6 měsíců po ukončení své účasti, včetně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4CCD53B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Méně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7C12211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60100 Nezaměstnaní účastníci, včetně dlouhodobě nezaměstnaných</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5E8BB53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30B3B44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772,000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79170112"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0290F91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911,000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0EB1A4D4"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118,005</w:t>
            </w:r>
          </w:p>
        </w:tc>
      </w:tr>
      <w:tr w:rsidR="00BC5BB6" w:rsidRPr="00BC5BB6" w14:paraId="18F4FF74"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2328DDF9"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71D851E0"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12C9F5F7"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68EDB44F"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022B21A8"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4BB6CD2C"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3EE9F21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FF95CC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C694B3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2,000</w:t>
            </w:r>
          </w:p>
        </w:tc>
        <w:tc>
          <w:tcPr>
            <w:tcW w:w="554" w:type="dxa"/>
            <w:tcBorders>
              <w:top w:val="nil"/>
              <w:left w:val="nil"/>
              <w:bottom w:val="single" w:sz="4" w:space="0" w:color="auto"/>
              <w:right w:val="single" w:sz="4" w:space="0" w:color="auto"/>
            </w:tcBorders>
            <w:shd w:val="clear" w:color="auto" w:fill="auto"/>
            <w:vAlign w:val="center"/>
            <w:hideMark/>
          </w:tcPr>
          <w:p w14:paraId="3E7809D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20,000</w:t>
            </w:r>
          </w:p>
        </w:tc>
        <w:tc>
          <w:tcPr>
            <w:tcW w:w="555" w:type="dxa"/>
            <w:tcBorders>
              <w:top w:val="nil"/>
              <w:left w:val="nil"/>
              <w:bottom w:val="single" w:sz="4" w:space="0" w:color="auto"/>
              <w:right w:val="single" w:sz="4" w:space="0" w:color="auto"/>
            </w:tcBorders>
            <w:shd w:val="clear" w:color="auto" w:fill="auto"/>
            <w:vAlign w:val="center"/>
            <w:hideMark/>
          </w:tcPr>
          <w:p w14:paraId="1E1DB30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326,000</w:t>
            </w:r>
          </w:p>
        </w:tc>
        <w:tc>
          <w:tcPr>
            <w:tcW w:w="555" w:type="dxa"/>
            <w:tcBorders>
              <w:top w:val="nil"/>
              <w:left w:val="nil"/>
              <w:bottom w:val="single" w:sz="4" w:space="0" w:color="auto"/>
              <w:right w:val="single" w:sz="4" w:space="0" w:color="auto"/>
            </w:tcBorders>
            <w:shd w:val="clear" w:color="auto" w:fill="auto"/>
            <w:vAlign w:val="center"/>
            <w:hideMark/>
          </w:tcPr>
          <w:p w14:paraId="7468EE8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124,000</w:t>
            </w:r>
          </w:p>
        </w:tc>
        <w:tc>
          <w:tcPr>
            <w:tcW w:w="554" w:type="dxa"/>
            <w:tcBorders>
              <w:top w:val="nil"/>
              <w:left w:val="nil"/>
              <w:bottom w:val="single" w:sz="4" w:space="0" w:color="auto"/>
              <w:right w:val="single" w:sz="4" w:space="0" w:color="auto"/>
            </w:tcBorders>
            <w:shd w:val="clear" w:color="auto" w:fill="auto"/>
            <w:vAlign w:val="center"/>
            <w:hideMark/>
          </w:tcPr>
          <w:p w14:paraId="7894721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1EA82B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CA6CCDA"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360D9D9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43636DE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472,000</w:t>
            </w:r>
          </w:p>
        </w:tc>
        <w:tc>
          <w:tcPr>
            <w:tcW w:w="800" w:type="dxa"/>
            <w:vMerge/>
            <w:tcBorders>
              <w:top w:val="nil"/>
              <w:left w:val="single" w:sz="4" w:space="0" w:color="auto"/>
              <w:bottom w:val="single" w:sz="4" w:space="0" w:color="000000"/>
              <w:right w:val="single" w:sz="4" w:space="0" w:color="auto"/>
            </w:tcBorders>
            <w:vAlign w:val="center"/>
            <w:hideMark/>
          </w:tcPr>
          <w:p w14:paraId="587B9AF8"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03A7BA59"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09F8B313"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24FAA0A4"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3DF18B05"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766F17AE"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1EEC5863"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6C079046"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7936C41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450E81F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89C130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1,000</w:t>
            </w:r>
          </w:p>
        </w:tc>
        <w:tc>
          <w:tcPr>
            <w:tcW w:w="554" w:type="dxa"/>
            <w:tcBorders>
              <w:top w:val="nil"/>
              <w:left w:val="nil"/>
              <w:bottom w:val="single" w:sz="4" w:space="0" w:color="auto"/>
              <w:right w:val="single" w:sz="4" w:space="0" w:color="auto"/>
            </w:tcBorders>
            <w:shd w:val="clear" w:color="auto" w:fill="auto"/>
            <w:vAlign w:val="center"/>
            <w:hideMark/>
          </w:tcPr>
          <w:p w14:paraId="7692E5E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23,000</w:t>
            </w:r>
          </w:p>
        </w:tc>
        <w:tc>
          <w:tcPr>
            <w:tcW w:w="555" w:type="dxa"/>
            <w:tcBorders>
              <w:top w:val="nil"/>
              <w:left w:val="nil"/>
              <w:bottom w:val="single" w:sz="4" w:space="0" w:color="auto"/>
              <w:right w:val="single" w:sz="4" w:space="0" w:color="auto"/>
            </w:tcBorders>
            <w:shd w:val="clear" w:color="auto" w:fill="auto"/>
            <w:vAlign w:val="center"/>
            <w:hideMark/>
          </w:tcPr>
          <w:p w14:paraId="7C89EFF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285,000</w:t>
            </w:r>
          </w:p>
        </w:tc>
        <w:tc>
          <w:tcPr>
            <w:tcW w:w="555" w:type="dxa"/>
            <w:tcBorders>
              <w:top w:val="nil"/>
              <w:left w:val="nil"/>
              <w:bottom w:val="single" w:sz="4" w:space="0" w:color="auto"/>
              <w:right w:val="single" w:sz="4" w:space="0" w:color="auto"/>
            </w:tcBorders>
            <w:shd w:val="clear" w:color="auto" w:fill="auto"/>
            <w:vAlign w:val="center"/>
            <w:hideMark/>
          </w:tcPr>
          <w:p w14:paraId="52C86B2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130,000</w:t>
            </w:r>
          </w:p>
        </w:tc>
        <w:tc>
          <w:tcPr>
            <w:tcW w:w="554" w:type="dxa"/>
            <w:tcBorders>
              <w:top w:val="nil"/>
              <w:left w:val="nil"/>
              <w:bottom w:val="single" w:sz="4" w:space="0" w:color="auto"/>
              <w:right w:val="single" w:sz="4" w:space="0" w:color="auto"/>
            </w:tcBorders>
            <w:shd w:val="clear" w:color="auto" w:fill="auto"/>
            <w:vAlign w:val="center"/>
            <w:hideMark/>
          </w:tcPr>
          <w:p w14:paraId="6DC320C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1CCCD20"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8E6413B"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46150F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46C207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439,000</w:t>
            </w:r>
          </w:p>
        </w:tc>
        <w:tc>
          <w:tcPr>
            <w:tcW w:w="800" w:type="dxa"/>
            <w:vMerge/>
            <w:tcBorders>
              <w:top w:val="nil"/>
              <w:left w:val="single" w:sz="4" w:space="0" w:color="auto"/>
              <w:bottom w:val="single" w:sz="4" w:space="0" w:color="000000"/>
              <w:right w:val="single" w:sz="4" w:space="0" w:color="auto"/>
            </w:tcBorders>
            <w:vAlign w:val="center"/>
            <w:hideMark/>
          </w:tcPr>
          <w:p w14:paraId="732593E5"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75EDFF14"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54A4891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62900</w:t>
            </w:r>
            <w:r w:rsidRPr="00BC5BB6">
              <w:rPr>
                <w:rFonts w:ascii="Arial" w:eastAsia="Times New Roman" w:hAnsi="Arial" w:cs="Arial"/>
                <w:color w:val="000000"/>
                <w:sz w:val="14"/>
                <w:szCs w:val="14"/>
                <w:lang w:val="cs-CZ" w:eastAsia="cs-CZ"/>
              </w:rPr>
              <w:br/>
              <w:t>CR06</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472B863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Účastníci zaměstnaní 6 měsíců po ukončení své účasti, včetně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6BC84CB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Více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7E34ABF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60100 Nezaměstnaní účastníci, včetně dlouhodobě nezaměstnaných</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45B5799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5E06A0D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88,000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3F557C80"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4D9601E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139,000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0ED3FF18"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157,955</w:t>
            </w:r>
          </w:p>
        </w:tc>
      </w:tr>
      <w:tr w:rsidR="00BC5BB6" w:rsidRPr="00BC5BB6" w14:paraId="04509F30"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465F876B"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59DAF61A"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4020224E"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2BD0E287"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078F26DE"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19D2D39D"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480CF40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3FA305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01C7EB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0365D3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40A3EBC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47,000</w:t>
            </w:r>
          </w:p>
        </w:tc>
        <w:tc>
          <w:tcPr>
            <w:tcW w:w="555" w:type="dxa"/>
            <w:tcBorders>
              <w:top w:val="nil"/>
              <w:left w:val="nil"/>
              <w:bottom w:val="single" w:sz="4" w:space="0" w:color="auto"/>
              <w:right w:val="single" w:sz="4" w:space="0" w:color="auto"/>
            </w:tcBorders>
            <w:shd w:val="clear" w:color="auto" w:fill="auto"/>
            <w:vAlign w:val="center"/>
            <w:hideMark/>
          </w:tcPr>
          <w:p w14:paraId="6B997D2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37,000</w:t>
            </w:r>
          </w:p>
        </w:tc>
        <w:tc>
          <w:tcPr>
            <w:tcW w:w="554" w:type="dxa"/>
            <w:tcBorders>
              <w:top w:val="nil"/>
              <w:left w:val="nil"/>
              <w:bottom w:val="single" w:sz="4" w:space="0" w:color="auto"/>
              <w:right w:val="single" w:sz="4" w:space="0" w:color="auto"/>
            </w:tcBorders>
            <w:shd w:val="clear" w:color="auto" w:fill="auto"/>
            <w:vAlign w:val="center"/>
            <w:hideMark/>
          </w:tcPr>
          <w:p w14:paraId="7A63F29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75DD95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66742F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28089D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6835F3D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84,000</w:t>
            </w:r>
          </w:p>
        </w:tc>
        <w:tc>
          <w:tcPr>
            <w:tcW w:w="800" w:type="dxa"/>
            <w:vMerge/>
            <w:tcBorders>
              <w:top w:val="nil"/>
              <w:left w:val="single" w:sz="4" w:space="0" w:color="auto"/>
              <w:bottom w:val="single" w:sz="4" w:space="0" w:color="000000"/>
              <w:right w:val="single" w:sz="4" w:space="0" w:color="auto"/>
            </w:tcBorders>
            <w:vAlign w:val="center"/>
            <w:hideMark/>
          </w:tcPr>
          <w:p w14:paraId="78D7A7E3"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1CA5DA70"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23F7A152"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6DF4990F"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5BA0BF38"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40D4C167"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3D0C6223"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1F1DAAC3"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502CD0B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624F8FB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14A134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1D2B84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7BF35C3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32,000</w:t>
            </w:r>
          </w:p>
        </w:tc>
        <w:tc>
          <w:tcPr>
            <w:tcW w:w="555" w:type="dxa"/>
            <w:tcBorders>
              <w:top w:val="nil"/>
              <w:left w:val="nil"/>
              <w:bottom w:val="single" w:sz="4" w:space="0" w:color="auto"/>
              <w:right w:val="single" w:sz="4" w:space="0" w:color="auto"/>
            </w:tcBorders>
            <w:shd w:val="clear" w:color="auto" w:fill="auto"/>
            <w:vAlign w:val="center"/>
            <w:hideMark/>
          </w:tcPr>
          <w:p w14:paraId="4224C80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23,000</w:t>
            </w:r>
          </w:p>
        </w:tc>
        <w:tc>
          <w:tcPr>
            <w:tcW w:w="554" w:type="dxa"/>
            <w:tcBorders>
              <w:top w:val="nil"/>
              <w:left w:val="nil"/>
              <w:bottom w:val="single" w:sz="4" w:space="0" w:color="auto"/>
              <w:right w:val="single" w:sz="4" w:space="0" w:color="auto"/>
            </w:tcBorders>
            <w:shd w:val="clear" w:color="auto" w:fill="auto"/>
            <w:vAlign w:val="center"/>
            <w:hideMark/>
          </w:tcPr>
          <w:p w14:paraId="181B652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E03649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3382C7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D0E78B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5F39FA1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55,000</w:t>
            </w:r>
          </w:p>
        </w:tc>
        <w:tc>
          <w:tcPr>
            <w:tcW w:w="800" w:type="dxa"/>
            <w:vMerge/>
            <w:tcBorders>
              <w:top w:val="nil"/>
              <w:left w:val="single" w:sz="4" w:space="0" w:color="auto"/>
              <w:bottom w:val="single" w:sz="4" w:space="0" w:color="000000"/>
              <w:right w:val="single" w:sz="4" w:space="0" w:color="auto"/>
            </w:tcBorders>
            <w:vAlign w:val="center"/>
            <w:hideMark/>
          </w:tcPr>
          <w:p w14:paraId="4E3D31A1"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2E5773EB"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21B9B23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63000</w:t>
            </w:r>
            <w:r w:rsidRPr="00BC5BB6">
              <w:rPr>
                <w:rFonts w:ascii="Arial" w:eastAsia="Times New Roman" w:hAnsi="Arial" w:cs="Arial"/>
                <w:color w:val="000000"/>
                <w:sz w:val="14"/>
                <w:szCs w:val="14"/>
                <w:lang w:val="cs-CZ" w:eastAsia="cs-CZ"/>
              </w:rPr>
              <w:br/>
              <w:t>CR07</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6BF68BF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Účastníci, jejichž situace na trhu práce se 6 měsíců po ukončení jejich účasti zlepšila</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6C63A3F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Méně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45955D7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60500 Zaměstnaní, včetně OSVČ</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0E2EB2D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3090709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734,000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303C6CC8"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19260E4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153,577</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63FE5032"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20,923</w:t>
            </w:r>
          </w:p>
        </w:tc>
      </w:tr>
      <w:tr w:rsidR="00BC5BB6" w:rsidRPr="00BC5BB6" w14:paraId="4D5588F9"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6C06CB78"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5BB8B746"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585BDBDC"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570E622F"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5DD9880E"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7D4558E6"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68706B4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BCFBEF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BDE94A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4F8981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1FF0702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66,282</w:t>
            </w:r>
          </w:p>
        </w:tc>
        <w:tc>
          <w:tcPr>
            <w:tcW w:w="555" w:type="dxa"/>
            <w:tcBorders>
              <w:top w:val="nil"/>
              <w:left w:val="nil"/>
              <w:bottom w:val="single" w:sz="4" w:space="0" w:color="auto"/>
              <w:right w:val="single" w:sz="4" w:space="0" w:color="auto"/>
            </w:tcBorders>
            <w:shd w:val="clear" w:color="auto" w:fill="auto"/>
            <w:vAlign w:val="center"/>
            <w:hideMark/>
          </w:tcPr>
          <w:p w14:paraId="660B0C9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0EECBD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40E6F1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8C88E7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10F0FA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69D9378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66,282</w:t>
            </w:r>
          </w:p>
        </w:tc>
        <w:tc>
          <w:tcPr>
            <w:tcW w:w="800" w:type="dxa"/>
            <w:vMerge/>
            <w:tcBorders>
              <w:top w:val="nil"/>
              <w:left w:val="single" w:sz="4" w:space="0" w:color="auto"/>
              <w:bottom w:val="single" w:sz="4" w:space="0" w:color="000000"/>
              <w:right w:val="single" w:sz="4" w:space="0" w:color="auto"/>
            </w:tcBorders>
            <w:vAlign w:val="center"/>
            <w:hideMark/>
          </w:tcPr>
          <w:p w14:paraId="4D338A82"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0424CCDF"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657499F0"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45427217"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211FB765"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58CB6BC4"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0EF22263"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7A1DDDD1"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66D3A16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FE487D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D3D557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504C62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733336D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87,295</w:t>
            </w:r>
          </w:p>
        </w:tc>
        <w:tc>
          <w:tcPr>
            <w:tcW w:w="555" w:type="dxa"/>
            <w:tcBorders>
              <w:top w:val="nil"/>
              <w:left w:val="nil"/>
              <w:bottom w:val="single" w:sz="4" w:space="0" w:color="auto"/>
              <w:right w:val="single" w:sz="4" w:space="0" w:color="auto"/>
            </w:tcBorders>
            <w:shd w:val="clear" w:color="auto" w:fill="auto"/>
            <w:vAlign w:val="center"/>
            <w:hideMark/>
          </w:tcPr>
          <w:p w14:paraId="0ECB9A1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3E24E6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0BE773A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94DAA0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37FF9B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1F9C16B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87,295</w:t>
            </w:r>
          </w:p>
        </w:tc>
        <w:tc>
          <w:tcPr>
            <w:tcW w:w="800" w:type="dxa"/>
            <w:vMerge/>
            <w:tcBorders>
              <w:top w:val="nil"/>
              <w:left w:val="single" w:sz="4" w:space="0" w:color="auto"/>
              <w:bottom w:val="single" w:sz="4" w:space="0" w:color="000000"/>
              <w:right w:val="single" w:sz="4" w:space="0" w:color="auto"/>
            </w:tcBorders>
            <w:vAlign w:val="center"/>
            <w:hideMark/>
          </w:tcPr>
          <w:p w14:paraId="4220ECAF"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2687DECC"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12D42B9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63000</w:t>
            </w:r>
            <w:r w:rsidRPr="00BC5BB6">
              <w:rPr>
                <w:rFonts w:ascii="Arial" w:eastAsia="Times New Roman" w:hAnsi="Arial" w:cs="Arial"/>
                <w:color w:val="000000"/>
                <w:sz w:val="14"/>
                <w:szCs w:val="14"/>
                <w:lang w:val="cs-CZ" w:eastAsia="cs-CZ"/>
              </w:rPr>
              <w:br/>
              <w:t>CR07</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709898D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Účastníci, jejichž situace na trhu práce se 6 měsíců po ukončení jejich účasti zlepšila</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292B71C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Více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02B8AFD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60500 Zaměstnaní, včetně OSVČ</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023EAF10"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39CEB82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61,000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4A7AA71F"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5E6A19F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7,423</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2773F4ED"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12,170</w:t>
            </w:r>
          </w:p>
        </w:tc>
      </w:tr>
      <w:tr w:rsidR="00BC5BB6" w:rsidRPr="00BC5BB6" w14:paraId="56A95840"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457B0283"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1B1C4398"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2659D631"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5F7AE393"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08796D13"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355A303E"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5FF9992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5757D2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7502BE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9B0D66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001DB13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4,033</w:t>
            </w:r>
          </w:p>
        </w:tc>
        <w:tc>
          <w:tcPr>
            <w:tcW w:w="555" w:type="dxa"/>
            <w:tcBorders>
              <w:top w:val="nil"/>
              <w:left w:val="nil"/>
              <w:bottom w:val="single" w:sz="4" w:space="0" w:color="auto"/>
              <w:right w:val="single" w:sz="4" w:space="0" w:color="auto"/>
            </w:tcBorders>
            <w:shd w:val="clear" w:color="auto" w:fill="auto"/>
            <w:vAlign w:val="center"/>
            <w:hideMark/>
          </w:tcPr>
          <w:p w14:paraId="0E25551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493F1F3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59D557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FE52D3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2603A50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4DE59B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4,033</w:t>
            </w:r>
          </w:p>
        </w:tc>
        <w:tc>
          <w:tcPr>
            <w:tcW w:w="800" w:type="dxa"/>
            <w:vMerge/>
            <w:tcBorders>
              <w:top w:val="nil"/>
              <w:left w:val="single" w:sz="4" w:space="0" w:color="auto"/>
              <w:bottom w:val="single" w:sz="4" w:space="0" w:color="000000"/>
              <w:right w:val="single" w:sz="4" w:space="0" w:color="auto"/>
            </w:tcBorders>
            <w:vAlign w:val="center"/>
            <w:hideMark/>
          </w:tcPr>
          <w:p w14:paraId="11251528"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508884A1"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39AB7C59"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02CE27CB"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39D958D5"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6231C529"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2A65A850"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18F6C68D"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4E2BDF9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42EACC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DA73C3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63BDCF5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03C9044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3,390</w:t>
            </w:r>
          </w:p>
        </w:tc>
        <w:tc>
          <w:tcPr>
            <w:tcW w:w="555" w:type="dxa"/>
            <w:tcBorders>
              <w:top w:val="nil"/>
              <w:left w:val="nil"/>
              <w:bottom w:val="single" w:sz="4" w:space="0" w:color="auto"/>
              <w:right w:val="single" w:sz="4" w:space="0" w:color="auto"/>
            </w:tcBorders>
            <w:shd w:val="clear" w:color="auto" w:fill="auto"/>
            <w:vAlign w:val="center"/>
            <w:hideMark/>
          </w:tcPr>
          <w:p w14:paraId="51B58A9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C93375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6BF1F6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D24BCF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2571FDAA"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211D238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3,390</w:t>
            </w:r>
          </w:p>
        </w:tc>
        <w:tc>
          <w:tcPr>
            <w:tcW w:w="800" w:type="dxa"/>
            <w:vMerge/>
            <w:tcBorders>
              <w:top w:val="nil"/>
              <w:left w:val="single" w:sz="4" w:space="0" w:color="auto"/>
              <w:bottom w:val="single" w:sz="4" w:space="0" w:color="000000"/>
              <w:right w:val="single" w:sz="4" w:space="0" w:color="auto"/>
            </w:tcBorders>
            <w:vAlign w:val="center"/>
            <w:hideMark/>
          </w:tcPr>
          <w:p w14:paraId="75E79693"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61AD0C6F"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2054FED0"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lastRenderedPageBreak/>
              <w:t>63100</w:t>
            </w:r>
            <w:r w:rsidRPr="00BC5BB6">
              <w:rPr>
                <w:rFonts w:ascii="Arial" w:eastAsia="Times New Roman" w:hAnsi="Arial" w:cs="Arial"/>
                <w:color w:val="000000"/>
                <w:sz w:val="14"/>
                <w:szCs w:val="14"/>
                <w:lang w:val="cs-CZ" w:eastAsia="cs-CZ"/>
              </w:rPr>
              <w:br/>
              <w:t>CR08</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77C041B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Účastníci ve věku nad 54 let zaměstnaní 6 měsíců po ukončení své účasti, včetně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25A6B0C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Méně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06D86FE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60100 Nezaměstnaní účastníci, včetně dlouhodobě nezaměstnaných, 60700 účastníci ve věku nad 54 let, 60400 Neaktivní osoby, které nejsou v procesu vzdělávání nebo odborné přípravy</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384AA25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2242321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124,000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608800A1"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5C8D18B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92,000</w:t>
            </w: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14:paraId="2BFB45AF"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74,194</w:t>
            </w:r>
          </w:p>
        </w:tc>
      </w:tr>
      <w:tr w:rsidR="00BC5BB6" w:rsidRPr="00BC5BB6" w14:paraId="223FAA13" w14:textId="77777777" w:rsidTr="00BC5BB6">
        <w:trPr>
          <w:trHeight w:val="299"/>
        </w:trPr>
        <w:tc>
          <w:tcPr>
            <w:tcW w:w="505" w:type="dxa"/>
            <w:vMerge/>
            <w:tcBorders>
              <w:top w:val="nil"/>
              <w:left w:val="single" w:sz="4" w:space="0" w:color="auto"/>
              <w:bottom w:val="single" w:sz="4" w:space="0" w:color="auto"/>
              <w:right w:val="single" w:sz="4" w:space="0" w:color="auto"/>
            </w:tcBorders>
            <w:vAlign w:val="center"/>
            <w:hideMark/>
          </w:tcPr>
          <w:p w14:paraId="46C2F190"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3FBA0917"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5EFB80C9"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71887928"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1B9CE114"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6C738551"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26CE787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9EFAFB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B34D47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4C718D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4,000</w:t>
            </w:r>
          </w:p>
        </w:tc>
        <w:tc>
          <w:tcPr>
            <w:tcW w:w="555" w:type="dxa"/>
            <w:tcBorders>
              <w:top w:val="nil"/>
              <w:left w:val="nil"/>
              <w:bottom w:val="single" w:sz="4" w:space="0" w:color="auto"/>
              <w:right w:val="single" w:sz="4" w:space="0" w:color="auto"/>
            </w:tcBorders>
            <w:shd w:val="clear" w:color="auto" w:fill="auto"/>
            <w:vAlign w:val="center"/>
            <w:hideMark/>
          </w:tcPr>
          <w:p w14:paraId="3511D55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32,000</w:t>
            </w:r>
          </w:p>
        </w:tc>
        <w:tc>
          <w:tcPr>
            <w:tcW w:w="555" w:type="dxa"/>
            <w:tcBorders>
              <w:top w:val="nil"/>
              <w:left w:val="nil"/>
              <w:bottom w:val="single" w:sz="4" w:space="0" w:color="auto"/>
              <w:right w:val="single" w:sz="4" w:space="0" w:color="auto"/>
            </w:tcBorders>
            <w:shd w:val="clear" w:color="auto" w:fill="auto"/>
            <w:vAlign w:val="center"/>
            <w:hideMark/>
          </w:tcPr>
          <w:p w14:paraId="08332D0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11,000</w:t>
            </w:r>
          </w:p>
        </w:tc>
        <w:tc>
          <w:tcPr>
            <w:tcW w:w="554" w:type="dxa"/>
            <w:tcBorders>
              <w:top w:val="nil"/>
              <w:left w:val="nil"/>
              <w:bottom w:val="single" w:sz="4" w:space="0" w:color="auto"/>
              <w:right w:val="single" w:sz="4" w:space="0" w:color="auto"/>
            </w:tcBorders>
            <w:shd w:val="clear" w:color="auto" w:fill="auto"/>
            <w:vAlign w:val="center"/>
            <w:hideMark/>
          </w:tcPr>
          <w:p w14:paraId="2E5309A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2A66100"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03E4173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05B672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2D90482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47,000</w:t>
            </w:r>
          </w:p>
        </w:tc>
        <w:tc>
          <w:tcPr>
            <w:tcW w:w="800" w:type="dxa"/>
            <w:vMerge/>
            <w:tcBorders>
              <w:top w:val="nil"/>
              <w:left w:val="single" w:sz="4" w:space="0" w:color="auto"/>
              <w:bottom w:val="single" w:sz="4" w:space="0" w:color="auto"/>
              <w:right w:val="single" w:sz="4" w:space="0" w:color="auto"/>
            </w:tcBorders>
            <w:vAlign w:val="center"/>
            <w:hideMark/>
          </w:tcPr>
          <w:p w14:paraId="132C36D1"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470C015A" w14:textId="77777777" w:rsidTr="00BC5BB6">
        <w:trPr>
          <w:trHeight w:val="314"/>
        </w:trPr>
        <w:tc>
          <w:tcPr>
            <w:tcW w:w="505" w:type="dxa"/>
            <w:vMerge/>
            <w:tcBorders>
              <w:top w:val="nil"/>
              <w:left w:val="single" w:sz="4" w:space="0" w:color="auto"/>
              <w:bottom w:val="single" w:sz="4" w:space="0" w:color="auto"/>
              <w:right w:val="single" w:sz="4" w:space="0" w:color="auto"/>
            </w:tcBorders>
            <w:vAlign w:val="center"/>
            <w:hideMark/>
          </w:tcPr>
          <w:p w14:paraId="7F6C4C94"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78C2B403"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6080C6CE"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4757C672"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0D64D5B0"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70668558"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28167AF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177B16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67DD1F7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1,000</w:t>
            </w:r>
          </w:p>
        </w:tc>
        <w:tc>
          <w:tcPr>
            <w:tcW w:w="554" w:type="dxa"/>
            <w:tcBorders>
              <w:top w:val="nil"/>
              <w:left w:val="nil"/>
              <w:bottom w:val="single" w:sz="4" w:space="0" w:color="auto"/>
              <w:right w:val="single" w:sz="4" w:space="0" w:color="auto"/>
            </w:tcBorders>
            <w:shd w:val="clear" w:color="auto" w:fill="auto"/>
            <w:vAlign w:val="center"/>
            <w:hideMark/>
          </w:tcPr>
          <w:p w14:paraId="290E20A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1,000</w:t>
            </w:r>
          </w:p>
        </w:tc>
        <w:tc>
          <w:tcPr>
            <w:tcW w:w="555" w:type="dxa"/>
            <w:tcBorders>
              <w:top w:val="nil"/>
              <w:left w:val="nil"/>
              <w:bottom w:val="single" w:sz="4" w:space="0" w:color="auto"/>
              <w:right w:val="single" w:sz="4" w:space="0" w:color="auto"/>
            </w:tcBorders>
            <w:shd w:val="clear" w:color="auto" w:fill="auto"/>
            <w:vAlign w:val="center"/>
            <w:hideMark/>
          </w:tcPr>
          <w:p w14:paraId="1E06AF7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26,000</w:t>
            </w:r>
          </w:p>
        </w:tc>
        <w:tc>
          <w:tcPr>
            <w:tcW w:w="555" w:type="dxa"/>
            <w:tcBorders>
              <w:top w:val="nil"/>
              <w:left w:val="nil"/>
              <w:bottom w:val="single" w:sz="4" w:space="0" w:color="auto"/>
              <w:right w:val="single" w:sz="4" w:space="0" w:color="auto"/>
            </w:tcBorders>
            <w:shd w:val="clear" w:color="auto" w:fill="auto"/>
            <w:vAlign w:val="center"/>
            <w:hideMark/>
          </w:tcPr>
          <w:p w14:paraId="0185F5B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17,000</w:t>
            </w:r>
          </w:p>
        </w:tc>
        <w:tc>
          <w:tcPr>
            <w:tcW w:w="554" w:type="dxa"/>
            <w:tcBorders>
              <w:top w:val="nil"/>
              <w:left w:val="nil"/>
              <w:bottom w:val="single" w:sz="4" w:space="0" w:color="auto"/>
              <w:right w:val="single" w:sz="4" w:space="0" w:color="auto"/>
            </w:tcBorders>
            <w:shd w:val="clear" w:color="auto" w:fill="auto"/>
            <w:vAlign w:val="center"/>
            <w:hideMark/>
          </w:tcPr>
          <w:p w14:paraId="0B3061F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A2C386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D7D62D5"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7E45749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4995F42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45,000</w:t>
            </w:r>
          </w:p>
        </w:tc>
        <w:tc>
          <w:tcPr>
            <w:tcW w:w="800" w:type="dxa"/>
            <w:vMerge/>
            <w:tcBorders>
              <w:top w:val="nil"/>
              <w:left w:val="single" w:sz="4" w:space="0" w:color="auto"/>
              <w:bottom w:val="single" w:sz="4" w:space="0" w:color="auto"/>
              <w:right w:val="single" w:sz="4" w:space="0" w:color="auto"/>
            </w:tcBorders>
            <w:vAlign w:val="center"/>
            <w:hideMark/>
          </w:tcPr>
          <w:p w14:paraId="18C48AC2"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7C627447"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329CC17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63100</w:t>
            </w:r>
            <w:r w:rsidRPr="00BC5BB6">
              <w:rPr>
                <w:rFonts w:ascii="Arial" w:eastAsia="Times New Roman" w:hAnsi="Arial" w:cs="Arial"/>
                <w:color w:val="000000"/>
                <w:sz w:val="14"/>
                <w:szCs w:val="14"/>
                <w:lang w:val="cs-CZ" w:eastAsia="cs-CZ"/>
              </w:rPr>
              <w:br/>
              <w:t>CR08</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42B7086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Účastníci ve věku nad 54 let zaměstnaní 6 měsíců po ukončení své účasti, včetně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02C9981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Více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0ADD0AF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60100 Nezaměstnaní účastníci, včetně dlouhodobě nezaměstnaných, 60700 účastníci ve věku nad 54 let, 60400 Neaktivní osoby, které nejsou v procesu vzdělávání nebo odborné přípravy</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5CFB7B2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36B17A6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14,000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51B299A3"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4BBCED9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29,000</w:t>
            </w: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14:paraId="29F3787F"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207,143</w:t>
            </w:r>
          </w:p>
        </w:tc>
      </w:tr>
      <w:tr w:rsidR="00BC5BB6" w:rsidRPr="00BC5BB6" w14:paraId="4FC24702"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6813C752"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59D2749F"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79D0DDD0"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5CDA5D89"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40433D0B"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6E899487"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2F13EE7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AB0029B"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D60B0B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4167AC4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4149E7A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16,000</w:t>
            </w:r>
          </w:p>
        </w:tc>
        <w:tc>
          <w:tcPr>
            <w:tcW w:w="555" w:type="dxa"/>
            <w:tcBorders>
              <w:top w:val="nil"/>
              <w:left w:val="nil"/>
              <w:bottom w:val="single" w:sz="4" w:space="0" w:color="auto"/>
              <w:right w:val="single" w:sz="4" w:space="0" w:color="auto"/>
            </w:tcBorders>
            <w:shd w:val="clear" w:color="auto" w:fill="auto"/>
            <w:vAlign w:val="center"/>
            <w:hideMark/>
          </w:tcPr>
          <w:p w14:paraId="4B49D2A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9,000</w:t>
            </w:r>
          </w:p>
        </w:tc>
        <w:tc>
          <w:tcPr>
            <w:tcW w:w="554" w:type="dxa"/>
            <w:tcBorders>
              <w:top w:val="nil"/>
              <w:left w:val="nil"/>
              <w:bottom w:val="single" w:sz="4" w:space="0" w:color="auto"/>
              <w:right w:val="single" w:sz="4" w:space="0" w:color="auto"/>
            </w:tcBorders>
            <w:shd w:val="clear" w:color="auto" w:fill="auto"/>
            <w:vAlign w:val="center"/>
            <w:hideMark/>
          </w:tcPr>
          <w:p w14:paraId="6A2345B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635FFF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40A90D4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306E59B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1475B3C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25,000</w:t>
            </w:r>
          </w:p>
        </w:tc>
        <w:tc>
          <w:tcPr>
            <w:tcW w:w="800" w:type="dxa"/>
            <w:vMerge/>
            <w:tcBorders>
              <w:top w:val="nil"/>
              <w:left w:val="single" w:sz="4" w:space="0" w:color="auto"/>
              <w:bottom w:val="single" w:sz="4" w:space="0" w:color="auto"/>
              <w:right w:val="single" w:sz="4" w:space="0" w:color="auto"/>
            </w:tcBorders>
            <w:vAlign w:val="center"/>
            <w:hideMark/>
          </w:tcPr>
          <w:p w14:paraId="027EA666"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018094C5"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6B2AFB28"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6AF21FCB"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65BAAF19"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45DC31C4"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2B6E0452"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36A888A5"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7A8EE70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741BD2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1002514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43F47E3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159AB5A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2,000</w:t>
            </w:r>
          </w:p>
        </w:tc>
        <w:tc>
          <w:tcPr>
            <w:tcW w:w="555" w:type="dxa"/>
            <w:tcBorders>
              <w:top w:val="nil"/>
              <w:left w:val="nil"/>
              <w:bottom w:val="single" w:sz="4" w:space="0" w:color="auto"/>
              <w:right w:val="single" w:sz="4" w:space="0" w:color="auto"/>
            </w:tcBorders>
            <w:shd w:val="clear" w:color="auto" w:fill="auto"/>
            <w:vAlign w:val="center"/>
            <w:hideMark/>
          </w:tcPr>
          <w:p w14:paraId="6B37D847"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2,000</w:t>
            </w:r>
          </w:p>
        </w:tc>
        <w:tc>
          <w:tcPr>
            <w:tcW w:w="554" w:type="dxa"/>
            <w:tcBorders>
              <w:top w:val="nil"/>
              <w:left w:val="nil"/>
              <w:bottom w:val="single" w:sz="4" w:space="0" w:color="auto"/>
              <w:right w:val="single" w:sz="4" w:space="0" w:color="auto"/>
            </w:tcBorders>
            <w:shd w:val="clear" w:color="auto" w:fill="auto"/>
            <w:vAlign w:val="center"/>
            <w:hideMark/>
          </w:tcPr>
          <w:p w14:paraId="58710B5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03CDB41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0582D73C"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0787DC7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02214F2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4,000</w:t>
            </w:r>
          </w:p>
        </w:tc>
        <w:tc>
          <w:tcPr>
            <w:tcW w:w="800" w:type="dxa"/>
            <w:vMerge/>
            <w:tcBorders>
              <w:top w:val="nil"/>
              <w:left w:val="single" w:sz="4" w:space="0" w:color="auto"/>
              <w:bottom w:val="single" w:sz="4" w:space="0" w:color="auto"/>
              <w:right w:val="single" w:sz="4" w:space="0" w:color="auto"/>
            </w:tcBorders>
            <w:vAlign w:val="center"/>
            <w:hideMark/>
          </w:tcPr>
          <w:p w14:paraId="52E6F638"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17A51AB2"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3CD80C8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63200</w:t>
            </w:r>
            <w:r w:rsidRPr="00BC5BB6">
              <w:rPr>
                <w:rFonts w:ascii="Arial" w:eastAsia="Times New Roman" w:hAnsi="Arial" w:cs="Arial"/>
                <w:color w:val="000000"/>
                <w:sz w:val="14"/>
                <w:szCs w:val="14"/>
                <w:lang w:val="cs-CZ" w:eastAsia="cs-CZ"/>
              </w:rPr>
              <w:br/>
              <w:t>CR09</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476665E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Znevýhodnění účastníci zaměstnaní 6 měsíců po ukončení své účasti včetně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3E600458"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Méně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04936B01"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267CC055"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1AEB54D9"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747,000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5122C5BF"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3E09241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691,000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7FB9D81F"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92,503</w:t>
            </w:r>
          </w:p>
        </w:tc>
      </w:tr>
      <w:tr w:rsidR="00BC5BB6" w:rsidRPr="00BC5BB6" w14:paraId="67C9054D"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33FDD4D7"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2BDAFC19"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0B060335"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00B5BD9B"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5737A35F"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0C8358F8"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25F8DEC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5787A3C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9A3E71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2,000</w:t>
            </w:r>
          </w:p>
        </w:tc>
        <w:tc>
          <w:tcPr>
            <w:tcW w:w="554" w:type="dxa"/>
            <w:tcBorders>
              <w:top w:val="nil"/>
              <w:left w:val="nil"/>
              <w:bottom w:val="single" w:sz="4" w:space="0" w:color="auto"/>
              <w:right w:val="single" w:sz="4" w:space="0" w:color="auto"/>
            </w:tcBorders>
            <w:shd w:val="clear" w:color="auto" w:fill="auto"/>
            <w:vAlign w:val="center"/>
            <w:hideMark/>
          </w:tcPr>
          <w:p w14:paraId="6FE4006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20,000</w:t>
            </w:r>
          </w:p>
        </w:tc>
        <w:tc>
          <w:tcPr>
            <w:tcW w:w="555" w:type="dxa"/>
            <w:tcBorders>
              <w:top w:val="nil"/>
              <w:left w:val="nil"/>
              <w:bottom w:val="single" w:sz="4" w:space="0" w:color="auto"/>
              <w:right w:val="single" w:sz="4" w:space="0" w:color="auto"/>
            </w:tcBorders>
            <w:shd w:val="clear" w:color="auto" w:fill="auto"/>
            <w:vAlign w:val="center"/>
            <w:hideMark/>
          </w:tcPr>
          <w:p w14:paraId="18EFE348"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275,000</w:t>
            </w:r>
          </w:p>
        </w:tc>
        <w:tc>
          <w:tcPr>
            <w:tcW w:w="555" w:type="dxa"/>
            <w:tcBorders>
              <w:top w:val="nil"/>
              <w:left w:val="nil"/>
              <w:bottom w:val="single" w:sz="4" w:space="0" w:color="auto"/>
              <w:right w:val="single" w:sz="4" w:space="0" w:color="auto"/>
            </w:tcBorders>
            <w:shd w:val="clear" w:color="auto" w:fill="auto"/>
            <w:vAlign w:val="center"/>
            <w:hideMark/>
          </w:tcPr>
          <w:p w14:paraId="45EF0AD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93,000</w:t>
            </w:r>
          </w:p>
        </w:tc>
        <w:tc>
          <w:tcPr>
            <w:tcW w:w="554" w:type="dxa"/>
            <w:tcBorders>
              <w:top w:val="nil"/>
              <w:left w:val="nil"/>
              <w:bottom w:val="single" w:sz="4" w:space="0" w:color="auto"/>
              <w:right w:val="single" w:sz="4" w:space="0" w:color="auto"/>
            </w:tcBorders>
            <w:shd w:val="clear" w:color="auto" w:fill="auto"/>
            <w:vAlign w:val="center"/>
            <w:hideMark/>
          </w:tcPr>
          <w:p w14:paraId="7E7E963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956A9B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CB94EDB"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1C131A0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23DB2D2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390,000</w:t>
            </w:r>
          </w:p>
        </w:tc>
        <w:tc>
          <w:tcPr>
            <w:tcW w:w="800" w:type="dxa"/>
            <w:vMerge/>
            <w:tcBorders>
              <w:top w:val="nil"/>
              <w:left w:val="single" w:sz="4" w:space="0" w:color="auto"/>
              <w:bottom w:val="single" w:sz="4" w:space="0" w:color="000000"/>
              <w:right w:val="single" w:sz="4" w:space="0" w:color="auto"/>
            </w:tcBorders>
            <w:vAlign w:val="center"/>
            <w:hideMark/>
          </w:tcPr>
          <w:p w14:paraId="2A6109FD"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5D1ABB84"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25DD455F"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34BB24A8"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0A79FE07"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0513007A"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4506090F"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13965BE5"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0A5012B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CE9FA7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73ADC8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1,000</w:t>
            </w:r>
          </w:p>
        </w:tc>
        <w:tc>
          <w:tcPr>
            <w:tcW w:w="554" w:type="dxa"/>
            <w:tcBorders>
              <w:top w:val="nil"/>
              <w:left w:val="nil"/>
              <w:bottom w:val="single" w:sz="4" w:space="0" w:color="auto"/>
              <w:right w:val="single" w:sz="4" w:space="0" w:color="auto"/>
            </w:tcBorders>
            <w:shd w:val="clear" w:color="auto" w:fill="auto"/>
            <w:vAlign w:val="center"/>
            <w:hideMark/>
          </w:tcPr>
          <w:p w14:paraId="282C234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19,000</w:t>
            </w:r>
          </w:p>
        </w:tc>
        <w:tc>
          <w:tcPr>
            <w:tcW w:w="555" w:type="dxa"/>
            <w:tcBorders>
              <w:top w:val="nil"/>
              <w:left w:val="nil"/>
              <w:bottom w:val="single" w:sz="4" w:space="0" w:color="auto"/>
              <w:right w:val="single" w:sz="4" w:space="0" w:color="auto"/>
            </w:tcBorders>
            <w:shd w:val="clear" w:color="auto" w:fill="auto"/>
            <w:vAlign w:val="center"/>
            <w:hideMark/>
          </w:tcPr>
          <w:p w14:paraId="40533A9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206,000</w:t>
            </w:r>
          </w:p>
        </w:tc>
        <w:tc>
          <w:tcPr>
            <w:tcW w:w="555" w:type="dxa"/>
            <w:tcBorders>
              <w:top w:val="nil"/>
              <w:left w:val="nil"/>
              <w:bottom w:val="single" w:sz="4" w:space="0" w:color="auto"/>
              <w:right w:val="single" w:sz="4" w:space="0" w:color="auto"/>
            </w:tcBorders>
            <w:shd w:val="clear" w:color="auto" w:fill="auto"/>
            <w:vAlign w:val="center"/>
            <w:hideMark/>
          </w:tcPr>
          <w:p w14:paraId="53FB386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75,000</w:t>
            </w:r>
          </w:p>
        </w:tc>
        <w:tc>
          <w:tcPr>
            <w:tcW w:w="554" w:type="dxa"/>
            <w:tcBorders>
              <w:top w:val="nil"/>
              <w:left w:val="nil"/>
              <w:bottom w:val="single" w:sz="4" w:space="0" w:color="auto"/>
              <w:right w:val="single" w:sz="4" w:space="0" w:color="auto"/>
            </w:tcBorders>
            <w:shd w:val="clear" w:color="auto" w:fill="auto"/>
            <w:vAlign w:val="center"/>
            <w:hideMark/>
          </w:tcPr>
          <w:p w14:paraId="67AF8BD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49417A2"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05B96F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64BB57E5"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0227E80D"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301,000</w:t>
            </w:r>
          </w:p>
        </w:tc>
        <w:tc>
          <w:tcPr>
            <w:tcW w:w="800" w:type="dxa"/>
            <w:vMerge/>
            <w:tcBorders>
              <w:top w:val="nil"/>
              <w:left w:val="single" w:sz="4" w:space="0" w:color="auto"/>
              <w:bottom w:val="single" w:sz="4" w:space="0" w:color="000000"/>
              <w:right w:val="single" w:sz="4" w:space="0" w:color="auto"/>
            </w:tcBorders>
            <w:vAlign w:val="center"/>
            <w:hideMark/>
          </w:tcPr>
          <w:p w14:paraId="4FFDF7DD"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46AB499A" w14:textId="77777777" w:rsidTr="00BC5BB6">
        <w:trPr>
          <w:trHeight w:val="241"/>
        </w:trPr>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6598ACD0"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63200</w:t>
            </w:r>
            <w:r w:rsidRPr="00BC5BB6">
              <w:rPr>
                <w:rFonts w:ascii="Arial" w:eastAsia="Times New Roman" w:hAnsi="Arial" w:cs="Arial"/>
                <w:color w:val="000000"/>
                <w:sz w:val="14"/>
                <w:szCs w:val="14"/>
                <w:lang w:val="cs-CZ" w:eastAsia="cs-CZ"/>
              </w:rPr>
              <w:br/>
              <w:t>CR09</w:t>
            </w:r>
          </w:p>
        </w:tc>
        <w:tc>
          <w:tcPr>
            <w:tcW w:w="2891" w:type="dxa"/>
            <w:vMerge w:val="restart"/>
            <w:tcBorders>
              <w:top w:val="nil"/>
              <w:left w:val="single" w:sz="4" w:space="0" w:color="auto"/>
              <w:bottom w:val="single" w:sz="4" w:space="0" w:color="auto"/>
              <w:right w:val="single" w:sz="4" w:space="0" w:color="auto"/>
            </w:tcBorders>
            <w:shd w:val="clear" w:color="auto" w:fill="auto"/>
            <w:vAlign w:val="center"/>
            <w:hideMark/>
          </w:tcPr>
          <w:p w14:paraId="2D2A9D0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Znevýhodnění účastníci zaměstnaní 6 měsíců po ukončení své účasti včetně OSVČ</w:t>
            </w:r>
          </w:p>
        </w:tc>
        <w:tc>
          <w:tcPr>
            <w:tcW w:w="1042" w:type="dxa"/>
            <w:vMerge w:val="restart"/>
            <w:tcBorders>
              <w:top w:val="nil"/>
              <w:left w:val="single" w:sz="4" w:space="0" w:color="auto"/>
              <w:bottom w:val="single" w:sz="4" w:space="0" w:color="auto"/>
              <w:right w:val="single" w:sz="4" w:space="0" w:color="auto"/>
            </w:tcBorders>
            <w:shd w:val="clear" w:color="auto" w:fill="auto"/>
            <w:vAlign w:val="center"/>
            <w:hideMark/>
          </w:tcPr>
          <w:p w14:paraId="56D7CE5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Více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3014D367"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766" w:type="dxa"/>
            <w:vMerge w:val="restart"/>
            <w:tcBorders>
              <w:top w:val="nil"/>
              <w:left w:val="single" w:sz="4" w:space="0" w:color="auto"/>
              <w:bottom w:val="single" w:sz="4" w:space="0" w:color="auto"/>
              <w:right w:val="single" w:sz="4" w:space="0" w:color="auto"/>
            </w:tcBorders>
            <w:shd w:val="clear" w:color="auto" w:fill="auto"/>
            <w:vAlign w:val="center"/>
            <w:hideMark/>
          </w:tcPr>
          <w:p w14:paraId="29FED56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Osoby</w:t>
            </w:r>
          </w:p>
        </w:tc>
        <w:tc>
          <w:tcPr>
            <w:tcW w:w="768" w:type="dxa"/>
            <w:vMerge w:val="restart"/>
            <w:tcBorders>
              <w:top w:val="nil"/>
              <w:left w:val="single" w:sz="4" w:space="0" w:color="auto"/>
              <w:bottom w:val="single" w:sz="4" w:space="0" w:color="auto"/>
              <w:right w:val="single" w:sz="4" w:space="0" w:color="auto"/>
            </w:tcBorders>
            <w:shd w:val="clear" w:color="auto" w:fill="auto"/>
            <w:vAlign w:val="center"/>
            <w:hideMark/>
          </w:tcPr>
          <w:p w14:paraId="304ED3F3"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85,000</w:t>
            </w:r>
          </w:p>
        </w:tc>
        <w:tc>
          <w:tcPr>
            <w:tcW w:w="5544" w:type="dxa"/>
            <w:gridSpan w:val="10"/>
            <w:tcBorders>
              <w:top w:val="single" w:sz="4" w:space="0" w:color="auto"/>
              <w:left w:val="nil"/>
              <w:bottom w:val="single" w:sz="4" w:space="0" w:color="auto"/>
              <w:right w:val="single" w:sz="4" w:space="0" w:color="000000"/>
            </w:tcBorders>
            <w:shd w:val="clear" w:color="auto" w:fill="auto"/>
            <w:vAlign w:val="center"/>
            <w:hideMark/>
          </w:tcPr>
          <w:p w14:paraId="5B25D5D6"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5589544C"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135,000</w:t>
            </w:r>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14:paraId="1073D47C" w14:textId="77777777" w:rsidR="00BC5BB6" w:rsidRPr="00BC5BB6" w:rsidRDefault="00BC5BB6" w:rsidP="00BC5BB6">
            <w:pPr>
              <w:jc w:val="cente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158,824</w:t>
            </w:r>
          </w:p>
        </w:tc>
      </w:tr>
      <w:tr w:rsidR="00BC5BB6" w:rsidRPr="00BC5BB6" w14:paraId="10C00373"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34336765"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33126E5A"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6520324F"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1F36E2B5"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17A403B6"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0A2F1B50"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4C37766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06C5F296"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72F81B90"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3346508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2B8D517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46,000</w:t>
            </w:r>
          </w:p>
        </w:tc>
        <w:tc>
          <w:tcPr>
            <w:tcW w:w="555" w:type="dxa"/>
            <w:tcBorders>
              <w:top w:val="nil"/>
              <w:left w:val="nil"/>
              <w:bottom w:val="single" w:sz="4" w:space="0" w:color="auto"/>
              <w:right w:val="single" w:sz="4" w:space="0" w:color="auto"/>
            </w:tcBorders>
            <w:shd w:val="clear" w:color="auto" w:fill="auto"/>
            <w:vAlign w:val="center"/>
            <w:hideMark/>
          </w:tcPr>
          <w:p w14:paraId="677C3CE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36,000</w:t>
            </w:r>
          </w:p>
        </w:tc>
        <w:tc>
          <w:tcPr>
            <w:tcW w:w="554" w:type="dxa"/>
            <w:tcBorders>
              <w:top w:val="nil"/>
              <w:left w:val="nil"/>
              <w:bottom w:val="single" w:sz="4" w:space="0" w:color="auto"/>
              <w:right w:val="single" w:sz="4" w:space="0" w:color="auto"/>
            </w:tcBorders>
            <w:shd w:val="clear" w:color="auto" w:fill="auto"/>
            <w:vAlign w:val="center"/>
            <w:hideMark/>
          </w:tcPr>
          <w:p w14:paraId="2439DDA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AF97183"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2E84959E"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2F6C9EDF"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517ADFF"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82,000</w:t>
            </w:r>
          </w:p>
        </w:tc>
        <w:tc>
          <w:tcPr>
            <w:tcW w:w="800" w:type="dxa"/>
            <w:vMerge/>
            <w:tcBorders>
              <w:top w:val="nil"/>
              <w:left w:val="single" w:sz="4" w:space="0" w:color="auto"/>
              <w:bottom w:val="single" w:sz="4" w:space="0" w:color="000000"/>
              <w:right w:val="single" w:sz="4" w:space="0" w:color="auto"/>
            </w:tcBorders>
            <w:vAlign w:val="center"/>
            <w:hideMark/>
          </w:tcPr>
          <w:p w14:paraId="287AF970" w14:textId="77777777" w:rsidR="00BC5BB6" w:rsidRPr="00BC5BB6" w:rsidRDefault="00BC5BB6" w:rsidP="00BC5BB6">
            <w:pPr>
              <w:rPr>
                <w:rFonts w:ascii="Arial" w:eastAsia="Times New Roman" w:hAnsi="Arial" w:cs="Arial"/>
                <w:color w:val="000000"/>
                <w:sz w:val="14"/>
                <w:szCs w:val="14"/>
                <w:lang w:val="cs-CZ" w:eastAsia="cs-CZ"/>
              </w:rPr>
            </w:pPr>
          </w:p>
        </w:tc>
      </w:tr>
      <w:tr w:rsidR="00BC5BB6" w:rsidRPr="00BC5BB6" w14:paraId="684CA1F4" w14:textId="77777777" w:rsidTr="00BC5BB6">
        <w:trPr>
          <w:trHeight w:val="241"/>
        </w:trPr>
        <w:tc>
          <w:tcPr>
            <w:tcW w:w="505" w:type="dxa"/>
            <w:vMerge/>
            <w:tcBorders>
              <w:top w:val="nil"/>
              <w:left w:val="single" w:sz="4" w:space="0" w:color="auto"/>
              <w:bottom w:val="single" w:sz="4" w:space="0" w:color="auto"/>
              <w:right w:val="single" w:sz="4" w:space="0" w:color="auto"/>
            </w:tcBorders>
            <w:vAlign w:val="center"/>
            <w:hideMark/>
          </w:tcPr>
          <w:p w14:paraId="31510A60" w14:textId="77777777" w:rsidR="00BC5BB6" w:rsidRPr="00BC5BB6" w:rsidRDefault="00BC5BB6" w:rsidP="00BC5BB6">
            <w:pPr>
              <w:rPr>
                <w:rFonts w:ascii="Arial" w:eastAsia="Times New Roman" w:hAnsi="Arial" w:cs="Arial"/>
                <w:color w:val="000000"/>
                <w:sz w:val="14"/>
                <w:szCs w:val="14"/>
                <w:lang w:val="cs-CZ" w:eastAsia="cs-CZ"/>
              </w:rPr>
            </w:pPr>
          </w:p>
        </w:tc>
        <w:tc>
          <w:tcPr>
            <w:tcW w:w="2891" w:type="dxa"/>
            <w:vMerge/>
            <w:tcBorders>
              <w:top w:val="nil"/>
              <w:left w:val="single" w:sz="4" w:space="0" w:color="auto"/>
              <w:bottom w:val="single" w:sz="4" w:space="0" w:color="auto"/>
              <w:right w:val="single" w:sz="4" w:space="0" w:color="auto"/>
            </w:tcBorders>
            <w:vAlign w:val="center"/>
            <w:hideMark/>
          </w:tcPr>
          <w:p w14:paraId="0D07D62D" w14:textId="77777777" w:rsidR="00BC5BB6" w:rsidRPr="00BC5BB6" w:rsidRDefault="00BC5BB6" w:rsidP="00BC5BB6">
            <w:pPr>
              <w:rPr>
                <w:rFonts w:ascii="Arial" w:eastAsia="Times New Roman" w:hAnsi="Arial" w:cs="Arial"/>
                <w:color w:val="000000"/>
                <w:sz w:val="14"/>
                <w:szCs w:val="14"/>
                <w:lang w:val="cs-CZ" w:eastAsia="cs-CZ"/>
              </w:rPr>
            </w:pPr>
          </w:p>
        </w:tc>
        <w:tc>
          <w:tcPr>
            <w:tcW w:w="1042" w:type="dxa"/>
            <w:vMerge/>
            <w:tcBorders>
              <w:top w:val="nil"/>
              <w:left w:val="single" w:sz="4" w:space="0" w:color="auto"/>
              <w:bottom w:val="single" w:sz="4" w:space="0" w:color="auto"/>
              <w:right w:val="single" w:sz="4" w:space="0" w:color="auto"/>
            </w:tcBorders>
            <w:vAlign w:val="center"/>
            <w:hideMark/>
          </w:tcPr>
          <w:p w14:paraId="00B032E6" w14:textId="77777777" w:rsidR="00BC5BB6" w:rsidRPr="00BC5BB6" w:rsidRDefault="00BC5BB6" w:rsidP="00BC5BB6">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029D5E07" w14:textId="77777777" w:rsidR="00BC5BB6" w:rsidRPr="00BC5BB6" w:rsidRDefault="00BC5BB6" w:rsidP="00BC5BB6">
            <w:pPr>
              <w:rPr>
                <w:rFonts w:ascii="Arial" w:eastAsia="Times New Roman" w:hAnsi="Arial" w:cs="Arial"/>
                <w:color w:val="000000"/>
                <w:sz w:val="14"/>
                <w:szCs w:val="14"/>
                <w:lang w:val="cs-CZ" w:eastAsia="cs-CZ"/>
              </w:rPr>
            </w:pPr>
          </w:p>
        </w:tc>
        <w:tc>
          <w:tcPr>
            <w:tcW w:w="766" w:type="dxa"/>
            <w:vMerge/>
            <w:tcBorders>
              <w:top w:val="nil"/>
              <w:left w:val="single" w:sz="4" w:space="0" w:color="auto"/>
              <w:bottom w:val="single" w:sz="4" w:space="0" w:color="auto"/>
              <w:right w:val="single" w:sz="4" w:space="0" w:color="auto"/>
            </w:tcBorders>
            <w:vAlign w:val="center"/>
            <w:hideMark/>
          </w:tcPr>
          <w:p w14:paraId="6A2CD60F" w14:textId="77777777" w:rsidR="00BC5BB6" w:rsidRPr="00BC5BB6" w:rsidRDefault="00BC5BB6" w:rsidP="00BC5BB6">
            <w:pPr>
              <w:rPr>
                <w:rFonts w:ascii="Arial" w:eastAsia="Times New Roman" w:hAnsi="Arial" w:cs="Arial"/>
                <w:color w:val="000000"/>
                <w:sz w:val="14"/>
                <w:szCs w:val="14"/>
                <w:lang w:val="cs-CZ" w:eastAsia="cs-CZ"/>
              </w:rPr>
            </w:pPr>
          </w:p>
        </w:tc>
        <w:tc>
          <w:tcPr>
            <w:tcW w:w="768" w:type="dxa"/>
            <w:vMerge/>
            <w:tcBorders>
              <w:top w:val="nil"/>
              <w:left w:val="single" w:sz="4" w:space="0" w:color="auto"/>
              <w:bottom w:val="single" w:sz="4" w:space="0" w:color="auto"/>
              <w:right w:val="single" w:sz="4" w:space="0" w:color="auto"/>
            </w:tcBorders>
            <w:vAlign w:val="center"/>
            <w:hideMark/>
          </w:tcPr>
          <w:p w14:paraId="551CE688" w14:textId="77777777" w:rsidR="00BC5BB6" w:rsidRPr="00BC5BB6" w:rsidRDefault="00BC5BB6" w:rsidP="00BC5BB6">
            <w:pPr>
              <w:rPr>
                <w:rFonts w:ascii="Arial" w:eastAsia="Times New Roman" w:hAnsi="Arial" w:cs="Arial"/>
                <w:color w:val="000000"/>
                <w:sz w:val="14"/>
                <w:szCs w:val="14"/>
                <w:lang w:val="cs-CZ" w:eastAsia="cs-CZ"/>
              </w:rPr>
            </w:pPr>
          </w:p>
        </w:tc>
        <w:tc>
          <w:tcPr>
            <w:tcW w:w="554" w:type="dxa"/>
            <w:tcBorders>
              <w:top w:val="nil"/>
              <w:left w:val="nil"/>
              <w:bottom w:val="single" w:sz="4" w:space="0" w:color="auto"/>
              <w:right w:val="single" w:sz="4" w:space="0" w:color="auto"/>
            </w:tcBorders>
            <w:shd w:val="clear" w:color="auto" w:fill="auto"/>
            <w:vAlign w:val="center"/>
            <w:hideMark/>
          </w:tcPr>
          <w:p w14:paraId="50C4E245"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2C295C5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49C939D2"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4" w:type="dxa"/>
            <w:tcBorders>
              <w:top w:val="nil"/>
              <w:left w:val="nil"/>
              <w:bottom w:val="single" w:sz="4" w:space="0" w:color="auto"/>
              <w:right w:val="single" w:sz="4" w:space="0" w:color="auto"/>
            </w:tcBorders>
            <w:shd w:val="clear" w:color="auto" w:fill="auto"/>
            <w:vAlign w:val="center"/>
            <w:hideMark/>
          </w:tcPr>
          <w:p w14:paraId="47BC058E"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0,000</w:t>
            </w:r>
          </w:p>
        </w:tc>
        <w:tc>
          <w:tcPr>
            <w:tcW w:w="555" w:type="dxa"/>
            <w:tcBorders>
              <w:top w:val="nil"/>
              <w:left w:val="nil"/>
              <w:bottom w:val="single" w:sz="4" w:space="0" w:color="auto"/>
              <w:right w:val="single" w:sz="4" w:space="0" w:color="auto"/>
            </w:tcBorders>
            <w:shd w:val="clear" w:color="auto" w:fill="auto"/>
            <w:vAlign w:val="center"/>
            <w:hideMark/>
          </w:tcPr>
          <w:p w14:paraId="132DF161"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31,000</w:t>
            </w:r>
          </w:p>
        </w:tc>
        <w:tc>
          <w:tcPr>
            <w:tcW w:w="555" w:type="dxa"/>
            <w:tcBorders>
              <w:top w:val="nil"/>
              <w:left w:val="nil"/>
              <w:bottom w:val="single" w:sz="4" w:space="0" w:color="auto"/>
              <w:right w:val="single" w:sz="4" w:space="0" w:color="auto"/>
            </w:tcBorders>
            <w:shd w:val="clear" w:color="auto" w:fill="auto"/>
            <w:vAlign w:val="center"/>
            <w:hideMark/>
          </w:tcPr>
          <w:p w14:paraId="6491D314"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22,000</w:t>
            </w:r>
          </w:p>
        </w:tc>
        <w:tc>
          <w:tcPr>
            <w:tcW w:w="554" w:type="dxa"/>
            <w:tcBorders>
              <w:top w:val="nil"/>
              <w:left w:val="nil"/>
              <w:bottom w:val="single" w:sz="4" w:space="0" w:color="auto"/>
              <w:right w:val="single" w:sz="4" w:space="0" w:color="auto"/>
            </w:tcBorders>
            <w:shd w:val="clear" w:color="auto" w:fill="auto"/>
            <w:vAlign w:val="center"/>
            <w:hideMark/>
          </w:tcPr>
          <w:p w14:paraId="495B92FD"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922BCE4"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24B54D86"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554" w:type="dxa"/>
            <w:tcBorders>
              <w:top w:val="nil"/>
              <w:left w:val="nil"/>
              <w:bottom w:val="single" w:sz="4" w:space="0" w:color="auto"/>
              <w:right w:val="single" w:sz="4" w:space="0" w:color="auto"/>
            </w:tcBorders>
            <w:shd w:val="clear" w:color="auto" w:fill="auto"/>
            <w:vAlign w:val="center"/>
            <w:hideMark/>
          </w:tcPr>
          <w:p w14:paraId="5A6BC739" w14:textId="77777777" w:rsidR="00BC5BB6" w:rsidRPr="00BC5BB6" w:rsidRDefault="00BC5BB6" w:rsidP="00BC5BB6">
            <w:pPr>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 </w:t>
            </w:r>
          </w:p>
        </w:tc>
        <w:tc>
          <w:tcPr>
            <w:tcW w:w="820" w:type="dxa"/>
            <w:tcBorders>
              <w:top w:val="nil"/>
              <w:left w:val="nil"/>
              <w:bottom w:val="single" w:sz="4" w:space="0" w:color="auto"/>
              <w:right w:val="single" w:sz="4" w:space="0" w:color="auto"/>
            </w:tcBorders>
            <w:shd w:val="clear" w:color="auto" w:fill="auto"/>
            <w:vAlign w:val="center"/>
            <w:hideMark/>
          </w:tcPr>
          <w:p w14:paraId="73C6C2BA" w14:textId="77777777" w:rsidR="00BC5BB6" w:rsidRPr="00BC5BB6" w:rsidRDefault="00BC5BB6" w:rsidP="00BC5BB6">
            <w:pPr>
              <w:jc w:val="right"/>
              <w:rPr>
                <w:rFonts w:ascii="Arial" w:eastAsia="Times New Roman" w:hAnsi="Arial" w:cs="Arial"/>
                <w:color w:val="000000"/>
                <w:sz w:val="14"/>
                <w:szCs w:val="14"/>
                <w:lang w:val="cs-CZ" w:eastAsia="cs-CZ"/>
              </w:rPr>
            </w:pPr>
            <w:r w:rsidRPr="00BC5BB6">
              <w:rPr>
                <w:rFonts w:ascii="Arial" w:eastAsia="Times New Roman" w:hAnsi="Arial" w:cs="Arial"/>
                <w:color w:val="000000"/>
                <w:sz w:val="14"/>
                <w:szCs w:val="14"/>
                <w:lang w:val="cs-CZ" w:eastAsia="cs-CZ"/>
              </w:rPr>
              <w:t>53,000</w:t>
            </w:r>
          </w:p>
        </w:tc>
        <w:tc>
          <w:tcPr>
            <w:tcW w:w="800" w:type="dxa"/>
            <w:vMerge/>
            <w:tcBorders>
              <w:top w:val="nil"/>
              <w:left w:val="single" w:sz="4" w:space="0" w:color="auto"/>
              <w:bottom w:val="single" w:sz="4" w:space="0" w:color="000000"/>
              <w:right w:val="single" w:sz="4" w:space="0" w:color="auto"/>
            </w:tcBorders>
            <w:vAlign w:val="center"/>
            <w:hideMark/>
          </w:tcPr>
          <w:p w14:paraId="2B293E6D" w14:textId="77777777" w:rsidR="00BC5BB6" w:rsidRPr="00BC5BB6" w:rsidRDefault="00BC5BB6" w:rsidP="00BC5BB6">
            <w:pPr>
              <w:rPr>
                <w:rFonts w:ascii="Arial" w:eastAsia="Times New Roman" w:hAnsi="Arial" w:cs="Arial"/>
                <w:color w:val="000000"/>
                <w:sz w:val="14"/>
                <w:szCs w:val="14"/>
                <w:lang w:val="cs-CZ" w:eastAsia="cs-CZ"/>
              </w:rPr>
            </w:pPr>
          </w:p>
        </w:tc>
      </w:tr>
    </w:tbl>
    <w:p w14:paraId="4F87E2BF" w14:textId="4A56A1F9" w:rsidR="00541D74" w:rsidRPr="002F2BE4" w:rsidRDefault="00541D74" w:rsidP="00BC5BB6">
      <w:pPr>
        <w:keepNext/>
        <w:ind w:left="115" w:right="106"/>
        <w:jc w:val="both"/>
        <w:rPr>
          <w:rFonts w:ascii="Arial" w:eastAsia="Arial" w:hAnsi="Arial" w:cs="Arial"/>
          <w:color w:val="000000"/>
          <w:sz w:val="20"/>
          <w:lang w:val="cs-CZ"/>
        </w:rPr>
      </w:pPr>
    </w:p>
    <w:p w14:paraId="167849D7"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1FB57EBF" w14:textId="77777777" w:rsidR="00FD35AB" w:rsidRPr="002F2BE4" w:rsidRDefault="00FD35AB" w:rsidP="007D24EE">
      <w:pPr>
        <w:ind w:left="113" w:right="108"/>
        <w:jc w:val="both"/>
        <w:rPr>
          <w:rFonts w:ascii="Arial" w:eastAsia="Arial" w:hAnsi="Arial" w:cs="Arial"/>
          <w:color w:val="000000"/>
          <w:sz w:val="20"/>
          <w:lang w:val="cs-CZ"/>
        </w:rPr>
      </w:pPr>
    </w:p>
    <w:p w14:paraId="10CC1D5D"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03.2.63 Zlepšování přístupu k dostupným, udržitelným a vysoce kvalitním službám, včetně zdravotnictví a sociálních služeb obecného zájmu</w:t>
      </w:r>
    </w:p>
    <w:tbl>
      <w:tblPr>
        <w:tblW w:w="15897" w:type="dxa"/>
        <w:tblInd w:w="75" w:type="dxa"/>
        <w:tblCellMar>
          <w:left w:w="70" w:type="dxa"/>
          <w:right w:w="70" w:type="dxa"/>
        </w:tblCellMar>
        <w:tblLook w:val="04A0" w:firstRow="1" w:lastRow="0" w:firstColumn="1" w:lastColumn="0" w:noHBand="0" w:noVBand="1"/>
      </w:tblPr>
      <w:tblGrid>
        <w:gridCol w:w="530"/>
        <w:gridCol w:w="2615"/>
        <w:gridCol w:w="1018"/>
        <w:gridCol w:w="2535"/>
        <w:gridCol w:w="768"/>
        <w:gridCol w:w="887"/>
        <w:gridCol w:w="551"/>
        <w:gridCol w:w="551"/>
        <w:gridCol w:w="551"/>
        <w:gridCol w:w="565"/>
        <w:gridCol w:w="647"/>
        <w:gridCol w:w="647"/>
        <w:gridCol w:w="546"/>
        <w:gridCol w:w="546"/>
        <w:gridCol w:w="546"/>
        <w:gridCol w:w="549"/>
        <w:gridCol w:w="1004"/>
        <w:gridCol w:w="841"/>
      </w:tblGrid>
      <w:tr w:rsidR="006A7A9F" w:rsidRPr="006A7A9F" w14:paraId="67934D52" w14:textId="77777777" w:rsidTr="007D24EE">
        <w:trPr>
          <w:trHeight w:val="20"/>
          <w:tblHeader/>
        </w:trPr>
        <w:tc>
          <w:tcPr>
            <w:tcW w:w="5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76F7C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ID</w:t>
            </w:r>
          </w:p>
        </w:tc>
        <w:tc>
          <w:tcPr>
            <w:tcW w:w="28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0CACA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Indikátor</w:t>
            </w:r>
          </w:p>
        </w:tc>
        <w:tc>
          <w:tcPr>
            <w:tcW w:w="10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48DD0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Kategorie regionu</w:t>
            </w:r>
          </w:p>
        </w:tc>
        <w:tc>
          <w:tcPr>
            <w:tcW w:w="27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537B1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Společný indikátor výstupů použitý jako základ pro stanovení cíle</w:t>
            </w:r>
          </w:p>
        </w:tc>
        <w:tc>
          <w:tcPr>
            <w:tcW w:w="7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A68B6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Měrná jednotka pro výchozí hodnotu a cíl</w:t>
            </w:r>
          </w:p>
        </w:tc>
        <w:tc>
          <w:tcPr>
            <w:tcW w:w="7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3FE5E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Cílová hodnota (2023) (Rozdělení podle pohlaví je pro cíl nepovinné)</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4262F0A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2014</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68B749E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2015</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5A9AF9D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2016</w:t>
            </w:r>
          </w:p>
        </w:tc>
        <w:tc>
          <w:tcPr>
            <w:tcW w:w="576" w:type="dxa"/>
            <w:tcBorders>
              <w:top w:val="single" w:sz="4" w:space="0" w:color="auto"/>
              <w:left w:val="nil"/>
              <w:bottom w:val="single" w:sz="4" w:space="0" w:color="auto"/>
              <w:right w:val="single" w:sz="4" w:space="0" w:color="auto"/>
            </w:tcBorders>
            <w:shd w:val="clear" w:color="auto" w:fill="auto"/>
            <w:vAlign w:val="center"/>
            <w:hideMark/>
          </w:tcPr>
          <w:p w14:paraId="066F553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2017</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7824197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2018</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1BF1837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2019</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1B4DE7C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2020</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16C11B2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2021</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093A7B1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2022</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238FBF8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2023</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CB33FA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Kumulativní hodnota (vypočítána automaticky)</w:t>
            </w:r>
          </w:p>
        </w:tc>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9F0BC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Míra splnění Rozdělení podle pohlaví je nepovinné</w:t>
            </w:r>
          </w:p>
        </w:tc>
      </w:tr>
      <w:tr w:rsidR="006A7A9F" w:rsidRPr="006A7A9F" w14:paraId="36B67618" w14:textId="77777777" w:rsidTr="007D24EE">
        <w:trPr>
          <w:trHeight w:val="20"/>
          <w:tblHeader/>
        </w:trPr>
        <w:tc>
          <w:tcPr>
            <w:tcW w:w="528" w:type="dxa"/>
            <w:vMerge/>
            <w:tcBorders>
              <w:top w:val="single" w:sz="4" w:space="0" w:color="auto"/>
              <w:left w:val="single" w:sz="4" w:space="0" w:color="auto"/>
              <w:bottom w:val="single" w:sz="4" w:space="0" w:color="000000"/>
              <w:right w:val="single" w:sz="4" w:space="0" w:color="auto"/>
            </w:tcBorders>
            <w:vAlign w:val="center"/>
            <w:hideMark/>
          </w:tcPr>
          <w:p w14:paraId="190A2AF1" w14:textId="77777777" w:rsidR="006A7A9F" w:rsidRPr="006A7A9F" w:rsidRDefault="006A7A9F" w:rsidP="006A7A9F">
            <w:pPr>
              <w:rPr>
                <w:rFonts w:ascii="Arial" w:eastAsia="Times New Roman" w:hAnsi="Arial" w:cs="Arial"/>
                <w:b/>
                <w:bCs/>
                <w:color w:val="000000"/>
                <w:sz w:val="14"/>
                <w:szCs w:val="14"/>
                <w:lang w:val="cs-CZ" w:eastAsia="cs-CZ"/>
              </w:rPr>
            </w:pPr>
          </w:p>
        </w:tc>
        <w:tc>
          <w:tcPr>
            <w:tcW w:w="2895" w:type="dxa"/>
            <w:vMerge/>
            <w:tcBorders>
              <w:top w:val="single" w:sz="4" w:space="0" w:color="auto"/>
              <w:left w:val="single" w:sz="4" w:space="0" w:color="auto"/>
              <w:bottom w:val="single" w:sz="4" w:space="0" w:color="000000"/>
              <w:right w:val="single" w:sz="4" w:space="0" w:color="auto"/>
            </w:tcBorders>
            <w:vAlign w:val="center"/>
            <w:hideMark/>
          </w:tcPr>
          <w:p w14:paraId="361E2576" w14:textId="77777777" w:rsidR="006A7A9F" w:rsidRPr="006A7A9F" w:rsidRDefault="006A7A9F" w:rsidP="006A7A9F">
            <w:pPr>
              <w:rPr>
                <w:rFonts w:ascii="Arial" w:eastAsia="Times New Roman" w:hAnsi="Arial" w:cs="Arial"/>
                <w:b/>
                <w:bCs/>
                <w:color w:val="000000"/>
                <w:sz w:val="14"/>
                <w:szCs w:val="14"/>
                <w:lang w:val="cs-CZ" w:eastAsia="cs-CZ"/>
              </w:rPr>
            </w:pPr>
          </w:p>
        </w:tc>
        <w:tc>
          <w:tcPr>
            <w:tcW w:w="1053" w:type="dxa"/>
            <w:vMerge/>
            <w:tcBorders>
              <w:top w:val="single" w:sz="4" w:space="0" w:color="auto"/>
              <w:left w:val="single" w:sz="4" w:space="0" w:color="auto"/>
              <w:bottom w:val="single" w:sz="4" w:space="0" w:color="000000"/>
              <w:right w:val="single" w:sz="4" w:space="0" w:color="auto"/>
            </w:tcBorders>
            <w:vAlign w:val="center"/>
            <w:hideMark/>
          </w:tcPr>
          <w:p w14:paraId="3D8FE567" w14:textId="77777777" w:rsidR="006A7A9F" w:rsidRPr="006A7A9F" w:rsidRDefault="006A7A9F" w:rsidP="006A7A9F">
            <w:pPr>
              <w:rPr>
                <w:rFonts w:ascii="Arial" w:eastAsia="Times New Roman" w:hAnsi="Arial" w:cs="Arial"/>
                <w:b/>
                <w:bCs/>
                <w:color w:val="000000"/>
                <w:sz w:val="14"/>
                <w:szCs w:val="14"/>
                <w:lang w:val="cs-CZ" w:eastAsia="cs-CZ"/>
              </w:rPr>
            </w:pPr>
          </w:p>
        </w:tc>
        <w:tc>
          <w:tcPr>
            <w:tcW w:w="2729" w:type="dxa"/>
            <w:vMerge/>
            <w:tcBorders>
              <w:top w:val="single" w:sz="4" w:space="0" w:color="auto"/>
              <w:left w:val="single" w:sz="4" w:space="0" w:color="auto"/>
              <w:bottom w:val="single" w:sz="4" w:space="0" w:color="000000"/>
              <w:right w:val="single" w:sz="4" w:space="0" w:color="auto"/>
            </w:tcBorders>
            <w:vAlign w:val="center"/>
            <w:hideMark/>
          </w:tcPr>
          <w:p w14:paraId="54606979"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11BB249F" w14:textId="77777777" w:rsidR="006A7A9F" w:rsidRPr="006A7A9F" w:rsidRDefault="006A7A9F" w:rsidP="006A7A9F">
            <w:pPr>
              <w:rPr>
                <w:rFonts w:ascii="Arial" w:eastAsia="Times New Roman" w:hAnsi="Arial" w:cs="Arial"/>
                <w:b/>
                <w:bCs/>
                <w:color w:val="000000"/>
                <w:sz w:val="14"/>
                <w:szCs w:val="14"/>
                <w:lang w:val="cs-CZ" w:eastAsia="cs-CZ"/>
              </w:rPr>
            </w:pPr>
          </w:p>
        </w:tc>
        <w:tc>
          <w:tcPr>
            <w:tcW w:w="738" w:type="dxa"/>
            <w:vMerge/>
            <w:tcBorders>
              <w:top w:val="single" w:sz="4" w:space="0" w:color="auto"/>
              <w:left w:val="single" w:sz="4" w:space="0" w:color="auto"/>
              <w:bottom w:val="single" w:sz="4" w:space="0" w:color="000000"/>
              <w:right w:val="single" w:sz="4" w:space="0" w:color="auto"/>
            </w:tcBorders>
            <w:vAlign w:val="center"/>
            <w:hideMark/>
          </w:tcPr>
          <w:p w14:paraId="53789D2F" w14:textId="77777777" w:rsidR="006A7A9F" w:rsidRPr="006A7A9F" w:rsidRDefault="006A7A9F" w:rsidP="006A7A9F">
            <w:pPr>
              <w:rPr>
                <w:rFonts w:ascii="Arial" w:eastAsia="Times New Roman" w:hAnsi="Arial" w:cs="Arial"/>
                <w:b/>
                <w:bCs/>
                <w:color w:val="000000"/>
                <w:sz w:val="14"/>
                <w:szCs w:val="14"/>
                <w:lang w:val="cs-CZ" w:eastAsia="cs-CZ"/>
              </w:rPr>
            </w:pPr>
          </w:p>
        </w:tc>
        <w:tc>
          <w:tcPr>
            <w:tcW w:w="5643" w:type="dxa"/>
            <w:gridSpan w:val="10"/>
            <w:tcBorders>
              <w:top w:val="single" w:sz="4" w:space="0" w:color="auto"/>
              <w:left w:val="nil"/>
              <w:bottom w:val="single" w:sz="4" w:space="0" w:color="auto"/>
              <w:right w:val="single" w:sz="4" w:space="0" w:color="000000"/>
            </w:tcBorders>
            <w:shd w:val="clear" w:color="auto" w:fill="auto"/>
            <w:vAlign w:val="center"/>
            <w:hideMark/>
          </w:tcPr>
          <w:p w14:paraId="5533017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Roční hodnota</w:t>
            </w:r>
          </w:p>
        </w:tc>
        <w:tc>
          <w:tcPr>
            <w:tcW w:w="835" w:type="dxa"/>
            <w:tcBorders>
              <w:top w:val="nil"/>
              <w:left w:val="nil"/>
              <w:bottom w:val="single" w:sz="4" w:space="0" w:color="auto"/>
              <w:right w:val="single" w:sz="4" w:space="0" w:color="auto"/>
            </w:tcBorders>
            <w:shd w:val="clear" w:color="auto" w:fill="auto"/>
            <w:vAlign w:val="center"/>
            <w:hideMark/>
          </w:tcPr>
          <w:p w14:paraId="20CC39E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Celkem</w:t>
            </w: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55D71110"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19FF2D03" w14:textId="77777777" w:rsidTr="007D24EE">
        <w:trPr>
          <w:trHeight w:val="20"/>
          <w:tblHeader/>
        </w:trPr>
        <w:tc>
          <w:tcPr>
            <w:tcW w:w="528" w:type="dxa"/>
            <w:vMerge/>
            <w:tcBorders>
              <w:top w:val="single" w:sz="4" w:space="0" w:color="auto"/>
              <w:left w:val="single" w:sz="4" w:space="0" w:color="auto"/>
              <w:bottom w:val="single" w:sz="4" w:space="0" w:color="000000"/>
              <w:right w:val="single" w:sz="4" w:space="0" w:color="auto"/>
            </w:tcBorders>
            <w:vAlign w:val="center"/>
            <w:hideMark/>
          </w:tcPr>
          <w:p w14:paraId="10DD440C" w14:textId="77777777" w:rsidR="006A7A9F" w:rsidRPr="006A7A9F" w:rsidRDefault="006A7A9F" w:rsidP="006A7A9F">
            <w:pPr>
              <w:rPr>
                <w:rFonts w:ascii="Arial" w:eastAsia="Times New Roman" w:hAnsi="Arial" w:cs="Arial"/>
                <w:b/>
                <w:bCs/>
                <w:color w:val="000000"/>
                <w:sz w:val="14"/>
                <w:szCs w:val="14"/>
                <w:lang w:val="cs-CZ" w:eastAsia="cs-CZ"/>
              </w:rPr>
            </w:pPr>
          </w:p>
        </w:tc>
        <w:tc>
          <w:tcPr>
            <w:tcW w:w="2895" w:type="dxa"/>
            <w:vMerge/>
            <w:tcBorders>
              <w:top w:val="single" w:sz="4" w:space="0" w:color="auto"/>
              <w:left w:val="single" w:sz="4" w:space="0" w:color="auto"/>
              <w:bottom w:val="single" w:sz="4" w:space="0" w:color="000000"/>
              <w:right w:val="single" w:sz="4" w:space="0" w:color="auto"/>
            </w:tcBorders>
            <w:vAlign w:val="center"/>
            <w:hideMark/>
          </w:tcPr>
          <w:p w14:paraId="13884539" w14:textId="77777777" w:rsidR="006A7A9F" w:rsidRPr="006A7A9F" w:rsidRDefault="006A7A9F" w:rsidP="006A7A9F">
            <w:pPr>
              <w:rPr>
                <w:rFonts w:ascii="Arial" w:eastAsia="Times New Roman" w:hAnsi="Arial" w:cs="Arial"/>
                <w:b/>
                <w:bCs/>
                <w:color w:val="000000"/>
                <w:sz w:val="14"/>
                <w:szCs w:val="14"/>
                <w:lang w:val="cs-CZ" w:eastAsia="cs-CZ"/>
              </w:rPr>
            </w:pPr>
          </w:p>
        </w:tc>
        <w:tc>
          <w:tcPr>
            <w:tcW w:w="1053" w:type="dxa"/>
            <w:vMerge/>
            <w:tcBorders>
              <w:top w:val="single" w:sz="4" w:space="0" w:color="auto"/>
              <w:left w:val="single" w:sz="4" w:space="0" w:color="auto"/>
              <w:bottom w:val="single" w:sz="4" w:space="0" w:color="000000"/>
              <w:right w:val="single" w:sz="4" w:space="0" w:color="auto"/>
            </w:tcBorders>
            <w:vAlign w:val="center"/>
            <w:hideMark/>
          </w:tcPr>
          <w:p w14:paraId="6DD44C68" w14:textId="77777777" w:rsidR="006A7A9F" w:rsidRPr="006A7A9F" w:rsidRDefault="006A7A9F" w:rsidP="006A7A9F">
            <w:pPr>
              <w:rPr>
                <w:rFonts w:ascii="Arial" w:eastAsia="Times New Roman" w:hAnsi="Arial" w:cs="Arial"/>
                <w:b/>
                <w:bCs/>
                <w:color w:val="000000"/>
                <w:sz w:val="14"/>
                <w:szCs w:val="14"/>
                <w:lang w:val="cs-CZ" w:eastAsia="cs-CZ"/>
              </w:rPr>
            </w:pPr>
          </w:p>
        </w:tc>
        <w:tc>
          <w:tcPr>
            <w:tcW w:w="2729" w:type="dxa"/>
            <w:vMerge/>
            <w:tcBorders>
              <w:top w:val="single" w:sz="4" w:space="0" w:color="auto"/>
              <w:left w:val="single" w:sz="4" w:space="0" w:color="auto"/>
              <w:bottom w:val="single" w:sz="4" w:space="0" w:color="000000"/>
              <w:right w:val="single" w:sz="4" w:space="0" w:color="auto"/>
            </w:tcBorders>
            <w:vAlign w:val="center"/>
            <w:hideMark/>
          </w:tcPr>
          <w:p w14:paraId="04843489"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5EE01DE5" w14:textId="77777777" w:rsidR="006A7A9F" w:rsidRPr="006A7A9F" w:rsidRDefault="006A7A9F" w:rsidP="006A7A9F">
            <w:pPr>
              <w:rPr>
                <w:rFonts w:ascii="Arial" w:eastAsia="Times New Roman" w:hAnsi="Arial" w:cs="Arial"/>
                <w:b/>
                <w:bCs/>
                <w:color w:val="000000"/>
                <w:sz w:val="14"/>
                <w:szCs w:val="14"/>
                <w:lang w:val="cs-CZ" w:eastAsia="cs-CZ"/>
              </w:rPr>
            </w:pPr>
          </w:p>
        </w:tc>
        <w:tc>
          <w:tcPr>
            <w:tcW w:w="738" w:type="dxa"/>
            <w:vMerge/>
            <w:tcBorders>
              <w:top w:val="single" w:sz="4" w:space="0" w:color="auto"/>
              <w:left w:val="single" w:sz="4" w:space="0" w:color="auto"/>
              <w:bottom w:val="single" w:sz="4" w:space="0" w:color="000000"/>
              <w:right w:val="single" w:sz="4" w:space="0" w:color="auto"/>
            </w:tcBorders>
            <w:vAlign w:val="center"/>
            <w:hideMark/>
          </w:tcPr>
          <w:p w14:paraId="56E7C7E3" w14:textId="77777777" w:rsidR="006A7A9F" w:rsidRPr="006A7A9F" w:rsidRDefault="006A7A9F" w:rsidP="006A7A9F">
            <w:pPr>
              <w:rPr>
                <w:rFonts w:ascii="Arial" w:eastAsia="Times New Roman" w:hAnsi="Arial" w:cs="Arial"/>
                <w:b/>
                <w:bCs/>
                <w:color w:val="000000"/>
                <w:sz w:val="14"/>
                <w:szCs w:val="14"/>
                <w:lang w:val="cs-CZ" w:eastAsia="cs-CZ"/>
              </w:rPr>
            </w:pPr>
          </w:p>
        </w:tc>
        <w:tc>
          <w:tcPr>
            <w:tcW w:w="560" w:type="dxa"/>
            <w:tcBorders>
              <w:top w:val="nil"/>
              <w:left w:val="nil"/>
              <w:bottom w:val="single" w:sz="4" w:space="0" w:color="auto"/>
              <w:right w:val="single" w:sz="4" w:space="0" w:color="auto"/>
            </w:tcBorders>
            <w:shd w:val="clear" w:color="auto" w:fill="auto"/>
            <w:vAlign w:val="center"/>
            <w:hideMark/>
          </w:tcPr>
          <w:p w14:paraId="14EC264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42866C2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39F1057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76" w:type="dxa"/>
            <w:tcBorders>
              <w:top w:val="nil"/>
              <w:left w:val="nil"/>
              <w:bottom w:val="single" w:sz="4" w:space="0" w:color="auto"/>
              <w:right w:val="single" w:sz="4" w:space="0" w:color="auto"/>
            </w:tcBorders>
            <w:shd w:val="clear" w:color="auto" w:fill="auto"/>
            <w:vAlign w:val="center"/>
            <w:hideMark/>
          </w:tcPr>
          <w:p w14:paraId="6E6C720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80" w:type="dxa"/>
            <w:tcBorders>
              <w:top w:val="nil"/>
              <w:left w:val="nil"/>
              <w:bottom w:val="single" w:sz="4" w:space="0" w:color="auto"/>
              <w:right w:val="single" w:sz="4" w:space="0" w:color="auto"/>
            </w:tcBorders>
            <w:shd w:val="clear" w:color="auto" w:fill="auto"/>
            <w:vAlign w:val="center"/>
            <w:hideMark/>
          </w:tcPr>
          <w:p w14:paraId="515EC29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3B5D060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7ABD4A8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4AE207C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5C50F6D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291A93F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835" w:type="dxa"/>
            <w:tcBorders>
              <w:top w:val="nil"/>
              <w:left w:val="nil"/>
              <w:bottom w:val="single" w:sz="4" w:space="0" w:color="auto"/>
              <w:right w:val="single" w:sz="4" w:space="0" w:color="auto"/>
            </w:tcBorders>
            <w:shd w:val="clear" w:color="auto" w:fill="auto"/>
            <w:vAlign w:val="center"/>
            <w:hideMark/>
          </w:tcPr>
          <w:p w14:paraId="7BAC0A6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1217114B"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34564443" w14:textId="77777777" w:rsidTr="007D24EE">
        <w:trPr>
          <w:trHeight w:val="20"/>
          <w:tblHeader/>
        </w:trPr>
        <w:tc>
          <w:tcPr>
            <w:tcW w:w="528" w:type="dxa"/>
            <w:vMerge/>
            <w:tcBorders>
              <w:top w:val="single" w:sz="4" w:space="0" w:color="auto"/>
              <w:left w:val="single" w:sz="4" w:space="0" w:color="auto"/>
              <w:bottom w:val="single" w:sz="4" w:space="0" w:color="000000"/>
              <w:right w:val="single" w:sz="4" w:space="0" w:color="auto"/>
            </w:tcBorders>
            <w:vAlign w:val="center"/>
            <w:hideMark/>
          </w:tcPr>
          <w:p w14:paraId="6D6E797E" w14:textId="77777777" w:rsidR="006A7A9F" w:rsidRPr="006A7A9F" w:rsidRDefault="006A7A9F" w:rsidP="006A7A9F">
            <w:pPr>
              <w:rPr>
                <w:rFonts w:ascii="Arial" w:eastAsia="Times New Roman" w:hAnsi="Arial" w:cs="Arial"/>
                <w:b/>
                <w:bCs/>
                <w:color w:val="000000"/>
                <w:sz w:val="14"/>
                <w:szCs w:val="14"/>
                <w:lang w:val="cs-CZ" w:eastAsia="cs-CZ"/>
              </w:rPr>
            </w:pPr>
          </w:p>
        </w:tc>
        <w:tc>
          <w:tcPr>
            <w:tcW w:w="2895" w:type="dxa"/>
            <w:vMerge/>
            <w:tcBorders>
              <w:top w:val="single" w:sz="4" w:space="0" w:color="auto"/>
              <w:left w:val="single" w:sz="4" w:space="0" w:color="auto"/>
              <w:bottom w:val="single" w:sz="4" w:space="0" w:color="000000"/>
              <w:right w:val="single" w:sz="4" w:space="0" w:color="auto"/>
            </w:tcBorders>
            <w:vAlign w:val="center"/>
            <w:hideMark/>
          </w:tcPr>
          <w:p w14:paraId="4237D9D3" w14:textId="77777777" w:rsidR="006A7A9F" w:rsidRPr="006A7A9F" w:rsidRDefault="006A7A9F" w:rsidP="006A7A9F">
            <w:pPr>
              <w:rPr>
                <w:rFonts w:ascii="Arial" w:eastAsia="Times New Roman" w:hAnsi="Arial" w:cs="Arial"/>
                <w:b/>
                <w:bCs/>
                <w:color w:val="000000"/>
                <w:sz w:val="14"/>
                <w:szCs w:val="14"/>
                <w:lang w:val="cs-CZ" w:eastAsia="cs-CZ"/>
              </w:rPr>
            </w:pPr>
          </w:p>
        </w:tc>
        <w:tc>
          <w:tcPr>
            <w:tcW w:w="1053" w:type="dxa"/>
            <w:vMerge/>
            <w:tcBorders>
              <w:top w:val="single" w:sz="4" w:space="0" w:color="auto"/>
              <w:left w:val="single" w:sz="4" w:space="0" w:color="auto"/>
              <w:bottom w:val="single" w:sz="4" w:space="0" w:color="000000"/>
              <w:right w:val="single" w:sz="4" w:space="0" w:color="auto"/>
            </w:tcBorders>
            <w:vAlign w:val="center"/>
            <w:hideMark/>
          </w:tcPr>
          <w:p w14:paraId="73AC41A6" w14:textId="77777777" w:rsidR="006A7A9F" w:rsidRPr="006A7A9F" w:rsidRDefault="006A7A9F" w:rsidP="006A7A9F">
            <w:pPr>
              <w:rPr>
                <w:rFonts w:ascii="Arial" w:eastAsia="Times New Roman" w:hAnsi="Arial" w:cs="Arial"/>
                <w:b/>
                <w:bCs/>
                <w:color w:val="000000"/>
                <w:sz w:val="14"/>
                <w:szCs w:val="14"/>
                <w:lang w:val="cs-CZ" w:eastAsia="cs-CZ"/>
              </w:rPr>
            </w:pPr>
          </w:p>
        </w:tc>
        <w:tc>
          <w:tcPr>
            <w:tcW w:w="2729" w:type="dxa"/>
            <w:vMerge/>
            <w:tcBorders>
              <w:top w:val="single" w:sz="4" w:space="0" w:color="auto"/>
              <w:left w:val="single" w:sz="4" w:space="0" w:color="auto"/>
              <w:bottom w:val="single" w:sz="4" w:space="0" w:color="000000"/>
              <w:right w:val="single" w:sz="4" w:space="0" w:color="auto"/>
            </w:tcBorders>
            <w:vAlign w:val="center"/>
            <w:hideMark/>
          </w:tcPr>
          <w:p w14:paraId="325F80E1"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14E01015" w14:textId="77777777" w:rsidR="006A7A9F" w:rsidRPr="006A7A9F" w:rsidRDefault="006A7A9F" w:rsidP="006A7A9F">
            <w:pPr>
              <w:rPr>
                <w:rFonts w:ascii="Arial" w:eastAsia="Times New Roman" w:hAnsi="Arial" w:cs="Arial"/>
                <w:b/>
                <w:bCs/>
                <w:color w:val="000000"/>
                <w:sz w:val="14"/>
                <w:szCs w:val="14"/>
                <w:lang w:val="cs-CZ" w:eastAsia="cs-CZ"/>
              </w:rPr>
            </w:pPr>
          </w:p>
        </w:tc>
        <w:tc>
          <w:tcPr>
            <w:tcW w:w="738" w:type="dxa"/>
            <w:vMerge/>
            <w:tcBorders>
              <w:top w:val="single" w:sz="4" w:space="0" w:color="auto"/>
              <w:left w:val="single" w:sz="4" w:space="0" w:color="auto"/>
              <w:bottom w:val="single" w:sz="4" w:space="0" w:color="000000"/>
              <w:right w:val="single" w:sz="4" w:space="0" w:color="auto"/>
            </w:tcBorders>
            <w:vAlign w:val="center"/>
            <w:hideMark/>
          </w:tcPr>
          <w:p w14:paraId="72D5AF05" w14:textId="77777777" w:rsidR="006A7A9F" w:rsidRPr="006A7A9F" w:rsidRDefault="006A7A9F" w:rsidP="006A7A9F">
            <w:pPr>
              <w:rPr>
                <w:rFonts w:ascii="Arial" w:eastAsia="Times New Roman" w:hAnsi="Arial" w:cs="Arial"/>
                <w:b/>
                <w:bCs/>
                <w:color w:val="000000"/>
                <w:sz w:val="14"/>
                <w:szCs w:val="14"/>
                <w:lang w:val="cs-CZ" w:eastAsia="cs-CZ"/>
              </w:rPr>
            </w:pPr>
          </w:p>
        </w:tc>
        <w:tc>
          <w:tcPr>
            <w:tcW w:w="560" w:type="dxa"/>
            <w:tcBorders>
              <w:top w:val="nil"/>
              <w:left w:val="nil"/>
              <w:bottom w:val="single" w:sz="4" w:space="0" w:color="auto"/>
              <w:right w:val="single" w:sz="4" w:space="0" w:color="auto"/>
            </w:tcBorders>
            <w:shd w:val="clear" w:color="auto" w:fill="auto"/>
            <w:vAlign w:val="center"/>
            <w:hideMark/>
          </w:tcPr>
          <w:p w14:paraId="0AA8584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774EEF8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2A47410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76" w:type="dxa"/>
            <w:tcBorders>
              <w:top w:val="nil"/>
              <w:left w:val="nil"/>
              <w:bottom w:val="single" w:sz="4" w:space="0" w:color="auto"/>
              <w:right w:val="single" w:sz="4" w:space="0" w:color="auto"/>
            </w:tcBorders>
            <w:shd w:val="clear" w:color="auto" w:fill="auto"/>
            <w:vAlign w:val="center"/>
            <w:hideMark/>
          </w:tcPr>
          <w:p w14:paraId="0A961AC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80" w:type="dxa"/>
            <w:tcBorders>
              <w:top w:val="nil"/>
              <w:left w:val="nil"/>
              <w:bottom w:val="single" w:sz="4" w:space="0" w:color="auto"/>
              <w:right w:val="single" w:sz="4" w:space="0" w:color="auto"/>
            </w:tcBorders>
            <w:shd w:val="clear" w:color="auto" w:fill="auto"/>
            <w:vAlign w:val="center"/>
            <w:hideMark/>
          </w:tcPr>
          <w:p w14:paraId="3B8E4CD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5D259F7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0763017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7C3B909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1426B55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2C07A55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835" w:type="dxa"/>
            <w:tcBorders>
              <w:top w:val="nil"/>
              <w:left w:val="nil"/>
              <w:bottom w:val="single" w:sz="4" w:space="0" w:color="auto"/>
              <w:right w:val="single" w:sz="4" w:space="0" w:color="auto"/>
            </w:tcBorders>
            <w:shd w:val="clear" w:color="auto" w:fill="auto"/>
            <w:vAlign w:val="center"/>
            <w:hideMark/>
          </w:tcPr>
          <w:p w14:paraId="3C5EF98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2297CB12"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603E9AE2" w14:textId="77777777" w:rsidTr="007D24EE">
        <w:trPr>
          <w:trHeight w:val="20"/>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14:paraId="6C85863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895" w:type="dxa"/>
            <w:vMerge w:val="restart"/>
            <w:tcBorders>
              <w:top w:val="nil"/>
              <w:left w:val="single" w:sz="4" w:space="0" w:color="auto"/>
              <w:bottom w:val="single" w:sz="4" w:space="0" w:color="auto"/>
              <w:right w:val="single" w:sz="4" w:space="0" w:color="auto"/>
            </w:tcBorders>
            <w:shd w:val="clear" w:color="auto" w:fill="auto"/>
            <w:vAlign w:val="center"/>
            <w:hideMark/>
          </w:tcPr>
          <w:p w14:paraId="597A0D6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14:paraId="3A61B96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729" w:type="dxa"/>
            <w:vMerge w:val="restart"/>
            <w:tcBorders>
              <w:top w:val="nil"/>
              <w:left w:val="single" w:sz="4" w:space="0" w:color="auto"/>
              <w:bottom w:val="single" w:sz="4" w:space="0" w:color="auto"/>
              <w:right w:val="single" w:sz="4" w:space="0" w:color="auto"/>
            </w:tcBorders>
            <w:shd w:val="clear" w:color="auto" w:fill="auto"/>
            <w:vAlign w:val="center"/>
            <w:hideMark/>
          </w:tcPr>
          <w:p w14:paraId="5211B39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hideMark/>
          </w:tcPr>
          <w:p w14:paraId="0C22F97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38" w:type="dxa"/>
            <w:vMerge w:val="restart"/>
            <w:tcBorders>
              <w:top w:val="nil"/>
              <w:left w:val="single" w:sz="4" w:space="0" w:color="auto"/>
              <w:bottom w:val="single" w:sz="4" w:space="0" w:color="auto"/>
              <w:right w:val="single" w:sz="4" w:space="0" w:color="auto"/>
            </w:tcBorders>
            <w:shd w:val="clear" w:color="auto" w:fill="auto"/>
            <w:vAlign w:val="center"/>
            <w:hideMark/>
          </w:tcPr>
          <w:p w14:paraId="34C9867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11 458,000</w:t>
            </w:r>
          </w:p>
        </w:tc>
        <w:tc>
          <w:tcPr>
            <w:tcW w:w="5643" w:type="dxa"/>
            <w:gridSpan w:val="10"/>
            <w:tcBorders>
              <w:top w:val="single" w:sz="4" w:space="0" w:color="auto"/>
              <w:left w:val="nil"/>
              <w:bottom w:val="single" w:sz="4" w:space="0" w:color="auto"/>
              <w:right w:val="single" w:sz="4" w:space="0" w:color="000000"/>
            </w:tcBorders>
            <w:shd w:val="clear" w:color="auto" w:fill="auto"/>
            <w:vAlign w:val="center"/>
            <w:hideMark/>
          </w:tcPr>
          <w:p w14:paraId="3237CE68"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5" w:type="dxa"/>
            <w:tcBorders>
              <w:top w:val="nil"/>
              <w:left w:val="nil"/>
              <w:bottom w:val="single" w:sz="4" w:space="0" w:color="auto"/>
              <w:right w:val="single" w:sz="4" w:space="0" w:color="auto"/>
            </w:tcBorders>
            <w:shd w:val="clear" w:color="auto" w:fill="auto"/>
            <w:vAlign w:val="center"/>
            <w:hideMark/>
          </w:tcPr>
          <w:p w14:paraId="21F6437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2 698,000</w:t>
            </w: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14:paraId="7F865A2E"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23,547</w:t>
            </w:r>
          </w:p>
        </w:tc>
      </w:tr>
      <w:tr w:rsidR="006A7A9F" w:rsidRPr="006A7A9F" w14:paraId="3AAEF433"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5CC8B9D3" w14:textId="77777777" w:rsidR="006A7A9F" w:rsidRPr="006A7A9F" w:rsidRDefault="006A7A9F" w:rsidP="006A7A9F">
            <w:pPr>
              <w:rPr>
                <w:rFonts w:ascii="Arial" w:eastAsia="Times New Roman" w:hAnsi="Arial" w:cs="Arial"/>
                <w:color w:val="000000"/>
                <w:sz w:val="14"/>
                <w:szCs w:val="14"/>
                <w:lang w:val="cs-CZ" w:eastAsia="cs-CZ"/>
              </w:rPr>
            </w:pPr>
          </w:p>
        </w:tc>
        <w:tc>
          <w:tcPr>
            <w:tcW w:w="2895" w:type="dxa"/>
            <w:vMerge/>
            <w:tcBorders>
              <w:top w:val="nil"/>
              <w:left w:val="single" w:sz="4" w:space="0" w:color="auto"/>
              <w:bottom w:val="single" w:sz="4" w:space="0" w:color="auto"/>
              <w:right w:val="single" w:sz="4" w:space="0" w:color="auto"/>
            </w:tcBorders>
            <w:vAlign w:val="center"/>
            <w:hideMark/>
          </w:tcPr>
          <w:p w14:paraId="1B8DB8CF" w14:textId="77777777" w:rsidR="006A7A9F" w:rsidRPr="006A7A9F" w:rsidRDefault="006A7A9F" w:rsidP="006A7A9F">
            <w:pPr>
              <w:rPr>
                <w:rFonts w:ascii="Arial" w:eastAsia="Times New Roman" w:hAnsi="Arial" w:cs="Arial"/>
                <w:color w:val="000000"/>
                <w:sz w:val="14"/>
                <w:szCs w:val="14"/>
                <w:lang w:val="cs-CZ" w:eastAsia="cs-CZ"/>
              </w:rPr>
            </w:pPr>
          </w:p>
        </w:tc>
        <w:tc>
          <w:tcPr>
            <w:tcW w:w="1053" w:type="dxa"/>
            <w:vMerge/>
            <w:tcBorders>
              <w:top w:val="nil"/>
              <w:left w:val="single" w:sz="4" w:space="0" w:color="auto"/>
              <w:bottom w:val="single" w:sz="4" w:space="0" w:color="auto"/>
              <w:right w:val="single" w:sz="4" w:space="0" w:color="auto"/>
            </w:tcBorders>
            <w:vAlign w:val="center"/>
            <w:hideMark/>
          </w:tcPr>
          <w:p w14:paraId="26F798EB" w14:textId="77777777" w:rsidR="006A7A9F" w:rsidRPr="006A7A9F" w:rsidRDefault="006A7A9F" w:rsidP="006A7A9F">
            <w:pPr>
              <w:rPr>
                <w:rFonts w:ascii="Arial" w:eastAsia="Times New Roman" w:hAnsi="Arial" w:cs="Arial"/>
                <w:color w:val="000000"/>
                <w:sz w:val="14"/>
                <w:szCs w:val="14"/>
                <w:lang w:val="cs-CZ" w:eastAsia="cs-CZ"/>
              </w:rPr>
            </w:pPr>
          </w:p>
        </w:tc>
        <w:tc>
          <w:tcPr>
            <w:tcW w:w="2729" w:type="dxa"/>
            <w:vMerge/>
            <w:tcBorders>
              <w:top w:val="nil"/>
              <w:left w:val="single" w:sz="4" w:space="0" w:color="auto"/>
              <w:bottom w:val="single" w:sz="4" w:space="0" w:color="auto"/>
              <w:right w:val="single" w:sz="4" w:space="0" w:color="auto"/>
            </w:tcBorders>
            <w:vAlign w:val="center"/>
            <w:hideMark/>
          </w:tcPr>
          <w:p w14:paraId="03B2404C"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68595DAD" w14:textId="77777777" w:rsidR="006A7A9F" w:rsidRPr="006A7A9F" w:rsidRDefault="006A7A9F" w:rsidP="006A7A9F">
            <w:pPr>
              <w:rPr>
                <w:rFonts w:ascii="Arial" w:eastAsia="Times New Roman" w:hAnsi="Arial" w:cs="Arial"/>
                <w:color w:val="000000"/>
                <w:sz w:val="14"/>
                <w:szCs w:val="14"/>
                <w:lang w:val="cs-CZ" w:eastAsia="cs-CZ"/>
              </w:rPr>
            </w:pPr>
          </w:p>
        </w:tc>
        <w:tc>
          <w:tcPr>
            <w:tcW w:w="738" w:type="dxa"/>
            <w:vMerge/>
            <w:tcBorders>
              <w:top w:val="nil"/>
              <w:left w:val="single" w:sz="4" w:space="0" w:color="auto"/>
              <w:bottom w:val="single" w:sz="4" w:space="0" w:color="auto"/>
              <w:right w:val="single" w:sz="4" w:space="0" w:color="auto"/>
            </w:tcBorders>
            <w:vAlign w:val="center"/>
            <w:hideMark/>
          </w:tcPr>
          <w:p w14:paraId="476BAD49" w14:textId="77777777" w:rsidR="006A7A9F" w:rsidRPr="006A7A9F" w:rsidRDefault="006A7A9F" w:rsidP="006A7A9F">
            <w:pPr>
              <w:rPr>
                <w:rFonts w:ascii="Arial" w:eastAsia="Times New Roman" w:hAnsi="Arial" w:cs="Arial"/>
                <w:color w:val="000000"/>
                <w:sz w:val="14"/>
                <w:szCs w:val="14"/>
                <w:lang w:val="cs-CZ" w:eastAsia="cs-CZ"/>
              </w:rPr>
            </w:pPr>
          </w:p>
        </w:tc>
        <w:tc>
          <w:tcPr>
            <w:tcW w:w="560" w:type="dxa"/>
            <w:tcBorders>
              <w:top w:val="nil"/>
              <w:left w:val="nil"/>
              <w:bottom w:val="single" w:sz="4" w:space="0" w:color="auto"/>
              <w:right w:val="single" w:sz="4" w:space="0" w:color="auto"/>
            </w:tcBorders>
            <w:shd w:val="clear" w:color="auto" w:fill="auto"/>
            <w:vAlign w:val="center"/>
            <w:hideMark/>
          </w:tcPr>
          <w:p w14:paraId="08E3918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1D52B0E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08584A2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76" w:type="dxa"/>
            <w:tcBorders>
              <w:top w:val="nil"/>
              <w:left w:val="nil"/>
              <w:bottom w:val="single" w:sz="4" w:space="0" w:color="auto"/>
              <w:right w:val="single" w:sz="4" w:space="0" w:color="auto"/>
            </w:tcBorders>
            <w:shd w:val="clear" w:color="auto" w:fill="auto"/>
            <w:vAlign w:val="center"/>
            <w:hideMark/>
          </w:tcPr>
          <w:p w14:paraId="3E20BC2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80" w:type="dxa"/>
            <w:tcBorders>
              <w:top w:val="nil"/>
              <w:left w:val="nil"/>
              <w:bottom w:val="single" w:sz="4" w:space="0" w:color="auto"/>
              <w:right w:val="single" w:sz="4" w:space="0" w:color="auto"/>
            </w:tcBorders>
            <w:shd w:val="clear" w:color="auto" w:fill="auto"/>
            <w:vAlign w:val="center"/>
            <w:hideMark/>
          </w:tcPr>
          <w:p w14:paraId="08DE76F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179,000</w:t>
            </w:r>
          </w:p>
        </w:tc>
        <w:tc>
          <w:tcPr>
            <w:tcW w:w="564" w:type="dxa"/>
            <w:tcBorders>
              <w:top w:val="nil"/>
              <w:left w:val="nil"/>
              <w:bottom w:val="single" w:sz="4" w:space="0" w:color="auto"/>
              <w:right w:val="single" w:sz="4" w:space="0" w:color="auto"/>
            </w:tcBorders>
            <w:shd w:val="clear" w:color="auto" w:fill="auto"/>
            <w:vAlign w:val="center"/>
            <w:hideMark/>
          </w:tcPr>
          <w:p w14:paraId="59878D7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153,000</w:t>
            </w:r>
          </w:p>
        </w:tc>
        <w:tc>
          <w:tcPr>
            <w:tcW w:w="560" w:type="dxa"/>
            <w:tcBorders>
              <w:top w:val="nil"/>
              <w:left w:val="nil"/>
              <w:bottom w:val="single" w:sz="4" w:space="0" w:color="auto"/>
              <w:right w:val="single" w:sz="4" w:space="0" w:color="auto"/>
            </w:tcBorders>
            <w:shd w:val="clear" w:color="auto" w:fill="auto"/>
            <w:vAlign w:val="center"/>
            <w:hideMark/>
          </w:tcPr>
          <w:p w14:paraId="404A177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75733440"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FA87D6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DDF9F8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5" w:type="dxa"/>
            <w:tcBorders>
              <w:top w:val="nil"/>
              <w:left w:val="nil"/>
              <w:bottom w:val="single" w:sz="4" w:space="0" w:color="auto"/>
              <w:right w:val="single" w:sz="4" w:space="0" w:color="auto"/>
            </w:tcBorders>
            <w:shd w:val="clear" w:color="auto" w:fill="auto"/>
            <w:vAlign w:val="center"/>
            <w:hideMark/>
          </w:tcPr>
          <w:p w14:paraId="66F7BFF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332,000</w:t>
            </w:r>
          </w:p>
        </w:tc>
        <w:tc>
          <w:tcPr>
            <w:tcW w:w="700" w:type="dxa"/>
            <w:vMerge/>
            <w:tcBorders>
              <w:top w:val="nil"/>
              <w:left w:val="single" w:sz="4" w:space="0" w:color="auto"/>
              <w:bottom w:val="single" w:sz="4" w:space="0" w:color="000000"/>
              <w:right w:val="single" w:sz="4" w:space="0" w:color="auto"/>
            </w:tcBorders>
            <w:vAlign w:val="center"/>
            <w:hideMark/>
          </w:tcPr>
          <w:p w14:paraId="498CD407"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5A209724"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64DB1254" w14:textId="77777777" w:rsidR="006A7A9F" w:rsidRPr="006A7A9F" w:rsidRDefault="006A7A9F" w:rsidP="006A7A9F">
            <w:pPr>
              <w:rPr>
                <w:rFonts w:ascii="Arial" w:eastAsia="Times New Roman" w:hAnsi="Arial" w:cs="Arial"/>
                <w:color w:val="000000"/>
                <w:sz w:val="14"/>
                <w:szCs w:val="14"/>
                <w:lang w:val="cs-CZ" w:eastAsia="cs-CZ"/>
              </w:rPr>
            </w:pPr>
          </w:p>
        </w:tc>
        <w:tc>
          <w:tcPr>
            <w:tcW w:w="2895" w:type="dxa"/>
            <w:vMerge/>
            <w:tcBorders>
              <w:top w:val="nil"/>
              <w:left w:val="single" w:sz="4" w:space="0" w:color="auto"/>
              <w:bottom w:val="single" w:sz="4" w:space="0" w:color="auto"/>
              <w:right w:val="single" w:sz="4" w:space="0" w:color="auto"/>
            </w:tcBorders>
            <w:vAlign w:val="center"/>
            <w:hideMark/>
          </w:tcPr>
          <w:p w14:paraId="435B1D7F" w14:textId="77777777" w:rsidR="006A7A9F" w:rsidRPr="006A7A9F" w:rsidRDefault="006A7A9F" w:rsidP="006A7A9F">
            <w:pPr>
              <w:rPr>
                <w:rFonts w:ascii="Arial" w:eastAsia="Times New Roman" w:hAnsi="Arial" w:cs="Arial"/>
                <w:color w:val="000000"/>
                <w:sz w:val="14"/>
                <w:szCs w:val="14"/>
                <w:lang w:val="cs-CZ" w:eastAsia="cs-CZ"/>
              </w:rPr>
            </w:pPr>
          </w:p>
        </w:tc>
        <w:tc>
          <w:tcPr>
            <w:tcW w:w="1053" w:type="dxa"/>
            <w:vMerge/>
            <w:tcBorders>
              <w:top w:val="nil"/>
              <w:left w:val="single" w:sz="4" w:space="0" w:color="auto"/>
              <w:bottom w:val="single" w:sz="4" w:space="0" w:color="auto"/>
              <w:right w:val="single" w:sz="4" w:space="0" w:color="auto"/>
            </w:tcBorders>
            <w:vAlign w:val="center"/>
            <w:hideMark/>
          </w:tcPr>
          <w:p w14:paraId="19876A14" w14:textId="77777777" w:rsidR="006A7A9F" w:rsidRPr="006A7A9F" w:rsidRDefault="006A7A9F" w:rsidP="006A7A9F">
            <w:pPr>
              <w:rPr>
                <w:rFonts w:ascii="Arial" w:eastAsia="Times New Roman" w:hAnsi="Arial" w:cs="Arial"/>
                <w:color w:val="000000"/>
                <w:sz w:val="14"/>
                <w:szCs w:val="14"/>
                <w:lang w:val="cs-CZ" w:eastAsia="cs-CZ"/>
              </w:rPr>
            </w:pPr>
          </w:p>
        </w:tc>
        <w:tc>
          <w:tcPr>
            <w:tcW w:w="2729" w:type="dxa"/>
            <w:vMerge/>
            <w:tcBorders>
              <w:top w:val="nil"/>
              <w:left w:val="single" w:sz="4" w:space="0" w:color="auto"/>
              <w:bottom w:val="single" w:sz="4" w:space="0" w:color="auto"/>
              <w:right w:val="single" w:sz="4" w:space="0" w:color="auto"/>
            </w:tcBorders>
            <w:vAlign w:val="center"/>
            <w:hideMark/>
          </w:tcPr>
          <w:p w14:paraId="7AFD4C0A"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625B2679" w14:textId="77777777" w:rsidR="006A7A9F" w:rsidRPr="006A7A9F" w:rsidRDefault="006A7A9F" w:rsidP="006A7A9F">
            <w:pPr>
              <w:rPr>
                <w:rFonts w:ascii="Arial" w:eastAsia="Times New Roman" w:hAnsi="Arial" w:cs="Arial"/>
                <w:color w:val="000000"/>
                <w:sz w:val="14"/>
                <w:szCs w:val="14"/>
                <w:lang w:val="cs-CZ" w:eastAsia="cs-CZ"/>
              </w:rPr>
            </w:pPr>
          </w:p>
        </w:tc>
        <w:tc>
          <w:tcPr>
            <w:tcW w:w="738" w:type="dxa"/>
            <w:vMerge/>
            <w:tcBorders>
              <w:top w:val="nil"/>
              <w:left w:val="single" w:sz="4" w:space="0" w:color="auto"/>
              <w:bottom w:val="single" w:sz="4" w:space="0" w:color="auto"/>
              <w:right w:val="single" w:sz="4" w:space="0" w:color="auto"/>
            </w:tcBorders>
            <w:vAlign w:val="center"/>
            <w:hideMark/>
          </w:tcPr>
          <w:p w14:paraId="5DDFE020" w14:textId="77777777" w:rsidR="006A7A9F" w:rsidRPr="006A7A9F" w:rsidRDefault="006A7A9F" w:rsidP="006A7A9F">
            <w:pPr>
              <w:rPr>
                <w:rFonts w:ascii="Arial" w:eastAsia="Times New Roman" w:hAnsi="Arial" w:cs="Arial"/>
                <w:color w:val="000000"/>
                <w:sz w:val="14"/>
                <w:szCs w:val="14"/>
                <w:lang w:val="cs-CZ" w:eastAsia="cs-CZ"/>
              </w:rPr>
            </w:pPr>
          </w:p>
        </w:tc>
        <w:tc>
          <w:tcPr>
            <w:tcW w:w="560" w:type="dxa"/>
            <w:tcBorders>
              <w:top w:val="nil"/>
              <w:left w:val="nil"/>
              <w:bottom w:val="single" w:sz="4" w:space="0" w:color="auto"/>
              <w:right w:val="single" w:sz="4" w:space="0" w:color="auto"/>
            </w:tcBorders>
            <w:shd w:val="clear" w:color="auto" w:fill="auto"/>
            <w:vAlign w:val="center"/>
            <w:hideMark/>
          </w:tcPr>
          <w:p w14:paraId="70A6023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2BB0DD7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3B2CE91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76" w:type="dxa"/>
            <w:tcBorders>
              <w:top w:val="nil"/>
              <w:left w:val="nil"/>
              <w:bottom w:val="single" w:sz="4" w:space="0" w:color="auto"/>
              <w:right w:val="single" w:sz="4" w:space="0" w:color="auto"/>
            </w:tcBorders>
            <w:shd w:val="clear" w:color="auto" w:fill="auto"/>
            <w:vAlign w:val="center"/>
            <w:hideMark/>
          </w:tcPr>
          <w:p w14:paraId="44F6B61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80" w:type="dxa"/>
            <w:tcBorders>
              <w:top w:val="nil"/>
              <w:left w:val="nil"/>
              <w:bottom w:val="single" w:sz="4" w:space="0" w:color="auto"/>
              <w:right w:val="single" w:sz="4" w:space="0" w:color="auto"/>
            </w:tcBorders>
            <w:shd w:val="clear" w:color="auto" w:fill="auto"/>
            <w:vAlign w:val="center"/>
            <w:hideMark/>
          </w:tcPr>
          <w:p w14:paraId="47B3E2E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1 624,000</w:t>
            </w:r>
          </w:p>
        </w:tc>
        <w:tc>
          <w:tcPr>
            <w:tcW w:w="564" w:type="dxa"/>
            <w:tcBorders>
              <w:top w:val="nil"/>
              <w:left w:val="nil"/>
              <w:bottom w:val="single" w:sz="4" w:space="0" w:color="auto"/>
              <w:right w:val="single" w:sz="4" w:space="0" w:color="auto"/>
            </w:tcBorders>
            <w:shd w:val="clear" w:color="auto" w:fill="auto"/>
            <w:vAlign w:val="center"/>
            <w:hideMark/>
          </w:tcPr>
          <w:p w14:paraId="5B137B6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742,000</w:t>
            </w:r>
          </w:p>
        </w:tc>
        <w:tc>
          <w:tcPr>
            <w:tcW w:w="560" w:type="dxa"/>
            <w:tcBorders>
              <w:top w:val="nil"/>
              <w:left w:val="nil"/>
              <w:bottom w:val="single" w:sz="4" w:space="0" w:color="auto"/>
              <w:right w:val="single" w:sz="4" w:space="0" w:color="auto"/>
            </w:tcBorders>
            <w:shd w:val="clear" w:color="auto" w:fill="auto"/>
            <w:vAlign w:val="center"/>
            <w:hideMark/>
          </w:tcPr>
          <w:p w14:paraId="1571D19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4A82906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DE9C31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BEEFC4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5" w:type="dxa"/>
            <w:tcBorders>
              <w:top w:val="nil"/>
              <w:left w:val="nil"/>
              <w:bottom w:val="single" w:sz="4" w:space="0" w:color="auto"/>
              <w:right w:val="single" w:sz="4" w:space="0" w:color="auto"/>
            </w:tcBorders>
            <w:shd w:val="clear" w:color="auto" w:fill="auto"/>
            <w:vAlign w:val="center"/>
            <w:hideMark/>
          </w:tcPr>
          <w:p w14:paraId="7A50702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2 366,000</w:t>
            </w:r>
          </w:p>
        </w:tc>
        <w:tc>
          <w:tcPr>
            <w:tcW w:w="700" w:type="dxa"/>
            <w:vMerge/>
            <w:tcBorders>
              <w:top w:val="nil"/>
              <w:left w:val="single" w:sz="4" w:space="0" w:color="auto"/>
              <w:bottom w:val="single" w:sz="4" w:space="0" w:color="000000"/>
              <w:right w:val="single" w:sz="4" w:space="0" w:color="auto"/>
            </w:tcBorders>
            <w:vAlign w:val="center"/>
            <w:hideMark/>
          </w:tcPr>
          <w:p w14:paraId="7AEC6661"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038BCAE1" w14:textId="77777777" w:rsidTr="007D24EE">
        <w:trPr>
          <w:trHeight w:val="20"/>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14:paraId="2F531C5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895" w:type="dxa"/>
            <w:vMerge w:val="restart"/>
            <w:tcBorders>
              <w:top w:val="nil"/>
              <w:left w:val="single" w:sz="4" w:space="0" w:color="auto"/>
              <w:bottom w:val="single" w:sz="4" w:space="0" w:color="auto"/>
              <w:right w:val="single" w:sz="4" w:space="0" w:color="auto"/>
            </w:tcBorders>
            <w:shd w:val="clear" w:color="auto" w:fill="auto"/>
            <w:vAlign w:val="center"/>
            <w:hideMark/>
          </w:tcPr>
          <w:p w14:paraId="227219E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14:paraId="0E58A1E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Více rozvinuté regiony</w:t>
            </w:r>
          </w:p>
        </w:tc>
        <w:tc>
          <w:tcPr>
            <w:tcW w:w="2729" w:type="dxa"/>
            <w:vMerge w:val="restart"/>
            <w:tcBorders>
              <w:top w:val="nil"/>
              <w:left w:val="single" w:sz="4" w:space="0" w:color="auto"/>
              <w:bottom w:val="single" w:sz="4" w:space="0" w:color="auto"/>
              <w:right w:val="single" w:sz="4" w:space="0" w:color="auto"/>
            </w:tcBorders>
            <w:shd w:val="clear" w:color="auto" w:fill="auto"/>
            <w:vAlign w:val="center"/>
            <w:hideMark/>
          </w:tcPr>
          <w:p w14:paraId="79475BA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hideMark/>
          </w:tcPr>
          <w:p w14:paraId="4194F05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38" w:type="dxa"/>
            <w:vMerge w:val="restart"/>
            <w:tcBorders>
              <w:top w:val="nil"/>
              <w:left w:val="single" w:sz="4" w:space="0" w:color="auto"/>
              <w:bottom w:val="single" w:sz="4" w:space="0" w:color="auto"/>
              <w:right w:val="single" w:sz="4" w:space="0" w:color="auto"/>
            </w:tcBorders>
            <w:shd w:val="clear" w:color="auto" w:fill="auto"/>
            <w:vAlign w:val="center"/>
            <w:hideMark/>
          </w:tcPr>
          <w:p w14:paraId="09D5E4A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2 317,000</w:t>
            </w:r>
          </w:p>
        </w:tc>
        <w:tc>
          <w:tcPr>
            <w:tcW w:w="5643" w:type="dxa"/>
            <w:gridSpan w:val="10"/>
            <w:tcBorders>
              <w:top w:val="single" w:sz="4" w:space="0" w:color="auto"/>
              <w:left w:val="nil"/>
              <w:bottom w:val="single" w:sz="4" w:space="0" w:color="auto"/>
              <w:right w:val="single" w:sz="4" w:space="0" w:color="000000"/>
            </w:tcBorders>
            <w:shd w:val="clear" w:color="auto" w:fill="auto"/>
            <w:vAlign w:val="center"/>
            <w:hideMark/>
          </w:tcPr>
          <w:p w14:paraId="6DB16501"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5" w:type="dxa"/>
            <w:tcBorders>
              <w:top w:val="nil"/>
              <w:left w:val="nil"/>
              <w:bottom w:val="single" w:sz="4" w:space="0" w:color="auto"/>
              <w:right w:val="single" w:sz="4" w:space="0" w:color="auto"/>
            </w:tcBorders>
            <w:shd w:val="clear" w:color="auto" w:fill="auto"/>
            <w:vAlign w:val="center"/>
            <w:hideMark/>
          </w:tcPr>
          <w:p w14:paraId="497CDA1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92,000</w:t>
            </w: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14:paraId="55C86306"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3,971</w:t>
            </w:r>
          </w:p>
        </w:tc>
      </w:tr>
      <w:tr w:rsidR="006A7A9F" w:rsidRPr="006A7A9F" w14:paraId="5EFE470F"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24F2CA38" w14:textId="77777777" w:rsidR="006A7A9F" w:rsidRPr="006A7A9F" w:rsidRDefault="006A7A9F" w:rsidP="006A7A9F">
            <w:pPr>
              <w:rPr>
                <w:rFonts w:ascii="Arial" w:eastAsia="Times New Roman" w:hAnsi="Arial" w:cs="Arial"/>
                <w:color w:val="000000"/>
                <w:sz w:val="14"/>
                <w:szCs w:val="14"/>
                <w:lang w:val="cs-CZ" w:eastAsia="cs-CZ"/>
              </w:rPr>
            </w:pPr>
          </w:p>
        </w:tc>
        <w:tc>
          <w:tcPr>
            <w:tcW w:w="2895" w:type="dxa"/>
            <w:vMerge/>
            <w:tcBorders>
              <w:top w:val="nil"/>
              <w:left w:val="single" w:sz="4" w:space="0" w:color="auto"/>
              <w:bottom w:val="single" w:sz="4" w:space="0" w:color="auto"/>
              <w:right w:val="single" w:sz="4" w:space="0" w:color="auto"/>
            </w:tcBorders>
            <w:vAlign w:val="center"/>
            <w:hideMark/>
          </w:tcPr>
          <w:p w14:paraId="11448DD4" w14:textId="77777777" w:rsidR="006A7A9F" w:rsidRPr="006A7A9F" w:rsidRDefault="006A7A9F" w:rsidP="006A7A9F">
            <w:pPr>
              <w:rPr>
                <w:rFonts w:ascii="Arial" w:eastAsia="Times New Roman" w:hAnsi="Arial" w:cs="Arial"/>
                <w:color w:val="000000"/>
                <w:sz w:val="14"/>
                <w:szCs w:val="14"/>
                <w:lang w:val="cs-CZ" w:eastAsia="cs-CZ"/>
              </w:rPr>
            </w:pPr>
          </w:p>
        </w:tc>
        <w:tc>
          <w:tcPr>
            <w:tcW w:w="1053" w:type="dxa"/>
            <w:vMerge/>
            <w:tcBorders>
              <w:top w:val="nil"/>
              <w:left w:val="single" w:sz="4" w:space="0" w:color="auto"/>
              <w:bottom w:val="single" w:sz="4" w:space="0" w:color="auto"/>
              <w:right w:val="single" w:sz="4" w:space="0" w:color="auto"/>
            </w:tcBorders>
            <w:vAlign w:val="center"/>
            <w:hideMark/>
          </w:tcPr>
          <w:p w14:paraId="0E01BC6F" w14:textId="77777777" w:rsidR="006A7A9F" w:rsidRPr="006A7A9F" w:rsidRDefault="006A7A9F" w:rsidP="006A7A9F">
            <w:pPr>
              <w:rPr>
                <w:rFonts w:ascii="Arial" w:eastAsia="Times New Roman" w:hAnsi="Arial" w:cs="Arial"/>
                <w:color w:val="000000"/>
                <w:sz w:val="14"/>
                <w:szCs w:val="14"/>
                <w:lang w:val="cs-CZ" w:eastAsia="cs-CZ"/>
              </w:rPr>
            </w:pPr>
          </w:p>
        </w:tc>
        <w:tc>
          <w:tcPr>
            <w:tcW w:w="2729" w:type="dxa"/>
            <w:vMerge/>
            <w:tcBorders>
              <w:top w:val="nil"/>
              <w:left w:val="single" w:sz="4" w:space="0" w:color="auto"/>
              <w:bottom w:val="single" w:sz="4" w:space="0" w:color="auto"/>
              <w:right w:val="single" w:sz="4" w:space="0" w:color="auto"/>
            </w:tcBorders>
            <w:vAlign w:val="center"/>
            <w:hideMark/>
          </w:tcPr>
          <w:p w14:paraId="73A6AD90"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5C5D52D7" w14:textId="77777777" w:rsidR="006A7A9F" w:rsidRPr="006A7A9F" w:rsidRDefault="006A7A9F" w:rsidP="006A7A9F">
            <w:pPr>
              <w:rPr>
                <w:rFonts w:ascii="Arial" w:eastAsia="Times New Roman" w:hAnsi="Arial" w:cs="Arial"/>
                <w:color w:val="000000"/>
                <w:sz w:val="14"/>
                <w:szCs w:val="14"/>
                <w:lang w:val="cs-CZ" w:eastAsia="cs-CZ"/>
              </w:rPr>
            </w:pPr>
          </w:p>
        </w:tc>
        <w:tc>
          <w:tcPr>
            <w:tcW w:w="738" w:type="dxa"/>
            <w:vMerge/>
            <w:tcBorders>
              <w:top w:val="nil"/>
              <w:left w:val="single" w:sz="4" w:space="0" w:color="auto"/>
              <w:bottom w:val="single" w:sz="4" w:space="0" w:color="auto"/>
              <w:right w:val="single" w:sz="4" w:space="0" w:color="auto"/>
            </w:tcBorders>
            <w:vAlign w:val="center"/>
            <w:hideMark/>
          </w:tcPr>
          <w:p w14:paraId="033FE0BE" w14:textId="77777777" w:rsidR="006A7A9F" w:rsidRPr="006A7A9F" w:rsidRDefault="006A7A9F" w:rsidP="006A7A9F">
            <w:pPr>
              <w:rPr>
                <w:rFonts w:ascii="Arial" w:eastAsia="Times New Roman" w:hAnsi="Arial" w:cs="Arial"/>
                <w:color w:val="000000"/>
                <w:sz w:val="14"/>
                <w:szCs w:val="14"/>
                <w:lang w:val="cs-CZ" w:eastAsia="cs-CZ"/>
              </w:rPr>
            </w:pPr>
          </w:p>
        </w:tc>
        <w:tc>
          <w:tcPr>
            <w:tcW w:w="560" w:type="dxa"/>
            <w:tcBorders>
              <w:top w:val="nil"/>
              <w:left w:val="nil"/>
              <w:bottom w:val="single" w:sz="4" w:space="0" w:color="auto"/>
              <w:right w:val="single" w:sz="4" w:space="0" w:color="auto"/>
            </w:tcBorders>
            <w:shd w:val="clear" w:color="auto" w:fill="auto"/>
            <w:vAlign w:val="center"/>
            <w:hideMark/>
          </w:tcPr>
          <w:p w14:paraId="449D9C4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6D8260E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3DCBBB4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76" w:type="dxa"/>
            <w:tcBorders>
              <w:top w:val="nil"/>
              <w:left w:val="nil"/>
              <w:bottom w:val="single" w:sz="4" w:space="0" w:color="auto"/>
              <w:right w:val="single" w:sz="4" w:space="0" w:color="auto"/>
            </w:tcBorders>
            <w:shd w:val="clear" w:color="auto" w:fill="auto"/>
            <w:vAlign w:val="center"/>
            <w:hideMark/>
          </w:tcPr>
          <w:p w14:paraId="4BDD8D4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80" w:type="dxa"/>
            <w:tcBorders>
              <w:top w:val="nil"/>
              <w:left w:val="nil"/>
              <w:bottom w:val="single" w:sz="4" w:space="0" w:color="auto"/>
              <w:right w:val="single" w:sz="4" w:space="0" w:color="auto"/>
            </w:tcBorders>
            <w:shd w:val="clear" w:color="auto" w:fill="auto"/>
            <w:vAlign w:val="center"/>
            <w:hideMark/>
          </w:tcPr>
          <w:p w14:paraId="0D80E25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21,000</w:t>
            </w:r>
          </w:p>
        </w:tc>
        <w:tc>
          <w:tcPr>
            <w:tcW w:w="564" w:type="dxa"/>
            <w:tcBorders>
              <w:top w:val="nil"/>
              <w:left w:val="nil"/>
              <w:bottom w:val="single" w:sz="4" w:space="0" w:color="auto"/>
              <w:right w:val="single" w:sz="4" w:space="0" w:color="auto"/>
            </w:tcBorders>
            <w:shd w:val="clear" w:color="auto" w:fill="auto"/>
            <w:vAlign w:val="center"/>
            <w:hideMark/>
          </w:tcPr>
          <w:p w14:paraId="2478C4E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19,000</w:t>
            </w:r>
          </w:p>
        </w:tc>
        <w:tc>
          <w:tcPr>
            <w:tcW w:w="560" w:type="dxa"/>
            <w:tcBorders>
              <w:top w:val="nil"/>
              <w:left w:val="nil"/>
              <w:bottom w:val="single" w:sz="4" w:space="0" w:color="auto"/>
              <w:right w:val="single" w:sz="4" w:space="0" w:color="auto"/>
            </w:tcBorders>
            <w:shd w:val="clear" w:color="auto" w:fill="auto"/>
            <w:vAlign w:val="center"/>
            <w:hideMark/>
          </w:tcPr>
          <w:p w14:paraId="4826B7D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1066CE5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3063A9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3102970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5" w:type="dxa"/>
            <w:tcBorders>
              <w:top w:val="nil"/>
              <w:left w:val="nil"/>
              <w:bottom w:val="single" w:sz="4" w:space="0" w:color="auto"/>
              <w:right w:val="single" w:sz="4" w:space="0" w:color="auto"/>
            </w:tcBorders>
            <w:shd w:val="clear" w:color="auto" w:fill="auto"/>
            <w:vAlign w:val="center"/>
            <w:hideMark/>
          </w:tcPr>
          <w:p w14:paraId="4B69087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40,000</w:t>
            </w:r>
          </w:p>
        </w:tc>
        <w:tc>
          <w:tcPr>
            <w:tcW w:w="700" w:type="dxa"/>
            <w:vMerge/>
            <w:tcBorders>
              <w:top w:val="nil"/>
              <w:left w:val="single" w:sz="4" w:space="0" w:color="auto"/>
              <w:bottom w:val="single" w:sz="4" w:space="0" w:color="000000"/>
              <w:right w:val="single" w:sz="4" w:space="0" w:color="auto"/>
            </w:tcBorders>
            <w:vAlign w:val="center"/>
            <w:hideMark/>
          </w:tcPr>
          <w:p w14:paraId="1777838C"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5AA7E0AB"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5BF8E2F0" w14:textId="77777777" w:rsidR="006A7A9F" w:rsidRPr="006A7A9F" w:rsidRDefault="006A7A9F" w:rsidP="006A7A9F">
            <w:pPr>
              <w:rPr>
                <w:rFonts w:ascii="Arial" w:eastAsia="Times New Roman" w:hAnsi="Arial" w:cs="Arial"/>
                <w:color w:val="000000"/>
                <w:sz w:val="14"/>
                <w:szCs w:val="14"/>
                <w:lang w:val="cs-CZ" w:eastAsia="cs-CZ"/>
              </w:rPr>
            </w:pPr>
          </w:p>
        </w:tc>
        <w:tc>
          <w:tcPr>
            <w:tcW w:w="2895" w:type="dxa"/>
            <w:vMerge/>
            <w:tcBorders>
              <w:top w:val="nil"/>
              <w:left w:val="single" w:sz="4" w:space="0" w:color="auto"/>
              <w:bottom w:val="single" w:sz="4" w:space="0" w:color="auto"/>
              <w:right w:val="single" w:sz="4" w:space="0" w:color="auto"/>
            </w:tcBorders>
            <w:vAlign w:val="center"/>
            <w:hideMark/>
          </w:tcPr>
          <w:p w14:paraId="7626FEE1" w14:textId="77777777" w:rsidR="006A7A9F" w:rsidRPr="006A7A9F" w:rsidRDefault="006A7A9F" w:rsidP="006A7A9F">
            <w:pPr>
              <w:rPr>
                <w:rFonts w:ascii="Arial" w:eastAsia="Times New Roman" w:hAnsi="Arial" w:cs="Arial"/>
                <w:color w:val="000000"/>
                <w:sz w:val="14"/>
                <w:szCs w:val="14"/>
                <w:lang w:val="cs-CZ" w:eastAsia="cs-CZ"/>
              </w:rPr>
            </w:pPr>
          </w:p>
        </w:tc>
        <w:tc>
          <w:tcPr>
            <w:tcW w:w="1053" w:type="dxa"/>
            <w:vMerge/>
            <w:tcBorders>
              <w:top w:val="nil"/>
              <w:left w:val="single" w:sz="4" w:space="0" w:color="auto"/>
              <w:bottom w:val="single" w:sz="4" w:space="0" w:color="auto"/>
              <w:right w:val="single" w:sz="4" w:space="0" w:color="auto"/>
            </w:tcBorders>
            <w:vAlign w:val="center"/>
            <w:hideMark/>
          </w:tcPr>
          <w:p w14:paraId="510CFAF1" w14:textId="77777777" w:rsidR="006A7A9F" w:rsidRPr="006A7A9F" w:rsidRDefault="006A7A9F" w:rsidP="006A7A9F">
            <w:pPr>
              <w:rPr>
                <w:rFonts w:ascii="Arial" w:eastAsia="Times New Roman" w:hAnsi="Arial" w:cs="Arial"/>
                <w:color w:val="000000"/>
                <w:sz w:val="14"/>
                <w:szCs w:val="14"/>
                <w:lang w:val="cs-CZ" w:eastAsia="cs-CZ"/>
              </w:rPr>
            </w:pPr>
          </w:p>
        </w:tc>
        <w:tc>
          <w:tcPr>
            <w:tcW w:w="2729" w:type="dxa"/>
            <w:vMerge/>
            <w:tcBorders>
              <w:top w:val="nil"/>
              <w:left w:val="single" w:sz="4" w:space="0" w:color="auto"/>
              <w:bottom w:val="single" w:sz="4" w:space="0" w:color="auto"/>
              <w:right w:val="single" w:sz="4" w:space="0" w:color="auto"/>
            </w:tcBorders>
            <w:vAlign w:val="center"/>
            <w:hideMark/>
          </w:tcPr>
          <w:p w14:paraId="7A03DD78"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01543058" w14:textId="77777777" w:rsidR="006A7A9F" w:rsidRPr="006A7A9F" w:rsidRDefault="006A7A9F" w:rsidP="006A7A9F">
            <w:pPr>
              <w:rPr>
                <w:rFonts w:ascii="Arial" w:eastAsia="Times New Roman" w:hAnsi="Arial" w:cs="Arial"/>
                <w:color w:val="000000"/>
                <w:sz w:val="14"/>
                <w:szCs w:val="14"/>
                <w:lang w:val="cs-CZ" w:eastAsia="cs-CZ"/>
              </w:rPr>
            </w:pPr>
          </w:p>
        </w:tc>
        <w:tc>
          <w:tcPr>
            <w:tcW w:w="738" w:type="dxa"/>
            <w:vMerge/>
            <w:tcBorders>
              <w:top w:val="nil"/>
              <w:left w:val="single" w:sz="4" w:space="0" w:color="auto"/>
              <w:bottom w:val="single" w:sz="4" w:space="0" w:color="auto"/>
              <w:right w:val="single" w:sz="4" w:space="0" w:color="auto"/>
            </w:tcBorders>
            <w:vAlign w:val="center"/>
            <w:hideMark/>
          </w:tcPr>
          <w:p w14:paraId="15CF5B3D" w14:textId="77777777" w:rsidR="006A7A9F" w:rsidRPr="006A7A9F" w:rsidRDefault="006A7A9F" w:rsidP="006A7A9F">
            <w:pPr>
              <w:rPr>
                <w:rFonts w:ascii="Arial" w:eastAsia="Times New Roman" w:hAnsi="Arial" w:cs="Arial"/>
                <w:color w:val="000000"/>
                <w:sz w:val="14"/>
                <w:szCs w:val="14"/>
                <w:lang w:val="cs-CZ" w:eastAsia="cs-CZ"/>
              </w:rPr>
            </w:pPr>
          </w:p>
        </w:tc>
        <w:tc>
          <w:tcPr>
            <w:tcW w:w="560" w:type="dxa"/>
            <w:tcBorders>
              <w:top w:val="nil"/>
              <w:left w:val="nil"/>
              <w:bottom w:val="single" w:sz="4" w:space="0" w:color="auto"/>
              <w:right w:val="single" w:sz="4" w:space="0" w:color="auto"/>
            </w:tcBorders>
            <w:shd w:val="clear" w:color="auto" w:fill="auto"/>
            <w:vAlign w:val="center"/>
            <w:hideMark/>
          </w:tcPr>
          <w:p w14:paraId="4EEC00A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4EE14B8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341ABE1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76" w:type="dxa"/>
            <w:tcBorders>
              <w:top w:val="nil"/>
              <w:left w:val="nil"/>
              <w:bottom w:val="single" w:sz="4" w:space="0" w:color="auto"/>
              <w:right w:val="single" w:sz="4" w:space="0" w:color="auto"/>
            </w:tcBorders>
            <w:shd w:val="clear" w:color="auto" w:fill="auto"/>
            <w:vAlign w:val="center"/>
            <w:hideMark/>
          </w:tcPr>
          <w:p w14:paraId="00FBB94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80" w:type="dxa"/>
            <w:tcBorders>
              <w:top w:val="nil"/>
              <w:left w:val="nil"/>
              <w:bottom w:val="single" w:sz="4" w:space="0" w:color="auto"/>
              <w:right w:val="single" w:sz="4" w:space="0" w:color="auto"/>
            </w:tcBorders>
            <w:shd w:val="clear" w:color="auto" w:fill="auto"/>
            <w:vAlign w:val="center"/>
            <w:hideMark/>
          </w:tcPr>
          <w:p w14:paraId="540067E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30,000</w:t>
            </w:r>
          </w:p>
        </w:tc>
        <w:tc>
          <w:tcPr>
            <w:tcW w:w="564" w:type="dxa"/>
            <w:tcBorders>
              <w:top w:val="nil"/>
              <w:left w:val="nil"/>
              <w:bottom w:val="single" w:sz="4" w:space="0" w:color="auto"/>
              <w:right w:val="single" w:sz="4" w:space="0" w:color="auto"/>
            </w:tcBorders>
            <w:shd w:val="clear" w:color="auto" w:fill="auto"/>
            <w:vAlign w:val="center"/>
            <w:hideMark/>
          </w:tcPr>
          <w:p w14:paraId="2E9E29B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22,000</w:t>
            </w:r>
          </w:p>
        </w:tc>
        <w:tc>
          <w:tcPr>
            <w:tcW w:w="560" w:type="dxa"/>
            <w:tcBorders>
              <w:top w:val="nil"/>
              <w:left w:val="nil"/>
              <w:bottom w:val="single" w:sz="4" w:space="0" w:color="auto"/>
              <w:right w:val="single" w:sz="4" w:space="0" w:color="auto"/>
            </w:tcBorders>
            <w:shd w:val="clear" w:color="auto" w:fill="auto"/>
            <w:vAlign w:val="center"/>
            <w:hideMark/>
          </w:tcPr>
          <w:p w14:paraId="04B2090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3D11EF7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741CADD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B4572B0"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5" w:type="dxa"/>
            <w:tcBorders>
              <w:top w:val="nil"/>
              <w:left w:val="nil"/>
              <w:bottom w:val="single" w:sz="4" w:space="0" w:color="auto"/>
              <w:right w:val="single" w:sz="4" w:space="0" w:color="auto"/>
            </w:tcBorders>
            <w:shd w:val="clear" w:color="auto" w:fill="auto"/>
            <w:vAlign w:val="center"/>
            <w:hideMark/>
          </w:tcPr>
          <w:p w14:paraId="024D874F" w14:textId="6BB98BCE"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52,000</w:t>
            </w:r>
          </w:p>
        </w:tc>
        <w:tc>
          <w:tcPr>
            <w:tcW w:w="700" w:type="dxa"/>
            <w:vMerge/>
            <w:tcBorders>
              <w:top w:val="nil"/>
              <w:left w:val="single" w:sz="4" w:space="0" w:color="auto"/>
              <w:bottom w:val="single" w:sz="4" w:space="0" w:color="000000"/>
              <w:right w:val="single" w:sz="4" w:space="0" w:color="auto"/>
            </w:tcBorders>
            <w:vAlign w:val="center"/>
            <w:hideMark/>
          </w:tcPr>
          <w:p w14:paraId="734C8C1B" w14:textId="77777777" w:rsidR="006A7A9F" w:rsidRPr="006A7A9F" w:rsidRDefault="006A7A9F" w:rsidP="006A7A9F">
            <w:pPr>
              <w:rPr>
                <w:rFonts w:ascii="Arial" w:eastAsia="Times New Roman" w:hAnsi="Arial" w:cs="Arial"/>
                <w:color w:val="000000"/>
                <w:sz w:val="14"/>
                <w:szCs w:val="14"/>
                <w:lang w:val="cs-CZ" w:eastAsia="cs-CZ"/>
              </w:rPr>
            </w:pPr>
          </w:p>
        </w:tc>
      </w:tr>
    </w:tbl>
    <w:p w14:paraId="3CAA2B01" w14:textId="77777777" w:rsidR="00541D74" w:rsidRPr="002F2BE4" w:rsidRDefault="00541D74" w:rsidP="00FD35AB">
      <w:pPr>
        <w:keepNext/>
        <w:ind w:left="115" w:right="106"/>
        <w:jc w:val="both"/>
        <w:rPr>
          <w:rFonts w:ascii="Arial" w:eastAsia="Arial" w:hAnsi="Arial" w:cs="Arial"/>
          <w:color w:val="000000"/>
          <w:sz w:val="20"/>
          <w:lang w:val="cs-CZ"/>
        </w:rPr>
      </w:pPr>
    </w:p>
    <w:p w14:paraId="57262939" w14:textId="50E857C6" w:rsidR="007D24EE" w:rsidRPr="00BC5BB6" w:rsidRDefault="00FD35AB" w:rsidP="00BC5BB6">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48C7AF60" w14:textId="77777777" w:rsidR="007D24EE" w:rsidRPr="002F2BE4" w:rsidRDefault="007D24EE" w:rsidP="007D24EE">
      <w:pPr>
        <w:ind w:left="113" w:right="108"/>
        <w:jc w:val="both"/>
        <w:rPr>
          <w:rFonts w:ascii="Arial" w:eastAsia="Arial" w:hAnsi="Arial" w:cs="Arial"/>
          <w:color w:val="000000"/>
          <w:sz w:val="20"/>
          <w:lang w:val="cs-CZ"/>
        </w:rPr>
      </w:pPr>
    </w:p>
    <w:p w14:paraId="7E2E3786"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03.2.65 Strategie komunitně vedeného místního rozvoje</w:t>
      </w:r>
    </w:p>
    <w:tbl>
      <w:tblPr>
        <w:tblW w:w="15880" w:type="dxa"/>
        <w:tblInd w:w="75" w:type="dxa"/>
        <w:tblCellMar>
          <w:left w:w="70" w:type="dxa"/>
          <w:right w:w="70" w:type="dxa"/>
        </w:tblCellMar>
        <w:tblLook w:val="04A0" w:firstRow="1" w:lastRow="0" w:firstColumn="1" w:lastColumn="0" w:noHBand="0" w:noVBand="1"/>
      </w:tblPr>
      <w:tblGrid>
        <w:gridCol w:w="530"/>
        <w:gridCol w:w="2694"/>
        <w:gridCol w:w="1022"/>
        <w:gridCol w:w="2579"/>
        <w:gridCol w:w="771"/>
        <w:gridCol w:w="887"/>
        <w:gridCol w:w="554"/>
        <w:gridCol w:w="554"/>
        <w:gridCol w:w="554"/>
        <w:gridCol w:w="554"/>
        <w:gridCol w:w="569"/>
        <w:gridCol w:w="569"/>
        <w:gridCol w:w="549"/>
        <w:gridCol w:w="549"/>
        <w:gridCol w:w="549"/>
        <w:gridCol w:w="551"/>
        <w:gridCol w:w="1004"/>
        <w:gridCol w:w="841"/>
      </w:tblGrid>
      <w:tr w:rsidR="006A7A9F" w:rsidRPr="006A7A9F" w14:paraId="64E301D8" w14:textId="77777777" w:rsidTr="007D24EE">
        <w:trPr>
          <w:trHeight w:val="20"/>
          <w:tblHeader/>
        </w:trPr>
        <w:tc>
          <w:tcPr>
            <w:tcW w:w="5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A0BA9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ID</w:t>
            </w:r>
          </w:p>
        </w:tc>
        <w:tc>
          <w:tcPr>
            <w:tcW w:w="28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23E62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Indikátor</w:t>
            </w:r>
          </w:p>
        </w:tc>
        <w:tc>
          <w:tcPr>
            <w:tcW w:w="10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40A30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Kategorie regionu</w:t>
            </w:r>
          </w:p>
        </w:tc>
        <w:tc>
          <w:tcPr>
            <w:tcW w:w="2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BB4D5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Společný indikátor výstupů použitý jako základ pro stanovení cíle</w:t>
            </w:r>
          </w:p>
        </w:tc>
        <w:tc>
          <w:tcPr>
            <w:tcW w:w="7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692B78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Měrná jednotka pro výchozí hodnotu a cíl</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96B2D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Cílová hodnota (2023) (Rozdělení podle pohlaví je pro cíl nepovinné)</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3157E05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2014</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134705D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2015</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26B6AE9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2016</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4955A3C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2017</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75784AC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2018</w:t>
            </w:r>
          </w:p>
        </w:tc>
        <w:tc>
          <w:tcPr>
            <w:tcW w:w="563" w:type="dxa"/>
            <w:tcBorders>
              <w:top w:val="single" w:sz="4" w:space="0" w:color="auto"/>
              <w:left w:val="nil"/>
              <w:bottom w:val="single" w:sz="4" w:space="0" w:color="auto"/>
              <w:right w:val="single" w:sz="4" w:space="0" w:color="auto"/>
            </w:tcBorders>
            <w:shd w:val="clear" w:color="auto" w:fill="auto"/>
            <w:vAlign w:val="center"/>
            <w:hideMark/>
          </w:tcPr>
          <w:p w14:paraId="22DA87F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2019</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349E10E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2020</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2EFC2EE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2021</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1BA0802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2022</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77622EE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2023</w:t>
            </w:r>
          </w:p>
        </w:tc>
        <w:tc>
          <w:tcPr>
            <w:tcW w:w="838" w:type="dxa"/>
            <w:tcBorders>
              <w:top w:val="single" w:sz="4" w:space="0" w:color="auto"/>
              <w:left w:val="nil"/>
              <w:bottom w:val="single" w:sz="4" w:space="0" w:color="auto"/>
              <w:right w:val="single" w:sz="4" w:space="0" w:color="auto"/>
            </w:tcBorders>
            <w:shd w:val="clear" w:color="auto" w:fill="auto"/>
            <w:vAlign w:val="center"/>
            <w:hideMark/>
          </w:tcPr>
          <w:p w14:paraId="0CADB3E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Kumulativní hodnota (vypočítána automaticky)</w:t>
            </w:r>
          </w:p>
        </w:tc>
        <w:tc>
          <w:tcPr>
            <w:tcW w:w="7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DC4F8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Míra splnění Rozdělení podle pohlaví je nepovinné</w:t>
            </w:r>
          </w:p>
        </w:tc>
      </w:tr>
      <w:tr w:rsidR="006A7A9F" w:rsidRPr="006A7A9F" w14:paraId="0FFB3B39" w14:textId="77777777" w:rsidTr="007D24EE">
        <w:trPr>
          <w:trHeight w:val="20"/>
          <w:tblHeader/>
        </w:trPr>
        <w:tc>
          <w:tcPr>
            <w:tcW w:w="528" w:type="dxa"/>
            <w:vMerge/>
            <w:tcBorders>
              <w:top w:val="single" w:sz="4" w:space="0" w:color="auto"/>
              <w:left w:val="single" w:sz="4" w:space="0" w:color="auto"/>
              <w:bottom w:val="single" w:sz="4" w:space="0" w:color="000000"/>
              <w:right w:val="single" w:sz="4" w:space="0" w:color="auto"/>
            </w:tcBorders>
            <w:vAlign w:val="center"/>
            <w:hideMark/>
          </w:tcPr>
          <w:p w14:paraId="73CAB094" w14:textId="77777777" w:rsidR="006A7A9F" w:rsidRPr="006A7A9F" w:rsidRDefault="006A7A9F" w:rsidP="006A7A9F">
            <w:pPr>
              <w:rPr>
                <w:rFonts w:ascii="Arial" w:eastAsia="Times New Roman" w:hAnsi="Arial" w:cs="Arial"/>
                <w:b/>
                <w:bCs/>
                <w:color w:val="000000"/>
                <w:sz w:val="14"/>
                <w:szCs w:val="14"/>
                <w:lang w:val="cs-CZ" w:eastAsia="cs-CZ"/>
              </w:rPr>
            </w:pPr>
          </w:p>
        </w:tc>
        <w:tc>
          <w:tcPr>
            <w:tcW w:w="2892" w:type="dxa"/>
            <w:vMerge/>
            <w:tcBorders>
              <w:top w:val="single" w:sz="4" w:space="0" w:color="auto"/>
              <w:left w:val="single" w:sz="4" w:space="0" w:color="auto"/>
              <w:bottom w:val="single" w:sz="4" w:space="0" w:color="000000"/>
              <w:right w:val="single" w:sz="4" w:space="0" w:color="auto"/>
            </w:tcBorders>
            <w:vAlign w:val="center"/>
            <w:hideMark/>
          </w:tcPr>
          <w:p w14:paraId="41E51A4C" w14:textId="77777777" w:rsidR="006A7A9F" w:rsidRPr="006A7A9F" w:rsidRDefault="006A7A9F" w:rsidP="006A7A9F">
            <w:pPr>
              <w:rPr>
                <w:rFonts w:ascii="Arial" w:eastAsia="Times New Roman" w:hAnsi="Arial" w:cs="Arial"/>
                <w:b/>
                <w:bCs/>
                <w:color w:val="000000"/>
                <w:sz w:val="14"/>
                <w:szCs w:val="14"/>
                <w:lang w:val="cs-CZ" w:eastAsia="cs-CZ"/>
              </w:rPr>
            </w:pPr>
          </w:p>
        </w:tc>
        <w:tc>
          <w:tcPr>
            <w:tcW w:w="1051" w:type="dxa"/>
            <w:vMerge/>
            <w:tcBorders>
              <w:top w:val="single" w:sz="4" w:space="0" w:color="auto"/>
              <w:left w:val="single" w:sz="4" w:space="0" w:color="auto"/>
              <w:bottom w:val="single" w:sz="4" w:space="0" w:color="000000"/>
              <w:right w:val="single" w:sz="4" w:space="0" w:color="auto"/>
            </w:tcBorders>
            <w:vAlign w:val="center"/>
            <w:hideMark/>
          </w:tcPr>
          <w:p w14:paraId="0D2EAB41" w14:textId="77777777" w:rsidR="006A7A9F" w:rsidRPr="006A7A9F" w:rsidRDefault="006A7A9F" w:rsidP="006A7A9F">
            <w:pPr>
              <w:rPr>
                <w:rFonts w:ascii="Arial" w:eastAsia="Times New Roman" w:hAnsi="Arial" w:cs="Arial"/>
                <w:b/>
                <w:bCs/>
                <w:color w:val="000000"/>
                <w:sz w:val="14"/>
                <w:szCs w:val="14"/>
                <w:lang w:val="cs-CZ" w:eastAsia="cs-CZ"/>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14:paraId="526CA7B1" w14:textId="77777777" w:rsidR="006A7A9F" w:rsidRPr="006A7A9F" w:rsidRDefault="006A7A9F" w:rsidP="006A7A9F">
            <w:pPr>
              <w:rPr>
                <w:rFonts w:ascii="Arial" w:eastAsia="Times New Roman" w:hAnsi="Arial" w:cs="Arial"/>
                <w:b/>
                <w:bCs/>
                <w:color w:val="000000"/>
                <w:sz w:val="14"/>
                <w:szCs w:val="14"/>
                <w:lang w:val="cs-CZ" w:eastAsia="cs-CZ"/>
              </w:rPr>
            </w:pPr>
          </w:p>
        </w:tc>
        <w:tc>
          <w:tcPr>
            <w:tcW w:w="777" w:type="dxa"/>
            <w:vMerge/>
            <w:tcBorders>
              <w:top w:val="single" w:sz="4" w:space="0" w:color="auto"/>
              <w:left w:val="single" w:sz="4" w:space="0" w:color="auto"/>
              <w:bottom w:val="single" w:sz="4" w:space="0" w:color="000000"/>
              <w:right w:val="single" w:sz="4" w:space="0" w:color="auto"/>
            </w:tcBorders>
            <w:vAlign w:val="center"/>
            <w:hideMark/>
          </w:tcPr>
          <w:p w14:paraId="2D6A0B4B" w14:textId="77777777" w:rsidR="006A7A9F" w:rsidRPr="006A7A9F" w:rsidRDefault="006A7A9F" w:rsidP="006A7A9F">
            <w:pPr>
              <w:rPr>
                <w:rFonts w:ascii="Arial" w:eastAsia="Times New Roman" w:hAnsi="Arial" w:cs="Arial"/>
                <w:b/>
                <w:bCs/>
                <w:color w:val="000000"/>
                <w:sz w:val="14"/>
                <w:szCs w:val="14"/>
                <w:lang w:val="cs-CZ" w:eastAsia="cs-CZ"/>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14:paraId="583FF57D"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3" w:type="dxa"/>
            <w:gridSpan w:val="10"/>
            <w:tcBorders>
              <w:top w:val="single" w:sz="4" w:space="0" w:color="auto"/>
              <w:left w:val="nil"/>
              <w:bottom w:val="single" w:sz="4" w:space="0" w:color="auto"/>
              <w:right w:val="single" w:sz="4" w:space="0" w:color="000000"/>
            </w:tcBorders>
            <w:shd w:val="clear" w:color="auto" w:fill="auto"/>
            <w:vAlign w:val="center"/>
            <w:hideMark/>
          </w:tcPr>
          <w:p w14:paraId="28B9B3E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Roční hodnota</w:t>
            </w:r>
          </w:p>
        </w:tc>
        <w:tc>
          <w:tcPr>
            <w:tcW w:w="838" w:type="dxa"/>
            <w:tcBorders>
              <w:top w:val="nil"/>
              <w:left w:val="nil"/>
              <w:bottom w:val="single" w:sz="4" w:space="0" w:color="auto"/>
              <w:right w:val="single" w:sz="4" w:space="0" w:color="auto"/>
            </w:tcBorders>
            <w:shd w:val="clear" w:color="auto" w:fill="auto"/>
            <w:vAlign w:val="center"/>
            <w:hideMark/>
          </w:tcPr>
          <w:p w14:paraId="773833B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Celkem</w:t>
            </w:r>
          </w:p>
        </w:tc>
        <w:tc>
          <w:tcPr>
            <w:tcW w:w="702" w:type="dxa"/>
            <w:vMerge/>
            <w:tcBorders>
              <w:top w:val="single" w:sz="4" w:space="0" w:color="auto"/>
              <w:left w:val="single" w:sz="4" w:space="0" w:color="auto"/>
              <w:bottom w:val="single" w:sz="4" w:space="0" w:color="000000"/>
              <w:right w:val="single" w:sz="4" w:space="0" w:color="auto"/>
            </w:tcBorders>
            <w:vAlign w:val="center"/>
            <w:hideMark/>
          </w:tcPr>
          <w:p w14:paraId="422491D4"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3F903387" w14:textId="77777777" w:rsidTr="007D24EE">
        <w:trPr>
          <w:trHeight w:val="20"/>
          <w:tblHeader/>
        </w:trPr>
        <w:tc>
          <w:tcPr>
            <w:tcW w:w="528" w:type="dxa"/>
            <w:vMerge/>
            <w:tcBorders>
              <w:top w:val="single" w:sz="4" w:space="0" w:color="auto"/>
              <w:left w:val="single" w:sz="4" w:space="0" w:color="auto"/>
              <w:bottom w:val="single" w:sz="4" w:space="0" w:color="000000"/>
              <w:right w:val="single" w:sz="4" w:space="0" w:color="auto"/>
            </w:tcBorders>
            <w:vAlign w:val="center"/>
            <w:hideMark/>
          </w:tcPr>
          <w:p w14:paraId="341BBEF1" w14:textId="77777777" w:rsidR="006A7A9F" w:rsidRPr="006A7A9F" w:rsidRDefault="006A7A9F" w:rsidP="006A7A9F">
            <w:pPr>
              <w:rPr>
                <w:rFonts w:ascii="Arial" w:eastAsia="Times New Roman" w:hAnsi="Arial" w:cs="Arial"/>
                <w:b/>
                <w:bCs/>
                <w:color w:val="000000"/>
                <w:sz w:val="14"/>
                <w:szCs w:val="14"/>
                <w:lang w:val="cs-CZ" w:eastAsia="cs-CZ"/>
              </w:rPr>
            </w:pPr>
          </w:p>
        </w:tc>
        <w:tc>
          <w:tcPr>
            <w:tcW w:w="2892" w:type="dxa"/>
            <w:vMerge/>
            <w:tcBorders>
              <w:top w:val="single" w:sz="4" w:space="0" w:color="auto"/>
              <w:left w:val="single" w:sz="4" w:space="0" w:color="auto"/>
              <w:bottom w:val="single" w:sz="4" w:space="0" w:color="000000"/>
              <w:right w:val="single" w:sz="4" w:space="0" w:color="auto"/>
            </w:tcBorders>
            <w:vAlign w:val="center"/>
            <w:hideMark/>
          </w:tcPr>
          <w:p w14:paraId="2778F719" w14:textId="77777777" w:rsidR="006A7A9F" w:rsidRPr="006A7A9F" w:rsidRDefault="006A7A9F" w:rsidP="006A7A9F">
            <w:pPr>
              <w:rPr>
                <w:rFonts w:ascii="Arial" w:eastAsia="Times New Roman" w:hAnsi="Arial" w:cs="Arial"/>
                <w:b/>
                <w:bCs/>
                <w:color w:val="000000"/>
                <w:sz w:val="14"/>
                <w:szCs w:val="14"/>
                <w:lang w:val="cs-CZ" w:eastAsia="cs-CZ"/>
              </w:rPr>
            </w:pPr>
          </w:p>
        </w:tc>
        <w:tc>
          <w:tcPr>
            <w:tcW w:w="1051" w:type="dxa"/>
            <w:vMerge/>
            <w:tcBorders>
              <w:top w:val="single" w:sz="4" w:space="0" w:color="auto"/>
              <w:left w:val="single" w:sz="4" w:space="0" w:color="auto"/>
              <w:bottom w:val="single" w:sz="4" w:space="0" w:color="000000"/>
              <w:right w:val="single" w:sz="4" w:space="0" w:color="auto"/>
            </w:tcBorders>
            <w:vAlign w:val="center"/>
            <w:hideMark/>
          </w:tcPr>
          <w:p w14:paraId="66AC41DC" w14:textId="77777777" w:rsidR="006A7A9F" w:rsidRPr="006A7A9F" w:rsidRDefault="006A7A9F" w:rsidP="006A7A9F">
            <w:pPr>
              <w:rPr>
                <w:rFonts w:ascii="Arial" w:eastAsia="Times New Roman" w:hAnsi="Arial" w:cs="Arial"/>
                <w:b/>
                <w:bCs/>
                <w:color w:val="000000"/>
                <w:sz w:val="14"/>
                <w:szCs w:val="14"/>
                <w:lang w:val="cs-CZ" w:eastAsia="cs-CZ"/>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14:paraId="79679592" w14:textId="77777777" w:rsidR="006A7A9F" w:rsidRPr="006A7A9F" w:rsidRDefault="006A7A9F" w:rsidP="006A7A9F">
            <w:pPr>
              <w:rPr>
                <w:rFonts w:ascii="Arial" w:eastAsia="Times New Roman" w:hAnsi="Arial" w:cs="Arial"/>
                <w:b/>
                <w:bCs/>
                <w:color w:val="000000"/>
                <w:sz w:val="14"/>
                <w:szCs w:val="14"/>
                <w:lang w:val="cs-CZ" w:eastAsia="cs-CZ"/>
              </w:rPr>
            </w:pPr>
          </w:p>
        </w:tc>
        <w:tc>
          <w:tcPr>
            <w:tcW w:w="777" w:type="dxa"/>
            <w:vMerge/>
            <w:tcBorders>
              <w:top w:val="single" w:sz="4" w:space="0" w:color="auto"/>
              <w:left w:val="single" w:sz="4" w:space="0" w:color="auto"/>
              <w:bottom w:val="single" w:sz="4" w:space="0" w:color="000000"/>
              <w:right w:val="single" w:sz="4" w:space="0" w:color="auto"/>
            </w:tcBorders>
            <w:vAlign w:val="center"/>
            <w:hideMark/>
          </w:tcPr>
          <w:p w14:paraId="15E1FD86" w14:textId="77777777" w:rsidR="006A7A9F" w:rsidRPr="006A7A9F" w:rsidRDefault="006A7A9F" w:rsidP="006A7A9F">
            <w:pPr>
              <w:rPr>
                <w:rFonts w:ascii="Arial" w:eastAsia="Times New Roman" w:hAnsi="Arial" w:cs="Arial"/>
                <w:b/>
                <w:bCs/>
                <w:color w:val="000000"/>
                <w:sz w:val="14"/>
                <w:szCs w:val="14"/>
                <w:lang w:val="cs-CZ" w:eastAsia="cs-CZ"/>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14:paraId="19C7BE58"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1EDE067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46A9FA0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01EA151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0C37194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3" w:type="dxa"/>
            <w:tcBorders>
              <w:top w:val="nil"/>
              <w:left w:val="nil"/>
              <w:bottom w:val="single" w:sz="4" w:space="0" w:color="auto"/>
              <w:right w:val="single" w:sz="4" w:space="0" w:color="auto"/>
            </w:tcBorders>
            <w:shd w:val="clear" w:color="auto" w:fill="auto"/>
            <w:vAlign w:val="center"/>
            <w:hideMark/>
          </w:tcPr>
          <w:p w14:paraId="38D2569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3" w:type="dxa"/>
            <w:tcBorders>
              <w:top w:val="nil"/>
              <w:left w:val="nil"/>
              <w:bottom w:val="single" w:sz="4" w:space="0" w:color="auto"/>
              <w:right w:val="single" w:sz="4" w:space="0" w:color="auto"/>
            </w:tcBorders>
            <w:shd w:val="clear" w:color="auto" w:fill="auto"/>
            <w:vAlign w:val="center"/>
            <w:hideMark/>
          </w:tcPr>
          <w:p w14:paraId="7850075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31360C7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0188065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5A67454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0" w:type="dxa"/>
            <w:tcBorders>
              <w:top w:val="nil"/>
              <w:left w:val="nil"/>
              <w:bottom w:val="single" w:sz="4" w:space="0" w:color="auto"/>
              <w:right w:val="single" w:sz="4" w:space="0" w:color="auto"/>
            </w:tcBorders>
            <w:shd w:val="clear" w:color="auto" w:fill="auto"/>
            <w:vAlign w:val="center"/>
            <w:hideMark/>
          </w:tcPr>
          <w:p w14:paraId="46D9148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838" w:type="dxa"/>
            <w:tcBorders>
              <w:top w:val="nil"/>
              <w:left w:val="nil"/>
              <w:bottom w:val="single" w:sz="4" w:space="0" w:color="auto"/>
              <w:right w:val="single" w:sz="4" w:space="0" w:color="auto"/>
            </w:tcBorders>
            <w:shd w:val="clear" w:color="auto" w:fill="auto"/>
            <w:vAlign w:val="center"/>
            <w:hideMark/>
          </w:tcPr>
          <w:p w14:paraId="10F44CC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702" w:type="dxa"/>
            <w:vMerge/>
            <w:tcBorders>
              <w:top w:val="single" w:sz="4" w:space="0" w:color="auto"/>
              <w:left w:val="single" w:sz="4" w:space="0" w:color="auto"/>
              <w:bottom w:val="single" w:sz="4" w:space="0" w:color="000000"/>
              <w:right w:val="single" w:sz="4" w:space="0" w:color="auto"/>
            </w:tcBorders>
            <w:vAlign w:val="center"/>
            <w:hideMark/>
          </w:tcPr>
          <w:p w14:paraId="0732B681"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7225ED02" w14:textId="77777777" w:rsidTr="007D24EE">
        <w:trPr>
          <w:trHeight w:val="20"/>
          <w:tblHeader/>
        </w:trPr>
        <w:tc>
          <w:tcPr>
            <w:tcW w:w="528" w:type="dxa"/>
            <w:vMerge/>
            <w:tcBorders>
              <w:top w:val="single" w:sz="4" w:space="0" w:color="auto"/>
              <w:left w:val="single" w:sz="4" w:space="0" w:color="auto"/>
              <w:bottom w:val="single" w:sz="4" w:space="0" w:color="000000"/>
              <w:right w:val="single" w:sz="4" w:space="0" w:color="auto"/>
            </w:tcBorders>
            <w:vAlign w:val="center"/>
            <w:hideMark/>
          </w:tcPr>
          <w:p w14:paraId="1A159285" w14:textId="77777777" w:rsidR="006A7A9F" w:rsidRPr="006A7A9F" w:rsidRDefault="006A7A9F" w:rsidP="006A7A9F">
            <w:pPr>
              <w:rPr>
                <w:rFonts w:ascii="Arial" w:eastAsia="Times New Roman" w:hAnsi="Arial" w:cs="Arial"/>
                <w:b/>
                <w:bCs/>
                <w:color w:val="000000"/>
                <w:sz w:val="14"/>
                <w:szCs w:val="14"/>
                <w:lang w:val="cs-CZ" w:eastAsia="cs-CZ"/>
              </w:rPr>
            </w:pPr>
          </w:p>
        </w:tc>
        <w:tc>
          <w:tcPr>
            <w:tcW w:w="2892" w:type="dxa"/>
            <w:vMerge/>
            <w:tcBorders>
              <w:top w:val="single" w:sz="4" w:space="0" w:color="auto"/>
              <w:left w:val="single" w:sz="4" w:space="0" w:color="auto"/>
              <w:bottom w:val="single" w:sz="4" w:space="0" w:color="000000"/>
              <w:right w:val="single" w:sz="4" w:space="0" w:color="auto"/>
            </w:tcBorders>
            <w:vAlign w:val="center"/>
            <w:hideMark/>
          </w:tcPr>
          <w:p w14:paraId="48A2AEF0" w14:textId="77777777" w:rsidR="006A7A9F" w:rsidRPr="006A7A9F" w:rsidRDefault="006A7A9F" w:rsidP="006A7A9F">
            <w:pPr>
              <w:rPr>
                <w:rFonts w:ascii="Arial" w:eastAsia="Times New Roman" w:hAnsi="Arial" w:cs="Arial"/>
                <w:b/>
                <w:bCs/>
                <w:color w:val="000000"/>
                <w:sz w:val="14"/>
                <w:szCs w:val="14"/>
                <w:lang w:val="cs-CZ" w:eastAsia="cs-CZ"/>
              </w:rPr>
            </w:pPr>
          </w:p>
        </w:tc>
        <w:tc>
          <w:tcPr>
            <w:tcW w:w="1051" w:type="dxa"/>
            <w:vMerge/>
            <w:tcBorders>
              <w:top w:val="single" w:sz="4" w:space="0" w:color="auto"/>
              <w:left w:val="single" w:sz="4" w:space="0" w:color="auto"/>
              <w:bottom w:val="single" w:sz="4" w:space="0" w:color="000000"/>
              <w:right w:val="single" w:sz="4" w:space="0" w:color="auto"/>
            </w:tcBorders>
            <w:vAlign w:val="center"/>
            <w:hideMark/>
          </w:tcPr>
          <w:p w14:paraId="241E16FD" w14:textId="77777777" w:rsidR="006A7A9F" w:rsidRPr="006A7A9F" w:rsidRDefault="006A7A9F" w:rsidP="006A7A9F">
            <w:pPr>
              <w:rPr>
                <w:rFonts w:ascii="Arial" w:eastAsia="Times New Roman" w:hAnsi="Arial" w:cs="Arial"/>
                <w:b/>
                <w:bCs/>
                <w:color w:val="000000"/>
                <w:sz w:val="14"/>
                <w:szCs w:val="14"/>
                <w:lang w:val="cs-CZ" w:eastAsia="cs-CZ"/>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14:paraId="3164ADAB" w14:textId="77777777" w:rsidR="006A7A9F" w:rsidRPr="006A7A9F" w:rsidRDefault="006A7A9F" w:rsidP="006A7A9F">
            <w:pPr>
              <w:rPr>
                <w:rFonts w:ascii="Arial" w:eastAsia="Times New Roman" w:hAnsi="Arial" w:cs="Arial"/>
                <w:b/>
                <w:bCs/>
                <w:color w:val="000000"/>
                <w:sz w:val="14"/>
                <w:szCs w:val="14"/>
                <w:lang w:val="cs-CZ" w:eastAsia="cs-CZ"/>
              </w:rPr>
            </w:pPr>
          </w:p>
        </w:tc>
        <w:tc>
          <w:tcPr>
            <w:tcW w:w="777" w:type="dxa"/>
            <w:vMerge/>
            <w:tcBorders>
              <w:top w:val="single" w:sz="4" w:space="0" w:color="auto"/>
              <w:left w:val="single" w:sz="4" w:space="0" w:color="auto"/>
              <w:bottom w:val="single" w:sz="4" w:space="0" w:color="000000"/>
              <w:right w:val="single" w:sz="4" w:space="0" w:color="auto"/>
            </w:tcBorders>
            <w:vAlign w:val="center"/>
            <w:hideMark/>
          </w:tcPr>
          <w:p w14:paraId="7E675714" w14:textId="77777777" w:rsidR="006A7A9F" w:rsidRPr="006A7A9F" w:rsidRDefault="006A7A9F" w:rsidP="006A7A9F">
            <w:pPr>
              <w:rPr>
                <w:rFonts w:ascii="Arial" w:eastAsia="Times New Roman" w:hAnsi="Arial" w:cs="Arial"/>
                <w:b/>
                <w:bCs/>
                <w:color w:val="000000"/>
                <w:sz w:val="14"/>
                <w:szCs w:val="14"/>
                <w:lang w:val="cs-CZ" w:eastAsia="cs-CZ"/>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14:paraId="5D8491ED"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41DF0E1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252C256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29A4B2B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2E691AC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3" w:type="dxa"/>
            <w:tcBorders>
              <w:top w:val="nil"/>
              <w:left w:val="nil"/>
              <w:bottom w:val="single" w:sz="4" w:space="0" w:color="auto"/>
              <w:right w:val="single" w:sz="4" w:space="0" w:color="auto"/>
            </w:tcBorders>
            <w:shd w:val="clear" w:color="auto" w:fill="auto"/>
            <w:vAlign w:val="center"/>
            <w:hideMark/>
          </w:tcPr>
          <w:p w14:paraId="1136222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3" w:type="dxa"/>
            <w:tcBorders>
              <w:top w:val="nil"/>
              <w:left w:val="nil"/>
              <w:bottom w:val="single" w:sz="4" w:space="0" w:color="auto"/>
              <w:right w:val="single" w:sz="4" w:space="0" w:color="auto"/>
            </w:tcBorders>
            <w:shd w:val="clear" w:color="auto" w:fill="auto"/>
            <w:vAlign w:val="center"/>
            <w:hideMark/>
          </w:tcPr>
          <w:p w14:paraId="64C84F4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7395A02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4E2E81D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6938D90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0" w:type="dxa"/>
            <w:tcBorders>
              <w:top w:val="nil"/>
              <w:left w:val="nil"/>
              <w:bottom w:val="single" w:sz="4" w:space="0" w:color="auto"/>
              <w:right w:val="single" w:sz="4" w:space="0" w:color="auto"/>
            </w:tcBorders>
            <w:shd w:val="clear" w:color="auto" w:fill="auto"/>
            <w:vAlign w:val="center"/>
            <w:hideMark/>
          </w:tcPr>
          <w:p w14:paraId="44EA779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838" w:type="dxa"/>
            <w:tcBorders>
              <w:top w:val="nil"/>
              <w:left w:val="nil"/>
              <w:bottom w:val="single" w:sz="4" w:space="0" w:color="auto"/>
              <w:right w:val="single" w:sz="4" w:space="0" w:color="auto"/>
            </w:tcBorders>
            <w:shd w:val="clear" w:color="auto" w:fill="auto"/>
            <w:vAlign w:val="center"/>
            <w:hideMark/>
          </w:tcPr>
          <w:p w14:paraId="71FA055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702" w:type="dxa"/>
            <w:vMerge/>
            <w:tcBorders>
              <w:top w:val="single" w:sz="4" w:space="0" w:color="auto"/>
              <w:left w:val="single" w:sz="4" w:space="0" w:color="auto"/>
              <w:bottom w:val="single" w:sz="4" w:space="0" w:color="000000"/>
              <w:right w:val="single" w:sz="4" w:space="0" w:color="auto"/>
            </w:tcBorders>
            <w:vAlign w:val="center"/>
            <w:hideMark/>
          </w:tcPr>
          <w:p w14:paraId="1FAAAFC5"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6BBB758D" w14:textId="77777777" w:rsidTr="007D24EE">
        <w:trPr>
          <w:trHeight w:val="20"/>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14:paraId="34025AC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892" w:type="dxa"/>
            <w:vMerge w:val="restart"/>
            <w:tcBorders>
              <w:top w:val="nil"/>
              <w:left w:val="single" w:sz="4" w:space="0" w:color="auto"/>
              <w:bottom w:val="single" w:sz="4" w:space="0" w:color="auto"/>
              <w:right w:val="single" w:sz="4" w:space="0" w:color="auto"/>
            </w:tcBorders>
            <w:shd w:val="clear" w:color="auto" w:fill="auto"/>
            <w:vAlign w:val="center"/>
            <w:hideMark/>
          </w:tcPr>
          <w:p w14:paraId="5960E08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51" w:type="dxa"/>
            <w:vMerge w:val="restart"/>
            <w:tcBorders>
              <w:top w:val="nil"/>
              <w:left w:val="single" w:sz="4" w:space="0" w:color="auto"/>
              <w:bottom w:val="single" w:sz="4" w:space="0" w:color="auto"/>
              <w:right w:val="single" w:sz="4" w:space="0" w:color="auto"/>
            </w:tcBorders>
            <w:shd w:val="clear" w:color="auto" w:fill="auto"/>
            <w:vAlign w:val="center"/>
            <w:hideMark/>
          </w:tcPr>
          <w:p w14:paraId="749368C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14:paraId="56274ED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77" w:type="dxa"/>
            <w:vMerge w:val="restart"/>
            <w:tcBorders>
              <w:top w:val="nil"/>
              <w:left w:val="single" w:sz="4" w:space="0" w:color="auto"/>
              <w:bottom w:val="single" w:sz="4" w:space="0" w:color="auto"/>
              <w:right w:val="single" w:sz="4" w:space="0" w:color="auto"/>
            </w:tcBorders>
            <w:shd w:val="clear" w:color="auto" w:fill="auto"/>
            <w:vAlign w:val="center"/>
            <w:hideMark/>
          </w:tcPr>
          <w:p w14:paraId="3D078E8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65F2B7E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5 345,000</w:t>
            </w:r>
          </w:p>
        </w:tc>
        <w:tc>
          <w:tcPr>
            <w:tcW w:w="5613" w:type="dxa"/>
            <w:gridSpan w:val="10"/>
            <w:tcBorders>
              <w:top w:val="single" w:sz="4" w:space="0" w:color="auto"/>
              <w:left w:val="nil"/>
              <w:bottom w:val="single" w:sz="4" w:space="0" w:color="auto"/>
              <w:right w:val="single" w:sz="4" w:space="0" w:color="000000"/>
            </w:tcBorders>
            <w:shd w:val="clear" w:color="auto" w:fill="auto"/>
            <w:vAlign w:val="center"/>
            <w:hideMark/>
          </w:tcPr>
          <w:p w14:paraId="2B85752E"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39ED26E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46,000</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14:paraId="59FA2071"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0,861</w:t>
            </w:r>
          </w:p>
        </w:tc>
      </w:tr>
      <w:tr w:rsidR="006A7A9F" w:rsidRPr="006A7A9F" w14:paraId="5EF0480E"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11998EA6"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4B02237C"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2C183A31"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387D4417"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38A9FB7A"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6C2137FB"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516D8F0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73148FF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76E3550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0A41381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0312C3A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01E773B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12,000</w:t>
            </w:r>
          </w:p>
        </w:tc>
        <w:tc>
          <w:tcPr>
            <w:tcW w:w="560" w:type="dxa"/>
            <w:tcBorders>
              <w:top w:val="nil"/>
              <w:left w:val="nil"/>
              <w:bottom w:val="single" w:sz="4" w:space="0" w:color="auto"/>
              <w:right w:val="single" w:sz="4" w:space="0" w:color="auto"/>
            </w:tcBorders>
            <w:shd w:val="clear" w:color="auto" w:fill="auto"/>
            <w:vAlign w:val="center"/>
            <w:hideMark/>
          </w:tcPr>
          <w:p w14:paraId="275016B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4684616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F98EF4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920483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3680370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12,000</w:t>
            </w:r>
          </w:p>
        </w:tc>
        <w:tc>
          <w:tcPr>
            <w:tcW w:w="702" w:type="dxa"/>
            <w:vMerge/>
            <w:tcBorders>
              <w:top w:val="nil"/>
              <w:left w:val="single" w:sz="4" w:space="0" w:color="auto"/>
              <w:bottom w:val="single" w:sz="4" w:space="0" w:color="000000"/>
              <w:right w:val="single" w:sz="4" w:space="0" w:color="auto"/>
            </w:tcBorders>
            <w:vAlign w:val="center"/>
            <w:hideMark/>
          </w:tcPr>
          <w:p w14:paraId="6FCB2250"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576B8EA4"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430917A1"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4EDC4D76"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749476C4"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7E9D214E"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6D13A0F3"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25126E9C"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4F2A128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C1616F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67CE67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0A2350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9DA1B0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3" w:type="dxa"/>
            <w:tcBorders>
              <w:top w:val="nil"/>
              <w:left w:val="nil"/>
              <w:bottom w:val="single" w:sz="4" w:space="0" w:color="auto"/>
              <w:right w:val="single" w:sz="4" w:space="0" w:color="auto"/>
            </w:tcBorders>
            <w:shd w:val="clear" w:color="auto" w:fill="auto"/>
            <w:vAlign w:val="center"/>
            <w:hideMark/>
          </w:tcPr>
          <w:p w14:paraId="3F4C87B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33,000</w:t>
            </w:r>
          </w:p>
        </w:tc>
        <w:tc>
          <w:tcPr>
            <w:tcW w:w="560" w:type="dxa"/>
            <w:tcBorders>
              <w:top w:val="nil"/>
              <w:left w:val="nil"/>
              <w:bottom w:val="single" w:sz="4" w:space="0" w:color="auto"/>
              <w:right w:val="single" w:sz="4" w:space="0" w:color="auto"/>
            </w:tcBorders>
            <w:shd w:val="clear" w:color="auto" w:fill="auto"/>
            <w:vAlign w:val="center"/>
            <w:hideMark/>
          </w:tcPr>
          <w:p w14:paraId="75FEF76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16623A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672939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495AEA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7D58F9A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34,000</w:t>
            </w:r>
          </w:p>
        </w:tc>
        <w:tc>
          <w:tcPr>
            <w:tcW w:w="702" w:type="dxa"/>
            <w:vMerge/>
            <w:tcBorders>
              <w:top w:val="nil"/>
              <w:left w:val="single" w:sz="4" w:space="0" w:color="auto"/>
              <w:bottom w:val="single" w:sz="4" w:space="0" w:color="000000"/>
              <w:right w:val="single" w:sz="4" w:space="0" w:color="auto"/>
            </w:tcBorders>
            <w:vAlign w:val="center"/>
            <w:hideMark/>
          </w:tcPr>
          <w:p w14:paraId="596D7698"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5237A501" w14:textId="77777777" w:rsidTr="007D24EE">
        <w:trPr>
          <w:trHeight w:val="20"/>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14:paraId="544C193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62700</w:t>
            </w:r>
            <w:r w:rsidRPr="006A7A9F">
              <w:rPr>
                <w:rFonts w:ascii="Arial" w:eastAsia="Times New Roman" w:hAnsi="Arial" w:cs="Arial"/>
                <w:color w:val="000000"/>
                <w:sz w:val="14"/>
                <w:szCs w:val="14"/>
                <w:lang w:val="cs-CZ" w:eastAsia="cs-CZ"/>
              </w:rPr>
              <w:br/>
              <w:t>CR04</w:t>
            </w:r>
          </w:p>
        </w:tc>
        <w:tc>
          <w:tcPr>
            <w:tcW w:w="2892" w:type="dxa"/>
            <w:vMerge w:val="restart"/>
            <w:tcBorders>
              <w:top w:val="nil"/>
              <w:left w:val="single" w:sz="4" w:space="0" w:color="auto"/>
              <w:bottom w:val="single" w:sz="4" w:space="0" w:color="auto"/>
              <w:right w:val="single" w:sz="4" w:space="0" w:color="auto"/>
            </w:tcBorders>
            <w:shd w:val="clear" w:color="auto" w:fill="auto"/>
            <w:vAlign w:val="center"/>
            <w:hideMark/>
          </w:tcPr>
          <w:p w14:paraId="06706BE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zaměstnaní po ukončení své účasti, včetně OSVČ</w:t>
            </w:r>
          </w:p>
        </w:tc>
        <w:tc>
          <w:tcPr>
            <w:tcW w:w="1051" w:type="dxa"/>
            <w:vMerge w:val="restart"/>
            <w:tcBorders>
              <w:top w:val="nil"/>
              <w:left w:val="single" w:sz="4" w:space="0" w:color="auto"/>
              <w:bottom w:val="single" w:sz="4" w:space="0" w:color="auto"/>
              <w:right w:val="single" w:sz="4" w:space="0" w:color="auto"/>
            </w:tcBorders>
            <w:shd w:val="clear" w:color="auto" w:fill="auto"/>
            <w:vAlign w:val="center"/>
            <w:hideMark/>
          </w:tcPr>
          <w:p w14:paraId="21E8991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14:paraId="73450FB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w:t>
            </w:r>
          </w:p>
        </w:tc>
        <w:tc>
          <w:tcPr>
            <w:tcW w:w="777" w:type="dxa"/>
            <w:vMerge w:val="restart"/>
            <w:tcBorders>
              <w:top w:val="nil"/>
              <w:left w:val="single" w:sz="4" w:space="0" w:color="auto"/>
              <w:bottom w:val="single" w:sz="4" w:space="0" w:color="auto"/>
              <w:right w:val="single" w:sz="4" w:space="0" w:color="auto"/>
            </w:tcBorders>
            <w:shd w:val="clear" w:color="auto" w:fill="auto"/>
            <w:vAlign w:val="center"/>
            <w:hideMark/>
          </w:tcPr>
          <w:p w14:paraId="3B77F66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0435C0F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3 519,000</w:t>
            </w:r>
          </w:p>
        </w:tc>
        <w:tc>
          <w:tcPr>
            <w:tcW w:w="5613" w:type="dxa"/>
            <w:gridSpan w:val="10"/>
            <w:tcBorders>
              <w:top w:val="single" w:sz="4" w:space="0" w:color="auto"/>
              <w:left w:val="nil"/>
              <w:bottom w:val="single" w:sz="4" w:space="0" w:color="auto"/>
              <w:right w:val="single" w:sz="4" w:space="0" w:color="000000"/>
            </w:tcBorders>
            <w:shd w:val="clear" w:color="auto" w:fill="auto"/>
            <w:vAlign w:val="center"/>
            <w:hideMark/>
          </w:tcPr>
          <w:p w14:paraId="1D397A63"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4118DE9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48,000</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14:paraId="72200A4A"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1,364</w:t>
            </w:r>
          </w:p>
        </w:tc>
      </w:tr>
      <w:tr w:rsidR="006A7A9F" w:rsidRPr="006A7A9F" w14:paraId="178A809B"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3BC1F566"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1AF02253"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09617C95"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7BF51CF8"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056542D2"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18C114FC"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424EBED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1FC404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2539EB0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9F98D0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5A5506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5,000</w:t>
            </w:r>
          </w:p>
        </w:tc>
        <w:tc>
          <w:tcPr>
            <w:tcW w:w="563" w:type="dxa"/>
            <w:tcBorders>
              <w:top w:val="nil"/>
              <w:left w:val="nil"/>
              <w:bottom w:val="single" w:sz="4" w:space="0" w:color="auto"/>
              <w:right w:val="single" w:sz="4" w:space="0" w:color="auto"/>
            </w:tcBorders>
            <w:shd w:val="clear" w:color="auto" w:fill="auto"/>
            <w:vAlign w:val="center"/>
            <w:hideMark/>
          </w:tcPr>
          <w:p w14:paraId="220AD5C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w:t>
            </w:r>
          </w:p>
        </w:tc>
        <w:tc>
          <w:tcPr>
            <w:tcW w:w="560" w:type="dxa"/>
            <w:tcBorders>
              <w:top w:val="nil"/>
              <w:left w:val="nil"/>
              <w:bottom w:val="single" w:sz="4" w:space="0" w:color="auto"/>
              <w:right w:val="single" w:sz="4" w:space="0" w:color="auto"/>
            </w:tcBorders>
            <w:shd w:val="clear" w:color="auto" w:fill="auto"/>
            <w:vAlign w:val="center"/>
            <w:hideMark/>
          </w:tcPr>
          <w:p w14:paraId="14B873B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33BD1F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28F33AE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1626F2D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6F3F849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8,000</w:t>
            </w:r>
          </w:p>
        </w:tc>
        <w:tc>
          <w:tcPr>
            <w:tcW w:w="702" w:type="dxa"/>
            <w:vMerge/>
            <w:tcBorders>
              <w:top w:val="nil"/>
              <w:left w:val="single" w:sz="4" w:space="0" w:color="auto"/>
              <w:bottom w:val="single" w:sz="4" w:space="0" w:color="000000"/>
              <w:right w:val="single" w:sz="4" w:space="0" w:color="auto"/>
            </w:tcBorders>
            <w:vAlign w:val="center"/>
            <w:hideMark/>
          </w:tcPr>
          <w:p w14:paraId="72CF58B1"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6C627F51"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377468FD"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07EC91F9"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19A8ABB1"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76CF5B8C"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0BF7F72F"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42D27A26"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1FA4E6D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43964B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78D944F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423800C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79821FD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21,000</w:t>
            </w:r>
          </w:p>
        </w:tc>
        <w:tc>
          <w:tcPr>
            <w:tcW w:w="563" w:type="dxa"/>
            <w:tcBorders>
              <w:top w:val="nil"/>
              <w:left w:val="nil"/>
              <w:bottom w:val="single" w:sz="4" w:space="0" w:color="auto"/>
              <w:right w:val="single" w:sz="4" w:space="0" w:color="auto"/>
            </w:tcBorders>
            <w:shd w:val="clear" w:color="auto" w:fill="auto"/>
            <w:vAlign w:val="center"/>
            <w:hideMark/>
          </w:tcPr>
          <w:p w14:paraId="100D582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19,000</w:t>
            </w:r>
          </w:p>
        </w:tc>
        <w:tc>
          <w:tcPr>
            <w:tcW w:w="560" w:type="dxa"/>
            <w:tcBorders>
              <w:top w:val="nil"/>
              <w:left w:val="nil"/>
              <w:bottom w:val="single" w:sz="4" w:space="0" w:color="auto"/>
              <w:right w:val="single" w:sz="4" w:space="0" w:color="auto"/>
            </w:tcBorders>
            <w:shd w:val="clear" w:color="auto" w:fill="auto"/>
            <w:vAlign w:val="center"/>
            <w:hideMark/>
          </w:tcPr>
          <w:p w14:paraId="6AFA7A6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26366C6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10EA75A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DAF67C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1D2CD8F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40,000</w:t>
            </w:r>
          </w:p>
        </w:tc>
        <w:tc>
          <w:tcPr>
            <w:tcW w:w="702" w:type="dxa"/>
            <w:vMerge/>
            <w:tcBorders>
              <w:top w:val="nil"/>
              <w:left w:val="single" w:sz="4" w:space="0" w:color="auto"/>
              <w:bottom w:val="single" w:sz="4" w:space="0" w:color="000000"/>
              <w:right w:val="single" w:sz="4" w:space="0" w:color="auto"/>
            </w:tcBorders>
            <w:vAlign w:val="center"/>
            <w:hideMark/>
          </w:tcPr>
          <w:p w14:paraId="5C8B705D"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35752565" w14:textId="77777777" w:rsidTr="007D24EE">
        <w:trPr>
          <w:trHeight w:val="20"/>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14:paraId="19BB36F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62800</w:t>
            </w:r>
            <w:r w:rsidRPr="006A7A9F">
              <w:rPr>
                <w:rFonts w:ascii="Arial" w:eastAsia="Times New Roman" w:hAnsi="Arial" w:cs="Arial"/>
                <w:color w:val="000000"/>
                <w:sz w:val="14"/>
                <w:szCs w:val="14"/>
                <w:lang w:val="cs-CZ" w:eastAsia="cs-CZ"/>
              </w:rPr>
              <w:br/>
              <w:t>CR05</w:t>
            </w:r>
          </w:p>
        </w:tc>
        <w:tc>
          <w:tcPr>
            <w:tcW w:w="2892" w:type="dxa"/>
            <w:vMerge w:val="restart"/>
            <w:tcBorders>
              <w:top w:val="nil"/>
              <w:left w:val="single" w:sz="4" w:space="0" w:color="auto"/>
              <w:bottom w:val="single" w:sz="4" w:space="0" w:color="auto"/>
              <w:right w:val="single" w:sz="4" w:space="0" w:color="auto"/>
            </w:tcBorders>
            <w:shd w:val="clear" w:color="auto" w:fill="auto"/>
            <w:vAlign w:val="center"/>
            <w:hideMark/>
          </w:tcPr>
          <w:p w14:paraId="3E389B5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Znevýhodnění účastníci, kteří po ukončení své účasti hledají zaměstnání, jsou v procesu vzdělávání/ odborné přípravy, rozšiřují si kvalifikaci nebo jsou zaměstnaní, a to i OSVČ</w:t>
            </w:r>
          </w:p>
        </w:tc>
        <w:tc>
          <w:tcPr>
            <w:tcW w:w="1051" w:type="dxa"/>
            <w:vMerge w:val="restart"/>
            <w:tcBorders>
              <w:top w:val="nil"/>
              <w:left w:val="single" w:sz="4" w:space="0" w:color="auto"/>
              <w:bottom w:val="single" w:sz="4" w:space="0" w:color="auto"/>
              <w:right w:val="single" w:sz="4" w:space="0" w:color="auto"/>
            </w:tcBorders>
            <w:shd w:val="clear" w:color="auto" w:fill="auto"/>
            <w:vAlign w:val="center"/>
            <w:hideMark/>
          </w:tcPr>
          <w:p w14:paraId="1CAC2AE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14:paraId="13F5BE2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777" w:type="dxa"/>
            <w:vMerge w:val="restart"/>
            <w:tcBorders>
              <w:top w:val="nil"/>
              <w:left w:val="single" w:sz="4" w:space="0" w:color="auto"/>
              <w:bottom w:val="single" w:sz="4" w:space="0" w:color="auto"/>
              <w:right w:val="single" w:sz="4" w:space="0" w:color="auto"/>
            </w:tcBorders>
            <w:shd w:val="clear" w:color="auto" w:fill="auto"/>
            <w:vAlign w:val="center"/>
            <w:hideMark/>
          </w:tcPr>
          <w:p w14:paraId="558C8B6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0BCDA35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7 378,000</w:t>
            </w:r>
          </w:p>
        </w:tc>
        <w:tc>
          <w:tcPr>
            <w:tcW w:w="5613" w:type="dxa"/>
            <w:gridSpan w:val="10"/>
            <w:tcBorders>
              <w:top w:val="single" w:sz="4" w:space="0" w:color="auto"/>
              <w:left w:val="nil"/>
              <w:bottom w:val="single" w:sz="4" w:space="0" w:color="auto"/>
              <w:right w:val="single" w:sz="4" w:space="0" w:color="000000"/>
            </w:tcBorders>
            <w:shd w:val="clear" w:color="auto" w:fill="auto"/>
            <w:vAlign w:val="center"/>
            <w:hideMark/>
          </w:tcPr>
          <w:p w14:paraId="6B00637F"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08F5FAF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62,000</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14:paraId="5FAAC5DA"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0,840</w:t>
            </w:r>
          </w:p>
        </w:tc>
      </w:tr>
      <w:tr w:rsidR="006A7A9F" w:rsidRPr="006A7A9F" w14:paraId="258A6744"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6A286E6D"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2C214A87"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1434EB59"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4D3561B0"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13F18B29"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34745ECA"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6F653C6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9CA3CA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7E852C8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60A25C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E587BD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2,000</w:t>
            </w:r>
          </w:p>
        </w:tc>
        <w:tc>
          <w:tcPr>
            <w:tcW w:w="563" w:type="dxa"/>
            <w:tcBorders>
              <w:top w:val="nil"/>
              <w:left w:val="nil"/>
              <w:bottom w:val="single" w:sz="4" w:space="0" w:color="auto"/>
              <w:right w:val="single" w:sz="4" w:space="0" w:color="auto"/>
            </w:tcBorders>
            <w:shd w:val="clear" w:color="auto" w:fill="auto"/>
            <w:vAlign w:val="center"/>
            <w:hideMark/>
          </w:tcPr>
          <w:p w14:paraId="0393CF8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30,000</w:t>
            </w:r>
          </w:p>
        </w:tc>
        <w:tc>
          <w:tcPr>
            <w:tcW w:w="560" w:type="dxa"/>
            <w:tcBorders>
              <w:top w:val="nil"/>
              <w:left w:val="nil"/>
              <w:bottom w:val="single" w:sz="4" w:space="0" w:color="auto"/>
              <w:right w:val="single" w:sz="4" w:space="0" w:color="auto"/>
            </w:tcBorders>
            <w:shd w:val="clear" w:color="auto" w:fill="auto"/>
            <w:vAlign w:val="center"/>
            <w:hideMark/>
          </w:tcPr>
          <w:p w14:paraId="588E5C5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687A5D8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396427D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25A3F3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6B3843C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32,000</w:t>
            </w:r>
          </w:p>
        </w:tc>
        <w:tc>
          <w:tcPr>
            <w:tcW w:w="702" w:type="dxa"/>
            <w:vMerge/>
            <w:tcBorders>
              <w:top w:val="nil"/>
              <w:left w:val="single" w:sz="4" w:space="0" w:color="auto"/>
              <w:bottom w:val="single" w:sz="4" w:space="0" w:color="000000"/>
              <w:right w:val="single" w:sz="4" w:space="0" w:color="auto"/>
            </w:tcBorders>
            <w:vAlign w:val="center"/>
            <w:hideMark/>
          </w:tcPr>
          <w:p w14:paraId="688DDDFF"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31A4620F"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49A85732"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5A25FB8B"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7E2FF04A"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10223D33"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0C9279D0"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6A57E173"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4870DE2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2D07752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226441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10F07E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3" w:type="dxa"/>
            <w:tcBorders>
              <w:top w:val="nil"/>
              <w:left w:val="nil"/>
              <w:bottom w:val="single" w:sz="4" w:space="0" w:color="auto"/>
              <w:right w:val="single" w:sz="4" w:space="0" w:color="auto"/>
            </w:tcBorders>
            <w:shd w:val="clear" w:color="auto" w:fill="auto"/>
            <w:vAlign w:val="center"/>
            <w:hideMark/>
          </w:tcPr>
          <w:p w14:paraId="18AF628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w:t>
            </w:r>
          </w:p>
        </w:tc>
        <w:tc>
          <w:tcPr>
            <w:tcW w:w="563" w:type="dxa"/>
            <w:tcBorders>
              <w:top w:val="nil"/>
              <w:left w:val="nil"/>
              <w:bottom w:val="single" w:sz="4" w:space="0" w:color="auto"/>
              <w:right w:val="single" w:sz="4" w:space="0" w:color="auto"/>
            </w:tcBorders>
            <w:shd w:val="clear" w:color="auto" w:fill="auto"/>
            <w:vAlign w:val="center"/>
            <w:hideMark/>
          </w:tcPr>
          <w:p w14:paraId="1B6338D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26,000</w:t>
            </w:r>
          </w:p>
        </w:tc>
        <w:tc>
          <w:tcPr>
            <w:tcW w:w="560" w:type="dxa"/>
            <w:tcBorders>
              <w:top w:val="nil"/>
              <w:left w:val="nil"/>
              <w:bottom w:val="single" w:sz="4" w:space="0" w:color="auto"/>
              <w:right w:val="single" w:sz="4" w:space="0" w:color="auto"/>
            </w:tcBorders>
            <w:shd w:val="clear" w:color="auto" w:fill="auto"/>
            <w:vAlign w:val="center"/>
            <w:hideMark/>
          </w:tcPr>
          <w:p w14:paraId="4889917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609E3C8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3184C6A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4DC5FD0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3F89329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30,000</w:t>
            </w:r>
          </w:p>
        </w:tc>
        <w:tc>
          <w:tcPr>
            <w:tcW w:w="702" w:type="dxa"/>
            <w:vMerge/>
            <w:tcBorders>
              <w:top w:val="nil"/>
              <w:left w:val="single" w:sz="4" w:space="0" w:color="auto"/>
              <w:bottom w:val="single" w:sz="4" w:space="0" w:color="000000"/>
              <w:right w:val="single" w:sz="4" w:space="0" w:color="auto"/>
            </w:tcBorders>
            <w:vAlign w:val="center"/>
            <w:hideMark/>
          </w:tcPr>
          <w:p w14:paraId="0D66890D"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06AB5B49" w14:textId="77777777" w:rsidTr="007D24EE">
        <w:trPr>
          <w:trHeight w:val="20"/>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14:paraId="0A52A4F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62900</w:t>
            </w:r>
            <w:r w:rsidRPr="006A7A9F">
              <w:rPr>
                <w:rFonts w:ascii="Arial" w:eastAsia="Times New Roman" w:hAnsi="Arial" w:cs="Arial"/>
                <w:color w:val="000000"/>
                <w:sz w:val="14"/>
                <w:szCs w:val="14"/>
                <w:lang w:val="cs-CZ" w:eastAsia="cs-CZ"/>
              </w:rPr>
              <w:br/>
              <w:t>CR06</w:t>
            </w:r>
          </w:p>
        </w:tc>
        <w:tc>
          <w:tcPr>
            <w:tcW w:w="2892" w:type="dxa"/>
            <w:vMerge w:val="restart"/>
            <w:tcBorders>
              <w:top w:val="nil"/>
              <w:left w:val="single" w:sz="4" w:space="0" w:color="auto"/>
              <w:bottom w:val="single" w:sz="4" w:space="0" w:color="auto"/>
              <w:right w:val="single" w:sz="4" w:space="0" w:color="auto"/>
            </w:tcBorders>
            <w:shd w:val="clear" w:color="auto" w:fill="auto"/>
            <w:vAlign w:val="center"/>
            <w:hideMark/>
          </w:tcPr>
          <w:p w14:paraId="1F8FE84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zaměstnaní 6 měsíců po ukončení své účasti, včetně OSVČ</w:t>
            </w:r>
          </w:p>
        </w:tc>
        <w:tc>
          <w:tcPr>
            <w:tcW w:w="1051" w:type="dxa"/>
            <w:vMerge w:val="restart"/>
            <w:tcBorders>
              <w:top w:val="nil"/>
              <w:left w:val="single" w:sz="4" w:space="0" w:color="auto"/>
              <w:bottom w:val="single" w:sz="4" w:space="0" w:color="auto"/>
              <w:right w:val="single" w:sz="4" w:space="0" w:color="auto"/>
            </w:tcBorders>
            <w:shd w:val="clear" w:color="auto" w:fill="auto"/>
            <w:vAlign w:val="center"/>
            <w:hideMark/>
          </w:tcPr>
          <w:p w14:paraId="6ECDF2D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14:paraId="6DEAB55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w:t>
            </w:r>
          </w:p>
        </w:tc>
        <w:tc>
          <w:tcPr>
            <w:tcW w:w="777" w:type="dxa"/>
            <w:vMerge w:val="restart"/>
            <w:tcBorders>
              <w:top w:val="nil"/>
              <w:left w:val="single" w:sz="4" w:space="0" w:color="auto"/>
              <w:bottom w:val="single" w:sz="4" w:space="0" w:color="auto"/>
              <w:right w:val="single" w:sz="4" w:space="0" w:color="auto"/>
            </w:tcBorders>
            <w:shd w:val="clear" w:color="auto" w:fill="auto"/>
            <w:vAlign w:val="center"/>
            <w:hideMark/>
          </w:tcPr>
          <w:p w14:paraId="603AC4B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49993D5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4 930,000</w:t>
            </w:r>
          </w:p>
        </w:tc>
        <w:tc>
          <w:tcPr>
            <w:tcW w:w="5613" w:type="dxa"/>
            <w:gridSpan w:val="10"/>
            <w:tcBorders>
              <w:top w:val="single" w:sz="4" w:space="0" w:color="auto"/>
              <w:left w:val="nil"/>
              <w:bottom w:val="single" w:sz="4" w:space="0" w:color="auto"/>
              <w:right w:val="single" w:sz="4" w:space="0" w:color="000000"/>
            </w:tcBorders>
            <w:shd w:val="clear" w:color="auto" w:fill="auto"/>
            <w:vAlign w:val="center"/>
            <w:hideMark/>
          </w:tcPr>
          <w:p w14:paraId="16D296BC"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27ED6E4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20,000</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14:paraId="5AABAA26"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0,406</w:t>
            </w:r>
          </w:p>
        </w:tc>
      </w:tr>
      <w:tr w:rsidR="006A7A9F" w:rsidRPr="006A7A9F" w14:paraId="130A8389"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76D9AD13"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17D19C87"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5F6EACCD"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33E8126F"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6917FD9F"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586999AC"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66393E5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D18734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E0C54E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A22B68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50C230B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3" w:type="dxa"/>
            <w:tcBorders>
              <w:top w:val="nil"/>
              <w:left w:val="nil"/>
              <w:bottom w:val="single" w:sz="4" w:space="0" w:color="auto"/>
              <w:right w:val="single" w:sz="4" w:space="0" w:color="auto"/>
            </w:tcBorders>
            <w:shd w:val="clear" w:color="auto" w:fill="auto"/>
            <w:vAlign w:val="center"/>
            <w:hideMark/>
          </w:tcPr>
          <w:p w14:paraId="44D4A39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0" w:type="dxa"/>
            <w:tcBorders>
              <w:top w:val="nil"/>
              <w:left w:val="nil"/>
              <w:bottom w:val="single" w:sz="4" w:space="0" w:color="auto"/>
              <w:right w:val="single" w:sz="4" w:space="0" w:color="auto"/>
            </w:tcBorders>
            <w:shd w:val="clear" w:color="auto" w:fill="auto"/>
            <w:vAlign w:val="center"/>
            <w:hideMark/>
          </w:tcPr>
          <w:p w14:paraId="2C95BFE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7EF38F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7F6A0D5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228F7F4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7611ABC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2,000</w:t>
            </w:r>
          </w:p>
        </w:tc>
        <w:tc>
          <w:tcPr>
            <w:tcW w:w="702" w:type="dxa"/>
            <w:vMerge/>
            <w:tcBorders>
              <w:top w:val="nil"/>
              <w:left w:val="single" w:sz="4" w:space="0" w:color="auto"/>
              <w:bottom w:val="single" w:sz="4" w:space="0" w:color="000000"/>
              <w:right w:val="single" w:sz="4" w:space="0" w:color="auto"/>
            </w:tcBorders>
            <w:vAlign w:val="center"/>
            <w:hideMark/>
          </w:tcPr>
          <w:p w14:paraId="1EF75F2A"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36C66465"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1564D7DE"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58BA22DC"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77D82923"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3AAF0E0A"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68BA65E1"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51E3572F"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199475E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F7AD70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697504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05EE901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2C1A072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4,000</w:t>
            </w:r>
          </w:p>
        </w:tc>
        <w:tc>
          <w:tcPr>
            <w:tcW w:w="563" w:type="dxa"/>
            <w:tcBorders>
              <w:top w:val="nil"/>
              <w:left w:val="nil"/>
              <w:bottom w:val="single" w:sz="4" w:space="0" w:color="auto"/>
              <w:right w:val="single" w:sz="4" w:space="0" w:color="auto"/>
            </w:tcBorders>
            <w:shd w:val="clear" w:color="auto" w:fill="auto"/>
            <w:vAlign w:val="center"/>
            <w:hideMark/>
          </w:tcPr>
          <w:p w14:paraId="7D919D1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14,000</w:t>
            </w:r>
          </w:p>
        </w:tc>
        <w:tc>
          <w:tcPr>
            <w:tcW w:w="560" w:type="dxa"/>
            <w:tcBorders>
              <w:top w:val="nil"/>
              <w:left w:val="nil"/>
              <w:bottom w:val="single" w:sz="4" w:space="0" w:color="auto"/>
              <w:right w:val="single" w:sz="4" w:space="0" w:color="auto"/>
            </w:tcBorders>
            <w:shd w:val="clear" w:color="auto" w:fill="auto"/>
            <w:vAlign w:val="center"/>
            <w:hideMark/>
          </w:tcPr>
          <w:p w14:paraId="5643619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7204354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267CA09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1629728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4F1BB5A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18,000</w:t>
            </w:r>
          </w:p>
        </w:tc>
        <w:tc>
          <w:tcPr>
            <w:tcW w:w="702" w:type="dxa"/>
            <w:vMerge/>
            <w:tcBorders>
              <w:top w:val="nil"/>
              <w:left w:val="single" w:sz="4" w:space="0" w:color="auto"/>
              <w:bottom w:val="single" w:sz="4" w:space="0" w:color="000000"/>
              <w:right w:val="single" w:sz="4" w:space="0" w:color="auto"/>
            </w:tcBorders>
            <w:vAlign w:val="center"/>
            <w:hideMark/>
          </w:tcPr>
          <w:p w14:paraId="7514B73C"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792329E2" w14:textId="77777777" w:rsidTr="007D24EE">
        <w:trPr>
          <w:trHeight w:val="20"/>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14:paraId="74064A3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63100</w:t>
            </w:r>
            <w:r w:rsidRPr="006A7A9F">
              <w:rPr>
                <w:rFonts w:ascii="Arial" w:eastAsia="Times New Roman" w:hAnsi="Arial" w:cs="Arial"/>
                <w:color w:val="000000"/>
                <w:sz w:val="14"/>
                <w:szCs w:val="14"/>
                <w:lang w:val="cs-CZ" w:eastAsia="cs-CZ"/>
              </w:rPr>
              <w:br/>
              <w:t>CR08</w:t>
            </w:r>
          </w:p>
        </w:tc>
        <w:tc>
          <w:tcPr>
            <w:tcW w:w="2892" w:type="dxa"/>
            <w:vMerge w:val="restart"/>
            <w:tcBorders>
              <w:top w:val="nil"/>
              <w:left w:val="single" w:sz="4" w:space="0" w:color="auto"/>
              <w:bottom w:val="single" w:sz="4" w:space="0" w:color="auto"/>
              <w:right w:val="single" w:sz="4" w:space="0" w:color="auto"/>
            </w:tcBorders>
            <w:shd w:val="clear" w:color="auto" w:fill="auto"/>
            <w:vAlign w:val="center"/>
            <w:hideMark/>
          </w:tcPr>
          <w:p w14:paraId="305ACDF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ve věku nad 54 let zaměstnaní 6 měsíců po ukončení své účasti, včetně OSVČ</w:t>
            </w:r>
          </w:p>
        </w:tc>
        <w:tc>
          <w:tcPr>
            <w:tcW w:w="1051" w:type="dxa"/>
            <w:vMerge w:val="restart"/>
            <w:tcBorders>
              <w:top w:val="nil"/>
              <w:left w:val="single" w:sz="4" w:space="0" w:color="auto"/>
              <w:bottom w:val="single" w:sz="4" w:space="0" w:color="auto"/>
              <w:right w:val="single" w:sz="4" w:space="0" w:color="auto"/>
            </w:tcBorders>
            <w:shd w:val="clear" w:color="auto" w:fill="auto"/>
            <w:vAlign w:val="center"/>
            <w:hideMark/>
          </w:tcPr>
          <w:p w14:paraId="269B70F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14:paraId="344A7CF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60700 účastníci ve věku nad 54 let, 60400 Neaktivní osoby, které nejsou v procesu vzdělávání nebo odborné přípravy</w:t>
            </w:r>
          </w:p>
        </w:tc>
        <w:tc>
          <w:tcPr>
            <w:tcW w:w="777" w:type="dxa"/>
            <w:vMerge w:val="restart"/>
            <w:tcBorders>
              <w:top w:val="nil"/>
              <w:left w:val="single" w:sz="4" w:space="0" w:color="auto"/>
              <w:bottom w:val="single" w:sz="4" w:space="0" w:color="auto"/>
              <w:right w:val="single" w:sz="4" w:space="0" w:color="auto"/>
            </w:tcBorders>
            <w:shd w:val="clear" w:color="auto" w:fill="auto"/>
            <w:vAlign w:val="center"/>
            <w:hideMark/>
          </w:tcPr>
          <w:p w14:paraId="28A8EE8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73D30F2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1 623,000</w:t>
            </w:r>
          </w:p>
        </w:tc>
        <w:tc>
          <w:tcPr>
            <w:tcW w:w="5613" w:type="dxa"/>
            <w:gridSpan w:val="10"/>
            <w:tcBorders>
              <w:top w:val="single" w:sz="4" w:space="0" w:color="auto"/>
              <w:left w:val="nil"/>
              <w:bottom w:val="single" w:sz="4" w:space="0" w:color="auto"/>
              <w:right w:val="single" w:sz="4" w:space="0" w:color="000000"/>
            </w:tcBorders>
            <w:shd w:val="clear" w:color="auto" w:fill="auto"/>
            <w:vAlign w:val="center"/>
            <w:hideMark/>
          </w:tcPr>
          <w:p w14:paraId="02FA074B"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4CF688E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14:paraId="28EF231F"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0,062</w:t>
            </w:r>
          </w:p>
        </w:tc>
      </w:tr>
      <w:tr w:rsidR="006A7A9F" w:rsidRPr="006A7A9F" w14:paraId="7B93A682"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550ACA32"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19FBCD30"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6BFB68ED"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26F538AC"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288BD99B"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1827CEDA"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4A3735D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431A7A1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9CA822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8F0A63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324F90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1C7236B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0" w:type="dxa"/>
            <w:tcBorders>
              <w:top w:val="nil"/>
              <w:left w:val="nil"/>
              <w:bottom w:val="single" w:sz="4" w:space="0" w:color="auto"/>
              <w:right w:val="single" w:sz="4" w:space="0" w:color="auto"/>
            </w:tcBorders>
            <w:shd w:val="clear" w:color="auto" w:fill="auto"/>
            <w:vAlign w:val="center"/>
            <w:hideMark/>
          </w:tcPr>
          <w:p w14:paraId="64AAEF8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CB3624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58CE615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079F44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619CB97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702" w:type="dxa"/>
            <w:vMerge/>
            <w:tcBorders>
              <w:top w:val="nil"/>
              <w:left w:val="single" w:sz="4" w:space="0" w:color="auto"/>
              <w:bottom w:val="single" w:sz="4" w:space="0" w:color="000000"/>
              <w:right w:val="single" w:sz="4" w:space="0" w:color="auto"/>
            </w:tcBorders>
            <w:vAlign w:val="center"/>
            <w:hideMark/>
          </w:tcPr>
          <w:p w14:paraId="54848949"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773D7DE3"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6A67C621"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2A28D866"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7C0296EB"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0A64BBB9"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55824F8B"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03326F33"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40E0B9F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084BFD2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63C5EC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50D7B7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1468FB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6B05747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0" w:type="dxa"/>
            <w:tcBorders>
              <w:top w:val="nil"/>
              <w:left w:val="nil"/>
              <w:bottom w:val="single" w:sz="4" w:space="0" w:color="auto"/>
              <w:right w:val="single" w:sz="4" w:space="0" w:color="auto"/>
            </w:tcBorders>
            <w:shd w:val="clear" w:color="auto" w:fill="auto"/>
            <w:vAlign w:val="center"/>
            <w:hideMark/>
          </w:tcPr>
          <w:p w14:paraId="4B51F08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2184D86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06E1F0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1BA98AA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52387E6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702" w:type="dxa"/>
            <w:vMerge/>
            <w:tcBorders>
              <w:top w:val="nil"/>
              <w:left w:val="single" w:sz="4" w:space="0" w:color="auto"/>
              <w:bottom w:val="single" w:sz="4" w:space="0" w:color="000000"/>
              <w:right w:val="single" w:sz="4" w:space="0" w:color="auto"/>
            </w:tcBorders>
            <w:vAlign w:val="center"/>
            <w:hideMark/>
          </w:tcPr>
          <w:p w14:paraId="5C565666"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1DC0BAE3" w14:textId="77777777" w:rsidTr="007D24EE">
        <w:trPr>
          <w:trHeight w:val="20"/>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14:paraId="0D1370D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63200</w:t>
            </w:r>
            <w:r w:rsidRPr="006A7A9F">
              <w:rPr>
                <w:rFonts w:ascii="Arial" w:eastAsia="Times New Roman" w:hAnsi="Arial" w:cs="Arial"/>
                <w:color w:val="000000"/>
                <w:sz w:val="14"/>
                <w:szCs w:val="14"/>
                <w:lang w:val="cs-CZ" w:eastAsia="cs-CZ"/>
              </w:rPr>
              <w:br/>
              <w:t>CR09</w:t>
            </w:r>
          </w:p>
        </w:tc>
        <w:tc>
          <w:tcPr>
            <w:tcW w:w="2892" w:type="dxa"/>
            <w:vMerge w:val="restart"/>
            <w:tcBorders>
              <w:top w:val="nil"/>
              <w:left w:val="single" w:sz="4" w:space="0" w:color="auto"/>
              <w:bottom w:val="single" w:sz="4" w:space="0" w:color="auto"/>
              <w:right w:val="single" w:sz="4" w:space="0" w:color="auto"/>
            </w:tcBorders>
            <w:shd w:val="clear" w:color="auto" w:fill="auto"/>
            <w:vAlign w:val="center"/>
            <w:hideMark/>
          </w:tcPr>
          <w:p w14:paraId="3DDBC570"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Znevýhodnění účastníci zaměstnaní 6 měsíců po ukončení své účasti včetně OSVČ</w:t>
            </w:r>
          </w:p>
        </w:tc>
        <w:tc>
          <w:tcPr>
            <w:tcW w:w="1051" w:type="dxa"/>
            <w:vMerge w:val="restart"/>
            <w:tcBorders>
              <w:top w:val="nil"/>
              <w:left w:val="single" w:sz="4" w:space="0" w:color="auto"/>
              <w:bottom w:val="single" w:sz="4" w:space="0" w:color="auto"/>
              <w:right w:val="single" w:sz="4" w:space="0" w:color="auto"/>
            </w:tcBorders>
            <w:shd w:val="clear" w:color="auto" w:fill="auto"/>
            <w:vAlign w:val="center"/>
            <w:hideMark/>
          </w:tcPr>
          <w:p w14:paraId="3332266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14:paraId="25F88A5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777" w:type="dxa"/>
            <w:vMerge w:val="restart"/>
            <w:tcBorders>
              <w:top w:val="nil"/>
              <w:left w:val="single" w:sz="4" w:space="0" w:color="auto"/>
              <w:bottom w:val="single" w:sz="4" w:space="0" w:color="auto"/>
              <w:right w:val="single" w:sz="4" w:space="0" w:color="auto"/>
            </w:tcBorders>
            <w:shd w:val="clear" w:color="auto" w:fill="auto"/>
            <w:vAlign w:val="center"/>
            <w:hideMark/>
          </w:tcPr>
          <w:p w14:paraId="4AE04A0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1983E1C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2 465,000</w:t>
            </w:r>
          </w:p>
        </w:tc>
        <w:tc>
          <w:tcPr>
            <w:tcW w:w="5613" w:type="dxa"/>
            <w:gridSpan w:val="10"/>
            <w:tcBorders>
              <w:top w:val="single" w:sz="4" w:space="0" w:color="auto"/>
              <w:left w:val="nil"/>
              <w:bottom w:val="single" w:sz="4" w:space="0" w:color="auto"/>
              <w:right w:val="single" w:sz="4" w:space="0" w:color="000000"/>
            </w:tcBorders>
            <w:shd w:val="clear" w:color="auto" w:fill="auto"/>
            <w:vAlign w:val="center"/>
            <w:hideMark/>
          </w:tcPr>
          <w:p w14:paraId="73787756"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6F87105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6,000</w:t>
            </w:r>
          </w:p>
        </w:tc>
        <w:tc>
          <w:tcPr>
            <w:tcW w:w="702" w:type="dxa"/>
            <w:vMerge w:val="restart"/>
            <w:tcBorders>
              <w:top w:val="nil"/>
              <w:left w:val="single" w:sz="4" w:space="0" w:color="auto"/>
              <w:bottom w:val="single" w:sz="4" w:space="0" w:color="000000"/>
              <w:right w:val="single" w:sz="4" w:space="0" w:color="auto"/>
            </w:tcBorders>
            <w:shd w:val="clear" w:color="auto" w:fill="auto"/>
            <w:vAlign w:val="center"/>
            <w:hideMark/>
          </w:tcPr>
          <w:p w14:paraId="2B8B657A"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0,243</w:t>
            </w:r>
          </w:p>
        </w:tc>
      </w:tr>
      <w:tr w:rsidR="006A7A9F" w:rsidRPr="006A7A9F" w14:paraId="278B06EA"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05CE4779"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5598987D"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5A1EE1B4"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6DC59E9D"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5162E046"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5942C55B"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719A0B6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DB5267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9929E2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8C9BA4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2DFBD83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1A16B3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0" w:type="dxa"/>
            <w:tcBorders>
              <w:top w:val="nil"/>
              <w:left w:val="nil"/>
              <w:bottom w:val="single" w:sz="4" w:space="0" w:color="auto"/>
              <w:right w:val="single" w:sz="4" w:space="0" w:color="auto"/>
            </w:tcBorders>
            <w:shd w:val="clear" w:color="auto" w:fill="auto"/>
            <w:vAlign w:val="center"/>
            <w:hideMark/>
          </w:tcPr>
          <w:p w14:paraId="189B55F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1A3E43B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61B8B2E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5B3FF3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6552BCC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702" w:type="dxa"/>
            <w:vMerge/>
            <w:tcBorders>
              <w:top w:val="nil"/>
              <w:left w:val="single" w:sz="4" w:space="0" w:color="auto"/>
              <w:bottom w:val="single" w:sz="4" w:space="0" w:color="000000"/>
              <w:right w:val="single" w:sz="4" w:space="0" w:color="auto"/>
            </w:tcBorders>
            <w:vAlign w:val="center"/>
            <w:hideMark/>
          </w:tcPr>
          <w:p w14:paraId="32209899"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75FC31B8" w14:textId="77777777" w:rsidTr="007D24EE">
        <w:trPr>
          <w:trHeight w:val="20"/>
        </w:trPr>
        <w:tc>
          <w:tcPr>
            <w:tcW w:w="528" w:type="dxa"/>
            <w:vMerge/>
            <w:tcBorders>
              <w:top w:val="nil"/>
              <w:left w:val="single" w:sz="4" w:space="0" w:color="auto"/>
              <w:bottom w:val="single" w:sz="4" w:space="0" w:color="auto"/>
              <w:right w:val="single" w:sz="4" w:space="0" w:color="auto"/>
            </w:tcBorders>
            <w:vAlign w:val="center"/>
            <w:hideMark/>
          </w:tcPr>
          <w:p w14:paraId="1B9516FA" w14:textId="77777777" w:rsidR="006A7A9F" w:rsidRPr="006A7A9F" w:rsidRDefault="006A7A9F" w:rsidP="006A7A9F">
            <w:pPr>
              <w:rPr>
                <w:rFonts w:ascii="Arial" w:eastAsia="Times New Roman" w:hAnsi="Arial" w:cs="Arial"/>
                <w:color w:val="000000"/>
                <w:sz w:val="14"/>
                <w:szCs w:val="14"/>
                <w:lang w:val="cs-CZ" w:eastAsia="cs-CZ"/>
              </w:rPr>
            </w:pPr>
          </w:p>
        </w:tc>
        <w:tc>
          <w:tcPr>
            <w:tcW w:w="2892" w:type="dxa"/>
            <w:vMerge/>
            <w:tcBorders>
              <w:top w:val="nil"/>
              <w:left w:val="single" w:sz="4" w:space="0" w:color="auto"/>
              <w:bottom w:val="single" w:sz="4" w:space="0" w:color="auto"/>
              <w:right w:val="single" w:sz="4" w:space="0" w:color="auto"/>
            </w:tcBorders>
            <w:vAlign w:val="center"/>
            <w:hideMark/>
          </w:tcPr>
          <w:p w14:paraId="419F31BD" w14:textId="77777777" w:rsidR="006A7A9F" w:rsidRPr="006A7A9F" w:rsidRDefault="006A7A9F" w:rsidP="006A7A9F">
            <w:pPr>
              <w:rPr>
                <w:rFonts w:ascii="Arial" w:eastAsia="Times New Roman" w:hAnsi="Arial" w:cs="Arial"/>
                <w:color w:val="000000"/>
                <w:sz w:val="14"/>
                <w:szCs w:val="14"/>
                <w:lang w:val="cs-CZ" w:eastAsia="cs-CZ"/>
              </w:rPr>
            </w:pPr>
          </w:p>
        </w:tc>
        <w:tc>
          <w:tcPr>
            <w:tcW w:w="1051" w:type="dxa"/>
            <w:vMerge/>
            <w:tcBorders>
              <w:top w:val="nil"/>
              <w:left w:val="single" w:sz="4" w:space="0" w:color="auto"/>
              <w:bottom w:val="single" w:sz="4" w:space="0" w:color="auto"/>
              <w:right w:val="single" w:sz="4" w:space="0" w:color="auto"/>
            </w:tcBorders>
            <w:vAlign w:val="center"/>
            <w:hideMark/>
          </w:tcPr>
          <w:p w14:paraId="1343ECFD" w14:textId="77777777" w:rsidR="006A7A9F" w:rsidRPr="006A7A9F" w:rsidRDefault="006A7A9F" w:rsidP="006A7A9F">
            <w:pPr>
              <w:rPr>
                <w:rFonts w:ascii="Arial" w:eastAsia="Times New Roman" w:hAnsi="Arial" w:cs="Arial"/>
                <w:color w:val="000000"/>
                <w:sz w:val="14"/>
                <w:szCs w:val="14"/>
                <w:lang w:val="cs-CZ" w:eastAsia="cs-CZ"/>
              </w:rPr>
            </w:pPr>
          </w:p>
        </w:tc>
        <w:tc>
          <w:tcPr>
            <w:tcW w:w="2739" w:type="dxa"/>
            <w:vMerge/>
            <w:tcBorders>
              <w:top w:val="nil"/>
              <w:left w:val="single" w:sz="4" w:space="0" w:color="auto"/>
              <w:bottom w:val="single" w:sz="4" w:space="0" w:color="auto"/>
              <w:right w:val="single" w:sz="4" w:space="0" w:color="auto"/>
            </w:tcBorders>
            <w:vAlign w:val="center"/>
            <w:hideMark/>
          </w:tcPr>
          <w:p w14:paraId="2FE76AC5" w14:textId="77777777" w:rsidR="006A7A9F" w:rsidRPr="006A7A9F" w:rsidRDefault="006A7A9F" w:rsidP="006A7A9F">
            <w:pPr>
              <w:rPr>
                <w:rFonts w:ascii="Arial" w:eastAsia="Times New Roman" w:hAnsi="Arial" w:cs="Arial"/>
                <w:color w:val="000000"/>
                <w:sz w:val="14"/>
                <w:szCs w:val="14"/>
                <w:lang w:val="cs-CZ" w:eastAsia="cs-CZ"/>
              </w:rPr>
            </w:pPr>
          </w:p>
        </w:tc>
        <w:tc>
          <w:tcPr>
            <w:tcW w:w="777" w:type="dxa"/>
            <w:vMerge/>
            <w:tcBorders>
              <w:top w:val="nil"/>
              <w:left w:val="single" w:sz="4" w:space="0" w:color="auto"/>
              <w:bottom w:val="single" w:sz="4" w:space="0" w:color="auto"/>
              <w:right w:val="single" w:sz="4" w:space="0" w:color="auto"/>
            </w:tcBorders>
            <w:vAlign w:val="center"/>
            <w:hideMark/>
          </w:tcPr>
          <w:p w14:paraId="5BF7DEA2" w14:textId="77777777" w:rsidR="006A7A9F" w:rsidRPr="006A7A9F" w:rsidRDefault="006A7A9F" w:rsidP="006A7A9F">
            <w:pPr>
              <w:rPr>
                <w:rFonts w:ascii="Arial" w:eastAsia="Times New Roman" w:hAnsi="Arial" w:cs="Arial"/>
                <w:color w:val="000000"/>
                <w:sz w:val="14"/>
                <w:szCs w:val="14"/>
                <w:lang w:val="cs-CZ" w:eastAsia="cs-CZ"/>
              </w:rPr>
            </w:pPr>
          </w:p>
        </w:tc>
        <w:tc>
          <w:tcPr>
            <w:tcW w:w="740" w:type="dxa"/>
            <w:vMerge/>
            <w:tcBorders>
              <w:top w:val="nil"/>
              <w:left w:val="single" w:sz="4" w:space="0" w:color="auto"/>
              <w:bottom w:val="single" w:sz="4" w:space="0" w:color="auto"/>
              <w:right w:val="single" w:sz="4" w:space="0" w:color="auto"/>
            </w:tcBorders>
            <w:vAlign w:val="center"/>
            <w:hideMark/>
          </w:tcPr>
          <w:p w14:paraId="4F24C93D"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5149019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78CE4B2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D250BF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14856E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3" w:type="dxa"/>
            <w:tcBorders>
              <w:top w:val="nil"/>
              <w:left w:val="nil"/>
              <w:bottom w:val="single" w:sz="4" w:space="0" w:color="auto"/>
              <w:right w:val="single" w:sz="4" w:space="0" w:color="auto"/>
            </w:tcBorders>
            <w:shd w:val="clear" w:color="auto" w:fill="auto"/>
            <w:vAlign w:val="center"/>
            <w:hideMark/>
          </w:tcPr>
          <w:p w14:paraId="3F3A856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2,000</w:t>
            </w:r>
          </w:p>
        </w:tc>
        <w:tc>
          <w:tcPr>
            <w:tcW w:w="563" w:type="dxa"/>
            <w:tcBorders>
              <w:top w:val="nil"/>
              <w:left w:val="nil"/>
              <w:bottom w:val="single" w:sz="4" w:space="0" w:color="auto"/>
              <w:right w:val="single" w:sz="4" w:space="0" w:color="auto"/>
            </w:tcBorders>
            <w:shd w:val="clear" w:color="auto" w:fill="auto"/>
            <w:vAlign w:val="center"/>
            <w:hideMark/>
          </w:tcPr>
          <w:p w14:paraId="431D989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w:t>
            </w:r>
          </w:p>
        </w:tc>
        <w:tc>
          <w:tcPr>
            <w:tcW w:w="560" w:type="dxa"/>
            <w:tcBorders>
              <w:top w:val="nil"/>
              <w:left w:val="nil"/>
              <w:bottom w:val="single" w:sz="4" w:space="0" w:color="auto"/>
              <w:right w:val="single" w:sz="4" w:space="0" w:color="auto"/>
            </w:tcBorders>
            <w:shd w:val="clear" w:color="auto" w:fill="auto"/>
            <w:vAlign w:val="center"/>
            <w:hideMark/>
          </w:tcPr>
          <w:p w14:paraId="6172B0B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07F2459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74651F1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0" w:type="dxa"/>
            <w:tcBorders>
              <w:top w:val="nil"/>
              <w:left w:val="nil"/>
              <w:bottom w:val="single" w:sz="4" w:space="0" w:color="auto"/>
              <w:right w:val="single" w:sz="4" w:space="0" w:color="auto"/>
            </w:tcBorders>
            <w:shd w:val="clear" w:color="auto" w:fill="auto"/>
            <w:vAlign w:val="center"/>
            <w:hideMark/>
          </w:tcPr>
          <w:p w14:paraId="66661EF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8" w:type="dxa"/>
            <w:tcBorders>
              <w:top w:val="nil"/>
              <w:left w:val="nil"/>
              <w:bottom w:val="single" w:sz="4" w:space="0" w:color="auto"/>
              <w:right w:val="single" w:sz="4" w:space="0" w:color="auto"/>
            </w:tcBorders>
            <w:shd w:val="clear" w:color="auto" w:fill="auto"/>
            <w:vAlign w:val="center"/>
            <w:hideMark/>
          </w:tcPr>
          <w:p w14:paraId="76BE44A3" w14:textId="1034FDFB"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5,000</w:t>
            </w:r>
          </w:p>
        </w:tc>
        <w:tc>
          <w:tcPr>
            <w:tcW w:w="702" w:type="dxa"/>
            <w:vMerge/>
            <w:tcBorders>
              <w:top w:val="nil"/>
              <w:left w:val="single" w:sz="4" w:space="0" w:color="auto"/>
              <w:bottom w:val="single" w:sz="4" w:space="0" w:color="000000"/>
              <w:right w:val="single" w:sz="4" w:space="0" w:color="auto"/>
            </w:tcBorders>
            <w:vAlign w:val="center"/>
            <w:hideMark/>
          </w:tcPr>
          <w:p w14:paraId="7C5C24C9" w14:textId="77777777" w:rsidR="006A7A9F" w:rsidRPr="006A7A9F" w:rsidRDefault="006A7A9F" w:rsidP="006A7A9F">
            <w:pPr>
              <w:rPr>
                <w:rFonts w:ascii="Arial" w:eastAsia="Times New Roman" w:hAnsi="Arial" w:cs="Arial"/>
                <w:color w:val="000000"/>
                <w:sz w:val="14"/>
                <w:szCs w:val="14"/>
                <w:lang w:val="cs-CZ" w:eastAsia="cs-CZ"/>
              </w:rPr>
            </w:pPr>
          </w:p>
        </w:tc>
      </w:tr>
    </w:tbl>
    <w:p w14:paraId="7724EBE5" w14:textId="77777777" w:rsidR="00541D74" w:rsidRPr="002F2BE4" w:rsidRDefault="00541D74" w:rsidP="00BC5BB6">
      <w:pPr>
        <w:keepNext/>
        <w:ind w:right="106"/>
        <w:jc w:val="both"/>
        <w:rPr>
          <w:rFonts w:ascii="Arial" w:eastAsia="Arial" w:hAnsi="Arial" w:cs="Arial"/>
          <w:color w:val="000000"/>
          <w:sz w:val="20"/>
          <w:lang w:val="cs-CZ"/>
        </w:rPr>
      </w:pPr>
    </w:p>
    <w:p w14:paraId="6E9A60B4" w14:textId="798F1C5E" w:rsidR="00BC5BB6" w:rsidRPr="00BC5BB6" w:rsidRDefault="00FD35AB" w:rsidP="00BC5BB6">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w:t>
      </w:r>
      <w:r w:rsidR="00BC5BB6">
        <w:rPr>
          <w:rFonts w:ascii="Arial" w:eastAsia="Arial" w:hAnsi="Arial" w:cs="Arial"/>
          <w:color w:val="000000"/>
          <w:sz w:val="16"/>
          <w:lang w:val="cs-CZ"/>
        </w:rPr>
        <w:t xml:space="preserve"> jsou poskytnuty pro každý rok.</w:t>
      </w:r>
    </w:p>
    <w:p w14:paraId="623A2748"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03.3.48 Přístup k zaměstnání pro osoby hledající zaměstnání a neaktivní osoby, včetně dlouhodobě nezaměstnaných a osob vzdálených trhu práce, také prostřednictvím místních iniciativ na podporu zaměstnanosti a mobility pracovníků</w:t>
      </w:r>
    </w:p>
    <w:tbl>
      <w:tblPr>
        <w:tblW w:w="15880" w:type="dxa"/>
        <w:tblInd w:w="75" w:type="dxa"/>
        <w:tblCellMar>
          <w:left w:w="70" w:type="dxa"/>
          <w:right w:w="70" w:type="dxa"/>
        </w:tblCellMar>
        <w:tblLook w:val="04A0" w:firstRow="1" w:lastRow="0" w:firstColumn="1" w:lastColumn="0" w:noHBand="0" w:noVBand="1"/>
      </w:tblPr>
      <w:tblGrid>
        <w:gridCol w:w="531"/>
        <w:gridCol w:w="2719"/>
        <w:gridCol w:w="1014"/>
        <w:gridCol w:w="2544"/>
        <w:gridCol w:w="770"/>
        <w:gridCol w:w="887"/>
        <w:gridCol w:w="554"/>
        <w:gridCol w:w="554"/>
        <w:gridCol w:w="554"/>
        <w:gridCol w:w="569"/>
        <w:gridCol w:w="569"/>
        <w:gridCol w:w="569"/>
        <w:gridCol w:w="550"/>
        <w:gridCol w:w="550"/>
        <w:gridCol w:w="550"/>
        <w:gridCol w:w="551"/>
        <w:gridCol w:w="1004"/>
        <w:gridCol w:w="841"/>
      </w:tblGrid>
      <w:tr w:rsidR="006A7A9F" w:rsidRPr="006A7A9F" w14:paraId="4A52B560" w14:textId="77777777" w:rsidTr="007D24EE">
        <w:trPr>
          <w:trHeight w:val="20"/>
          <w:tblHeader/>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78C849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ID</w:t>
            </w:r>
          </w:p>
        </w:tc>
        <w:tc>
          <w:tcPr>
            <w:tcW w:w="29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C7BE4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Indikátor</w:t>
            </w:r>
          </w:p>
        </w:tc>
        <w:tc>
          <w:tcPr>
            <w:tcW w:w="10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DB2B1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Kategorie regionu</w:t>
            </w:r>
          </w:p>
        </w:tc>
        <w:tc>
          <w:tcPr>
            <w:tcW w:w="26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10086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Společný indikátor výstupů použitý jako základ pro stanovení cíle</w:t>
            </w:r>
          </w:p>
        </w:tc>
        <w:tc>
          <w:tcPr>
            <w:tcW w:w="7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1E964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Měrná jednotka pro výchozí hodnotu a cíl</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790E1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Cílová hodnota (2023) (Rozdělení podle pohlaví je pro cíl nepovinné)</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6D1E8DC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2014</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4832DE9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2015</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62914C7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2016</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7B308C9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2017</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108E384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2018</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3B11B0E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2019</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30BCF8E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2020</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5CA534A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2021</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48E1746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2022</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0C3BAB2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2023</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6821A3D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Kumulativní hodnota (vypočítána automaticky)</w:t>
            </w:r>
          </w:p>
        </w:tc>
        <w:tc>
          <w:tcPr>
            <w:tcW w:w="7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96B96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Míra splnění Rozdělení podle pohlaví je nepovinné</w:t>
            </w:r>
          </w:p>
        </w:tc>
      </w:tr>
      <w:tr w:rsidR="006A7A9F" w:rsidRPr="006A7A9F" w14:paraId="2FA49E7F" w14:textId="77777777" w:rsidTr="007D24EE">
        <w:trPr>
          <w:trHeight w:val="20"/>
          <w:tblHeader/>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6204F685" w14:textId="77777777" w:rsidR="006A7A9F" w:rsidRPr="006A7A9F" w:rsidRDefault="006A7A9F" w:rsidP="006A7A9F">
            <w:pPr>
              <w:rPr>
                <w:rFonts w:ascii="Arial" w:eastAsia="Times New Roman" w:hAnsi="Arial" w:cs="Arial"/>
                <w:b/>
                <w:bCs/>
                <w:color w:val="000000"/>
                <w:sz w:val="14"/>
                <w:szCs w:val="14"/>
                <w:lang w:val="cs-CZ" w:eastAsia="cs-CZ"/>
              </w:rPr>
            </w:pPr>
          </w:p>
        </w:tc>
        <w:tc>
          <w:tcPr>
            <w:tcW w:w="2928" w:type="dxa"/>
            <w:vMerge/>
            <w:tcBorders>
              <w:top w:val="single" w:sz="4" w:space="0" w:color="auto"/>
              <w:left w:val="single" w:sz="4" w:space="0" w:color="auto"/>
              <w:bottom w:val="single" w:sz="4" w:space="0" w:color="000000"/>
              <w:right w:val="single" w:sz="4" w:space="0" w:color="auto"/>
            </w:tcBorders>
            <w:vAlign w:val="center"/>
            <w:hideMark/>
          </w:tcPr>
          <w:p w14:paraId="73723391" w14:textId="77777777" w:rsidR="006A7A9F" w:rsidRPr="006A7A9F" w:rsidRDefault="006A7A9F" w:rsidP="006A7A9F">
            <w:pPr>
              <w:rPr>
                <w:rFonts w:ascii="Arial" w:eastAsia="Times New Roman" w:hAnsi="Arial" w:cs="Arial"/>
                <w:b/>
                <w:bCs/>
                <w:color w:val="000000"/>
                <w:sz w:val="14"/>
                <w:szCs w:val="14"/>
                <w:lang w:val="cs-CZ" w:eastAsia="cs-CZ"/>
              </w:rPr>
            </w:pPr>
          </w:p>
        </w:tc>
        <w:tc>
          <w:tcPr>
            <w:tcW w:w="1038" w:type="dxa"/>
            <w:vMerge/>
            <w:tcBorders>
              <w:top w:val="single" w:sz="4" w:space="0" w:color="auto"/>
              <w:left w:val="single" w:sz="4" w:space="0" w:color="auto"/>
              <w:bottom w:val="single" w:sz="4" w:space="0" w:color="000000"/>
              <w:right w:val="single" w:sz="4" w:space="0" w:color="auto"/>
            </w:tcBorders>
            <w:vAlign w:val="center"/>
            <w:hideMark/>
          </w:tcPr>
          <w:p w14:paraId="7F31270D" w14:textId="77777777" w:rsidR="006A7A9F" w:rsidRPr="006A7A9F" w:rsidRDefault="006A7A9F" w:rsidP="006A7A9F">
            <w:pPr>
              <w:rPr>
                <w:rFonts w:ascii="Arial" w:eastAsia="Times New Roman" w:hAnsi="Arial" w:cs="Arial"/>
                <w:b/>
                <w:bCs/>
                <w:color w:val="000000"/>
                <w:sz w:val="14"/>
                <w:szCs w:val="14"/>
                <w:lang w:val="cs-CZ" w:eastAsia="cs-CZ"/>
              </w:rPr>
            </w:pPr>
          </w:p>
        </w:tc>
        <w:tc>
          <w:tcPr>
            <w:tcW w:w="2684" w:type="dxa"/>
            <w:vMerge/>
            <w:tcBorders>
              <w:top w:val="single" w:sz="4" w:space="0" w:color="auto"/>
              <w:left w:val="single" w:sz="4" w:space="0" w:color="auto"/>
              <w:bottom w:val="single" w:sz="4" w:space="0" w:color="000000"/>
              <w:right w:val="single" w:sz="4" w:space="0" w:color="auto"/>
            </w:tcBorders>
            <w:vAlign w:val="center"/>
            <w:hideMark/>
          </w:tcPr>
          <w:p w14:paraId="1BB414C9"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668E2E9F" w14:textId="77777777" w:rsidR="006A7A9F" w:rsidRPr="006A7A9F" w:rsidRDefault="006A7A9F" w:rsidP="006A7A9F">
            <w:pPr>
              <w:rPr>
                <w:rFonts w:ascii="Arial" w:eastAsia="Times New Roman" w:hAnsi="Arial" w:cs="Arial"/>
                <w:b/>
                <w:bCs/>
                <w:color w:val="000000"/>
                <w:sz w:val="14"/>
                <w:szCs w:val="14"/>
                <w:lang w:val="cs-CZ" w:eastAsia="cs-CZ"/>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14:paraId="779F6E2A"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1" w:type="dxa"/>
            <w:gridSpan w:val="10"/>
            <w:tcBorders>
              <w:top w:val="single" w:sz="4" w:space="0" w:color="auto"/>
              <w:left w:val="nil"/>
              <w:bottom w:val="single" w:sz="4" w:space="0" w:color="auto"/>
              <w:right w:val="single" w:sz="4" w:space="0" w:color="000000"/>
            </w:tcBorders>
            <w:shd w:val="clear" w:color="auto" w:fill="auto"/>
            <w:vAlign w:val="center"/>
            <w:hideMark/>
          </w:tcPr>
          <w:p w14:paraId="3A522A6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Roční hodnota</w:t>
            </w:r>
          </w:p>
        </w:tc>
        <w:tc>
          <w:tcPr>
            <w:tcW w:w="829" w:type="dxa"/>
            <w:tcBorders>
              <w:top w:val="nil"/>
              <w:left w:val="nil"/>
              <w:bottom w:val="single" w:sz="4" w:space="0" w:color="auto"/>
              <w:right w:val="single" w:sz="4" w:space="0" w:color="auto"/>
            </w:tcBorders>
            <w:shd w:val="clear" w:color="auto" w:fill="auto"/>
            <w:vAlign w:val="center"/>
            <w:hideMark/>
          </w:tcPr>
          <w:p w14:paraId="7D30C57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Celkem</w:t>
            </w:r>
          </w:p>
        </w:tc>
        <w:tc>
          <w:tcPr>
            <w:tcW w:w="727" w:type="dxa"/>
            <w:vMerge/>
            <w:tcBorders>
              <w:top w:val="single" w:sz="4" w:space="0" w:color="auto"/>
              <w:left w:val="single" w:sz="4" w:space="0" w:color="auto"/>
              <w:bottom w:val="single" w:sz="4" w:space="0" w:color="000000"/>
              <w:right w:val="single" w:sz="4" w:space="0" w:color="auto"/>
            </w:tcBorders>
            <w:vAlign w:val="center"/>
            <w:hideMark/>
          </w:tcPr>
          <w:p w14:paraId="53138A11"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14A800C7" w14:textId="77777777" w:rsidTr="007D24EE">
        <w:trPr>
          <w:trHeight w:val="20"/>
          <w:tblHeader/>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59612C53" w14:textId="77777777" w:rsidR="006A7A9F" w:rsidRPr="006A7A9F" w:rsidRDefault="006A7A9F" w:rsidP="006A7A9F">
            <w:pPr>
              <w:rPr>
                <w:rFonts w:ascii="Arial" w:eastAsia="Times New Roman" w:hAnsi="Arial" w:cs="Arial"/>
                <w:b/>
                <w:bCs/>
                <w:color w:val="000000"/>
                <w:sz w:val="14"/>
                <w:szCs w:val="14"/>
                <w:lang w:val="cs-CZ" w:eastAsia="cs-CZ"/>
              </w:rPr>
            </w:pPr>
          </w:p>
        </w:tc>
        <w:tc>
          <w:tcPr>
            <w:tcW w:w="2928" w:type="dxa"/>
            <w:vMerge/>
            <w:tcBorders>
              <w:top w:val="single" w:sz="4" w:space="0" w:color="auto"/>
              <w:left w:val="single" w:sz="4" w:space="0" w:color="auto"/>
              <w:bottom w:val="single" w:sz="4" w:space="0" w:color="000000"/>
              <w:right w:val="single" w:sz="4" w:space="0" w:color="auto"/>
            </w:tcBorders>
            <w:vAlign w:val="center"/>
            <w:hideMark/>
          </w:tcPr>
          <w:p w14:paraId="7FEE6336" w14:textId="77777777" w:rsidR="006A7A9F" w:rsidRPr="006A7A9F" w:rsidRDefault="006A7A9F" w:rsidP="006A7A9F">
            <w:pPr>
              <w:rPr>
                <w:rFonts w:ascii="Arial" w:eastAsia="Times New Roman" w:hAnsi="Arial" w:cs="Arial"/>
                <w:b/>
                <w:bCs/>
                <w:color w:val="000000"/>
                <w:sz w:val="14"/>
                <w:szCs w:val="14"/>
                <w:lang w:val="cs-CZ" w:eastAsia="cs-CZ"/>
              </w:rPr>
            </w:pPr>
          </w:p>
        </w:tc>
        <w:tc>
          <w:tcPr>
            <w:tcW w:w="1038" w:type="dxa"/>
            <w:vMerge/>
            <w:tcBorders>
              <w:top w:val="single" w:sz="4" w:space="0" w:color="auto"/>
              <w:left w:val="single" w:sz="4" w:space="0" w:color="auto"/>
              <w:bottom w:val="single" w:sz="4" w:space="0" w:color="000000"/>
              <w:right w:val="single" w:sz="4" w:space="0" w:color="auto"/>
            </w:tcBorders>
            <w:vAlign w:val="center"/>
            <w:hideMark/>
          </w:tcPr>
          <w:p w14:paraId="77610081" w14:textId="77777777" w:rsidR="006A7A9F" w:rsidRPr="006A7A9F" w:rsidRDefault="006A7A9F" w:rsidP="006A7A9F">
            <w:pPr>
              <w:rPr>
                <w:rFonts w:ascii="Arial" w:eastAsia="Times New Roman" w:hAnsi="Arial" w:cs="Arial"/>
                <w:b/>
                <w:bCs/>
                <w:color w:val="000000"/>
                <w:sz w:val="14"/>
                <w:szCs w:val="14"/>
                <w:lang w:val="cs-CZ" w:eastAsia="cs-CZ"/>
              </w:rPr>
            </w:pPr>
          </w:p>
        </w:tc>
        <w:tc>
          <w:tcPr>
            <w:tcW w:w="2684" w:type="dxa"/>
            <w:vMerge/>
            <w:tcBorders>
              <w:top w:val="single" w:sz="4" w:space="0" w:color="auto"/>
              <w:left w:val="single" w:sz="4" w:space="0" w:color="auto"/>
              <w:bottom w:val="single" w:sz="4" w:space="0" w:color="000000"/>
              <w:right w:val="single" w:sz="4" w:space="0" w:color="auto"/>
            </w:tcBorders>
            <w:vAlign w:val="center"/>
            <w:hideMark/>
          </w:tcPr>
          <w:p w14:paraId="5F5D58A9"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1B1F38B8" w14:textId="77777777" w:rsidR="006A7A9F" w:rsidRPr="006A7A9F" w:rsidRDefault="006A7A9F" w:rsidP="006A7A9F">
            <w:pPr>
              <w:rPr>
                <w:rFonts w:ascii="Arial" w:eastAsia="Times New Roman" w:hAnsi="Arial" w:cs="Arial"/>
                <w:b/>
                <w:bCs/>
                <w:color w:val="000000"/>
                <w:sz w:val="14"/>
                <w:szCs w:val="14"/>
                <w:lang w:val="cs-CZ" w:eastAsia="cs-CZ"/>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14:paraId="17CF9ED9"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130DA08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0CD54A7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6D97949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6B2D713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495D936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25ED1F2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14D0E64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2D1DD8E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6D15E8F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7C97DCB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829" w:type="dxa"/>
            <w:tcBorders>
              <w:top w:val="nil"/>
              <w:left w:val="nil"/>
              <w:bottom w:val="single" w:sz="4" w:space="0" w:color="auto"/>
              <w:right w:val="single" w:sz="4" w:space="0" w:color="auto"/>
            </w:tcBorders>
            <w:shd w:val="clear" w:color="auto" w:fill="auto"/>
            <w:vAlign w:val="center"/>
            <w:hideMark/>
          </w:tcPr>
          <w:p w14:paraId="68FA67B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727" w:type="dxa"/>
            <w:vMerge/>
            <w:tcBorders>
              <w:top w:val="single" w:sz="4" w:space="0" w:color="auto"/>
              <w:left w:val="single" w:sz="4" w:space="0" w:color="auto"/>
              <w:bottom w:val="single" w:sz="4" w:space="0" w:color="000000"/>
              <w:right w:val="single" w:sz="4" w:space="0" w:color="auto"/>
            </w:tcBorders>
            <w:vAlign w:val="center"/>
            <w:hideMark/>
          </w:tcPr>
          <w:p w14:paraId="6969A33B"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16AF2A3C" w14:textId="77777777" w:rsidTr="007D24EE">
        <w:trPr>
          <w:trHeight w:val="20"/>
          <w:tblHeader/>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0C328CD1" w14:textId="77777777" w:rsidR="006A7A9F" w:rsidRPr="006A7A9F" w:rsidRDefault="006A7A9F" w:rsidP="006A7A9F">
            <w:pPr>
              <w:rPr>
                <w:rFonts w:ascii="Arial" w:eastAsia="Times New Roman" w:hAnsi="Arial" w:cs="Arial"/>
                <w:b/>
                <w:bCs/>
                <w:color w:val="000000"/>
                <w:sz w:val="14"/>
                <w:szCs w:val="14"/>
                <w:lang w:val="cs-CZ" w:eastAsia="cs-CZ"/>
              </w:rPr>
            </w:pPr>
          </w:p>
        </w:tc>
        <w:tc>
          <w:tcPr>
            <w:tcW w:w="2928" w:type="dxa"/>
            <w:vMerge/>
            <w:tcBorders>
              <w:top w:val="single" w:sz="4" w:space="0" w:color="auto"/>
              <w:left w:val="single" w:sz="4" w:space="0" w:color="auto"/>
              <w:bottom w:val="single" w:sz="4" w:space="0" w:color="000000"/>
              <w:right w:val="single" w:sz="4" w:space="0" w:color="auto"/>
            </w:tcBorders>
            <w:vAlign w:val="center"/>
            <w:hideMark/>
          </w:tcPr>
          <w:p w14:paraId="0A50DC16" w14:textId="77777777" w:rsidR="006A7A9F" w:rsidRPr="006A7A9F" w:rsidRDefault="006A7A9F" w:rsidP="006A7A9F">
            <w:pPr>
              <w:rPr>
                <w:rFonts w:ascii="Arial" w:eastAsia="Times New Roman" w:hAnsi="Arial" w:cs="Arial"/>
                <w:b/>
                <w:bCs/>
                <w:color w:val="000000"/>
                <w:sz w:val="14"/>
                <w:szCs w:val="14"/>
                <w:lang w:val="cs-CZ" w:eastAsia="cs-CZ"/>
              </w:rPr>
            </w:pPr>
          </w:p>
        </w:tc>
        <w:tc>
          <w:tcPr>
            <w:tcW w:w="1038" w:type="dxa"/>
            <w:vMerge/>
            <w:tcBorders>
              <w:top w:val="single" w:sz="4" w:space="0" w:color="auto"/>
              <w:left w:val="single" w:sz="4" w:space="0" w:color="auto"/>
              <w:bottom w:val="single" w:sz="4" w:space="0" w:color="000000"/>
              <w:right w:val="single" w:sz="4" w:space="0" w:color="auto"/>
            </w:tcBorders>
            <w:vAlign w:val="center"/>
            <w:hideMark/>
          </w:tcPr>
          <w:p w14:paraId="5B17E745" w14:textId="77777777" w:rsidR="006A7A9F" w:rsidRPr="006A7A9F" w:rsidRDefault="006A7A9F" w:rsidP="006A7A9F">
            <w:pPr>
              <w:rPr>
                <w:rFonts w:ascii="Arial" w:eastAsia="Times New Roman" w:hAnsi="Arial" w:cs="Arial"/>
                <w:b/>
                <w:bCs/>
                <w:color w:val="000000"/>
                <w:sz w:val="14"/>
                <w:szCs w:val="14"/>
                <w:lang w:val="cs-CZ" w:eastAsia="cs-CZ"/>
              </w:rPr>
            </w:pPr>
          </w:p>
        </w:tc>
        <w:tc>
          <w:tcPr>
            <w:tcW w:w="2684" w:type="dxa"/>
            <w:vMerge/>
            <w:tcBorders>
              <w:top w:val="single" w:sz="4" w:space="0" w:color="auto"/>
              <w:left w:val="single" w:sz="4" w:space="0" w:color="auto"/>
              <w:bottom w:val="single" w:sz="4" w:space="0" w:color="000000"/>
              <w:right w:val="single" w:sz="4" w:space="0" w:color="auto"/>
            </w:tcBorders>
            <w:vAlign w:val="center"/>
            <w:hideMark/>
          </w:tcPr>
          <w:p w14:paraId="3F103382"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6B94DC37" w14:textId="77777777" w:rsidR="006A7A9F" w:rsidRPr="006A7A9F" w:rsidRDefault="006A7A9F" w:rsidP="006A7A9F">
            <w:pPr>
              <w:rPr>
                <w:rFonts w:ascii="Arial" w:eastAsia="Times New Roman" w:hAnsi="Arial" w:cs="Arial"/>
                <w:b/>
                <w:bCs/>
                <w:color w:val="000000"/>
                <w:sz w:val="14"/>
                <w:szCs w:val="14"/>
                <w:lang w:val="cs-CZ" w:eastAsia="cs-CZ"/>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14:paraId="48D10997"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1669B70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709E705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09487E5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3D22B2A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772BB61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62F53D8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75469EF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314E312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1FC10FC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4C86C78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829" w:type="dxa"/>
            <w:tcBorders>
              <w:top w:val="nil"/>
              <w:left w:val="nil"/>
              <w:bottom w:val="single" w:sz="4" w:space="0" w:color="auto"/>
              <w:right w:val="single" w:sz="4" w:space="0" w:color="auto"/>
            </w:tcBorders>
            <w:shd w:val="clear" w:color="auto" w:fill="auto"/>
            <w:vAlign w:val="center"/>
            <w:hideMark/>
          </w:tcPr>
          <w:p w14:paraId="69A1E43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727" w:type="dxa"/>
            <w:vMerge/>
            <w:tcBorders>
              <w:top w:val="single" w:sz="4" w:space="0" w:color="auto"/>
              <w:left w:val="single" w:sz="4" w:space="0" w:color="auto"/>
              <w:bottom w:val="single" w:sz="4" w:space="0" w:color="000000"/>
              <w:right w:val="single" w:sz="4" w:space="0" w:color="auto"/>
            </w:tcBorders>
            <w:vAlign w:val="center"/>
            <w:hideMark/>
          </w:tcPr>
          <w:p w14:paraId="02BC8E63"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1BB11801" w14:textId="77777777" w:rsidTr="001B767A">
        <w:trPr>
          <w:trHeight w:val="20"/>
        </w:trPr>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14:paraId="58F3F11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928" w:type="dxa"/>
            <w:vMerge w:val="restart"/>
            <w:tcBorders>
              <w:top w:val="nil"/>
              <w:left w:val="single" w:sz="4" w:space="0" w:color="auto"/>
              <w:bottom w:val="single" w:sz="4" w:space="0" w:color="auto"/>
              <w:right w:val="single" w:sz="4" w:space="0" w:color="auto"/>
            </w:tcBorders>
            <w:shd w:val="clear" w:color="auto" w:fill="auto"/>
            <w:vAlign w:val="center"/>
            <w:hideMark/>
          </w:tcPr>
          <w:p w14:paraId="217550D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14:paraId="2CABB64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684" w:type="dxa"/>
            <w:vMerge w:val="restart"/>
            <w:tcBorders>
              <w:top w:val="nil"/>
              <w:left w:val="single" w:sz="4" w:space="0" w:color="auto"/>
              <w:bottom w:val="single" w:sz="4" w:space="0" w:color="auto"/>
              <w:right w:val="single" w:sz="4" w:space="0" w:color="auto"/>
            </w:tcBorders>
            <w:shd w:val="clear" w:color="auto" w:fill="auto"/>
            <w:vAlign w:val="center"/>
            <w:hideMark/>
          </w:tcPr>
          <w:p w14:paraId="527D928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hideMark/>
          </w:tcPr>
          <w:p w14:paraId="366ADD6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3CBC46C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86,000</w:t>
            </w:r>
          </w:p>
        </w:tc>
        <w:tc>
          <w:tcPr>
            <w:tcW w:w="5611" w:type="dxa"/>
            <w:gridSpan w:val="10"/>
            <w:tcBorders>
              <w:top w:val="single" w:sz="4" w:space="0" w:color="auto"/>
              <w:left w:val="nil"/>
              <w:bottom w:val="single" w:sz="4" w:space="0" w:color="auto"/>
              <w:right w:val="single" w:sz="4" w:space="0" w:color="000000"/>
            </w:tcBorders>
            <w:shd w:val="clear" w:color="auto" w:fill="auto"/>
            <w:vAlign w:val="center"/>
            <w:hideMark/>
          </w:tcPr>
          <w:p w14:paraId="1DF521E2"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602194C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371,000</w:t>
            </w:r>
          </w:p>
        </w:tc>
        <w:tc>
          <w:tcPr>
            <w:tcW w:w="727" w:type="dxa"/>
            <w:vMerge w:val="restart"/>
            <w:tcBorders>
              <w:top w:val="nil"/>
              <w:left w:val="single" w:sz="4" w:space="0" w:color="auto"/>
              <w:bottom w:val="single" w:sz="4" w:space="0" w:color="000000"/>
              <w:right w:val="single" w:sz="4" w:space="0" w:color="auto"/>
            </w:tcBorders>
            <w:shd w:val="clear" w:color="auto" w:fill="auto"/>
            <w:vAlign w:val="center"/>
            <w:hideMark/>
          </w:tcPr>
          <w:p w14:paraId="03562AB5"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431,395%</w:t>
            </w:r>
          </w:p>
        </w:tc>
      </w:tr>
      <w:tr w:rsidR="006A7A9F" w:rsidRPr="006A7A9F" w14:paraId="53ACCF5E" w14:textId="77777777" w:rsidTr="001B767A">
        <w:trPr>
          <w:trHeight w:val="20"/>
        </w:trPr>
        <w:tc>
          <w:tcPr>
            <w:tcW w:w="527" w:type="dxa"/>
            <w:vMerge/>
            <w:tcBorders>
              <w:top w:val="nil"/>
              <w:left w:val="single" w:sz="4" w:space="0" w:color="auto"/>
              <w:bottom w:val="single" w:sz="4" w:space="0" w:color="auto"/>
              <w:right w:val="single" w:sz="4" w:space="0" w:color="auto"/>
            </w:tcBorders>
            <w:vAlign w:val="center"/>
            <w:hideMark/>
          </w:tcPr>
          <w:p w14:paraId="73F2A551" w14:textId="77777777" w:rsidR="006A7A9F" w:rsidRPr="006A7A9F" w:rsidRDefault="006A7A9F" w:rsidP="006A7A9F">
            <w:pPr>
              <w:rPr>
                <w:rFonts w:ascii="Arial" w:eastAsia="Times New Roman" w:hAnsi="Arial" w:cs="Arial"/>
                <w:color w:val="000000"/>
                <w:sz w:val="14"/>
                <w:szCs w:val="14"/>
                <w:lang w:val="cs-CZ" w:eastAsia="cs-CZ"/>
              </w:rPr>
            </w:pPr>
          </w:p>
        </w:tc>
        <w:tc>
          <w:tcPr>
            <w:tcW w:w="2928" w:type="dxa"/>
            <w:vMerge/>
            <w:tcBorders>
              <w:top w:val="nil"/>
              <w:left w:val="single" w:sz="4" w:space="0" w:color="auto"/>
              <w:bottom w:val="single" w:sz="4" w:space="0" w:color="auto"/>
              <w:right w:val="single" w:sz="4" w:space="0" w:color="auto"/>
            </w:tcBorders>
            <w:vAlign w:val="center"/>
            <w:hideMark/>
          </w:tcPr>
          <w:p w14:paraId="3EBD1527" w14:textId="77777777" w:rsidR="006A7A9F" w:rsidRPr="006A7A9F" w:rsidRDefault="006A7A9F" w:rsidP="006A7A9F">
            <w:pPr>
              <w:rPr>
                <w:rFonts w:ascii="Arial" w:eastAsia="Times New Roman" w:hAnsi="Arial" w:cs="Arial"/>
                <w:color w:val="000000"/>
                <w:sz w:val="14"/>
                <w:szCs w:val="14"/>
                <w:lang w:val="cs-CZ" w:eastAsia="cs-CZ"/>
              </w:rPr>
            </w:pPr>
          </w:p>
        </w:tc>
        <w:tc>
          <w:tcPr>
            <w:tcW w:w="1038" w:type="dxa"/>
            <w:vMerge/>
            <w:tcBorders>
              <w:top w:val="nil"/>
              <w:left w:val="single" w:sz="4" w:space="0" w:color="auto"/>
              <w:bottom w:val="single" w:sz="4" w:space="0" w:color="auto"/>
              <w:right w:val="single" w:sz="4" w:space="0" w:color="auto"/>
            </w:tcBorders>
            <w:vAlign w:val="center"/>
            <w:hideMark/>
          </w:tcPr>
          <w:p w14:paraId="76E15567" w14:textId="77777777" w:rsidR="006A7A9F" w:rsidRPr="006A7A9F" w:rsidRDefault="006A7A9F" w:rsidP="006A7A9F">
            <w:pPr>
              <w:rPr>
                <w:rFonts w:ascii="Arial" w:eastAsia="Times New Roman" w:hAnsi="Arial" w:cs="Arial"/>
                <w:color w:val="000000"/>
                <w:sz w:val="14"/>
                <w:szCs w:val="14"/>
                <w:lang w:val="cs-CZ" w:eastAsia="cs-CZ"/>
              </w:rPr>
            </w:pPr>
          </w:p>
        </w:tc>
        <w:tc>
          <w:tcPr>
            <w:tcW w:w="2684" w:type="dxa"/>
            <w:vMerge/>
            <w:tcBorders>
              <w:top w:val="nil"/>
              <w:left w:val="single" w:sz="4" w:space="0" w:color="auto"/>
              <w:bottom w:val="single" w:sz="4" w:space="0" w:color="auto"/>
              <w:right w:val="single" w:sz="4" w:space="0" w:color="auto"/>
            </w:tcBorders>
            <w:vAlign w:val="center"/>
            <w:hideMark/>
          </w:tcPr>
          <w:p w14:paraId="3D964143"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48527018" w14:textId="77777777" w:rsidR="006A7A9F" w:rsidRPr="006A7A9F" w:rsidRDefault="006A7A9F" w:rsidP="006A7A9F">
            <w:pPr>
              <w:rPr>
                <w:rFonts w:ascii="Arial" w:eastAsia="Times New Roman" w:hAnsi="Arial" w:cs="Arial"/>
                <w:color w:val="000000"/>
                <w:sz w:val="14"/>
                <w:szCs w:val="14"/>
                <w:lang w:val="cs-CZ" w:eastAsia="cs-CZ"/>
              </w:rPr>
            </w:pPr>
          </w:p>
        </w:tc>
        <w:tc>
          <w:tcPr>
            <w:tcW w:w="760" w:type="dxa"/>
            <w:vMerge/>
            <w:tcBorders>
              <w:top w:val="nil"/>
              <w:left w:val="single" w:sz="4" w:space="0" w:color="auto"/>
              <w:bottom w:val="single" w:sz="4" w:space="0" w:color="auto"/>
              <w:right w:val="single" w:sz="4" w:space="0" w:color="auto"/>
            </w:tcBorders>
            <w:vAlign w:val="center"/>
            <w:hideMark/>
          </w:tcPr>
          <w:p w14:paraId="1DA330DF"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1896A0E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5A8434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0329772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8CBBDE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67,000</w:t>
            </w:r>
          </w:p>
        </w:tc>
        <w:tc>
          <w:tcPr>
            <w:tcW w:w="561" w:type="dxa"/>
            <w:tcBorders>
              <w:top w:val="nil"/>
              <w:left w:val="nil"/>
              <w:bottom w:val="single" w:sz="4" w:space="0" w:color="auto"/>
              <w:right w:val="single" w:sz="4" w:space="0" w:color="auto"/>
            </w:tcBorders>
            <w:shd w:val="clear" w:color="auto" w:fill="auto"/>
            <w:vAlign w:val="center"/>
            <w:hideMark/>
          </w:tcPr>
          <w:p w14:paraId="6B41E28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78,000</w:t>
            </w:r>
          </w:p>
        </w:tc>
        <w:tc>
          <w:tcPr>
            <w:tcW w:w="561" w:type="dxa"/>
            <w:tcBorders>
              <w:top w:val="nil"/>
              <w:left w:val="nil"/>
              <w:bottom w:val="single" w:sz="4" w:space="0" w:color="auto"/>
              <w:right w:val="single" w:sz="4" w:space="0" w:color="auto"/>
            </w:tcBorders>
            <w:shd w:val="clear" w:color="auto" w:fill="auto"/>
            <w:vAlign w:val="center"/>
            <w:hideMark/>
          </w:tcPr>
          <w:p w14:paraId="599C0CB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72,000</w:t>
            </w:r>
          </w:p>
        </w:tc>
        <w:tc>
          <w:tcPr>
            <w:tcW w:w="561" w:type="dxa"/>
            <w:tcBorders>
              <w:top w:val="nil"/>
              <w:left w:val="nil"/>
              <w:bottom w:val="single" w:sz="4" w:space="0" w:color="auto"/>
              <w:right w:val="single" w:sz="4" w:space="0" w:color="auto"/>
            </w:tcBorders>
            <w:shd w:val="clear" w:color="auto" w:fill="auto"/>
            <w:vAlign w:val="center"/>
            <w:hideMark/>
          </w:tcPr>
          <w:p w14:paraId="52A0A0D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7746780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6578437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51C0333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5579DE2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217,000</w:t>
            </w:r>
          </w:p>
        </w:tc>
        <w:tc>
          <w:tcPr>
            <w:tcW w:w="727" w:type="dxa"/>
            <w:vMerge/>
            <w:tcBorders>
              <w:top w:val="nil"/>
              <w:left w:val="single" w:sz="4" w:space="0" w:color="auto"/>
              <w:bottom w:val="single" w:sz="4" w:space="0" w:color="000000"/>
              <w:right w:val="single" w:sz="4" w:space="0" w:color="auto"/>
            </w:tcBorders>
            <w:vAlign w:val="center"/>
            <w:hideMark/>
          </w:tcPr>
          <w:p w14:paraId="3F4BA2AE"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1542BEFC" w14:textId="77777777" w:rsidTr="001B767A">
        <w:trPr>
          <w:trHeight w:val="20"/>
        </w:trPr>
        <w:tc>
          <w:tcPr>
            <w:tcW w:w="527" w:type="dxa"/>
            <w:vMerge/>
            <w:tcBorders>
              <w:top w:val="nil"/>
              <w:left w:val="single" w:sz="4" w:space="0" w:color="auto"/>
              <w:bottom w:val="single" w:sz="4" w:space="0" w:color="auto"/>
              <w:right w:val="single" w:sz="4" w:space="0" w:color="auto"/>
            </w:tcBorders>
            <w:vAlign w:val="center"/>
            <w:hideMark/>
          </w:tcPr>
          <w:p w14:paraId="279C210B" w14:textId="77777777" w:rsidR="006A7A9F" w:rsidRPr="006A7A9F" w:rsidRDefault="006A7A9F" w:rsidP="006A7A9F">
            <w:pPr>
              <w:rPr>
                <w:rFonts w:ascii="Arial" w:eastAsia="Times New Roman" w:hAnsi="Arial" w:cs="Arial"/>
                <w:color w:val="000000"/>
                <w:sz w:val="14"/>
                <w:szCs w:val="14"/>
                <w:lang w:val="cs-CZ" w:eastAsia="cs-CZ"/>
              </w:rPr>
            </w:pPr>
          </w:p>
        </w:tc>
        <w:tc>
          <w:tcPr>
            <w:tcW w:w="2928" w:type="dxa"/>
            <w:vMerge/>
            <w:tcBorders>
              <w:top w:val="nil"/>
              <w:left w:val="single" w:sz="4" w:space="0" w:color="auto"/>
              <w:bottom w:val="single" w:sz="4" w:space="0" w:color="auto"/>
              <w:right w:val="single" w:sz="4" w:space="0" w:color="auto"/>
            </w:tcBorders>
            <w:vAlign w:val="center"/>
            <w:hideMark/>
          </w:tcPr>
          <w:p w14:paraId="2BAC58F2" w14:textId="77777777" w:rsidR="006A7A9F" w:rsidRPr="006A7A9F" w:rsidRDefault="006A7A9F" w:rsidP="006A7A9F">
            <w:pPr>
              <w:rPr>
                <w:rFonts w:ascii="Arial" w:eastAsia="Times New Roman" w:hAnsi="Arial" w:cs="Arial"/>
                <w:color w:val="000000"/>
                <w:sz w:val="14"/>
                <w:szCs w:val="14"/>
                <w:lang w:val="cs-CZ" w:eastAsia="cs-CZ"/>
              </w:rPr>
            </w:pPr>
          </w:p>
        </w:tc>
        <w:tc>
          <w:tcPr>
            <w:tcW w:w="1038" w:type="dxa"/>
            <w:vMerge/>
            <w:tcBorders>
              <w:top w:val="nil"/>
              <w:left w:val="single" w:sz="4" w:space="0" w:color="auto"/>
              <w:bottom w:val="single" w:sz="4" w:space="0" w:color="auto"/>
              <w:right w:val="single" w:sz="4" w:space="0" w:color="auto"/>
            </w:tcBorders>
            <w:vAlign w:val="center"/>
            <w:hideMark/>
          </w:tcPr>
          <w:p w14:paraId="0DDD0D5D" w14:textId="77777777" w:rsidR="006A7A9F" w:rsidRPr="006A7A9F" w:rsidRDefault="006A7A9F" w:rsidP="006A7A9F">
            <w:pPr>
              <w:rPr>
                <w:rFonts w:ascii="Arial" w:eastAsia="Times New Roman" w:hAnsi="Arial" w:cs="Arial"/>
                <w:color w:val="000000"/>
                <w:sz w:val="14"/>
                <w:szCs w:val="14"/>
                <w:lang w:val="cs-CZ" w:eastAsia="cs-CZ"/>
              </w:rPr>
            </w:pPr>
          </w:p>
        </w:tc>
        <w:tc>
          <w:tcPr>
            <w:tcW w:w="2684" w:type="dxa"/>
            <w:vMerge/>
            <w:tcBorders>
              <w:top w:val="nil"/>
              <w:left w:val="single" w:sz="4" w:space="0" w:color="auto"/>
              <w:bottom w:val="single" w:sz="4" w:space="0" w:color="auto"/>
              <w:right w:val="single" w:sz="4" w:space="0" w:color="auto"/>
            </w:tcBorders>
            <w:vAlign w:val="center"/>
            <w:hideMark/>
          </w:tcPr>
          <w:p w14:paraId="74566D44"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32AACAA8" w14:textId="77777777" w:rsidR="006A7A9F" w:rsidRPr="006A7A9F" w:rsidRDefault="006A7A9F" w:rsidP="006A7A9F">
            <w:pPr>
              <w:rPr>
                <w:rFonts w:ascii="Arial" w:eastAsia="Times New Roman" w:hAnsi="Arial" w:cs="Arial"/>
                <w:color w:val="000000"/>
                <w:sz w:val="14"/>
                <w:szCs w:val="14"/>
                <w:lang w:val="cs-CZ" w:eastAsia="cs-CZ"/>
              </w:rPr>
            </w:pPr>
          </w:p>
        </w:tc>
        <w:tc>
          <w:tcPr>
            <w:tcW w:w="760" w:type="dxa"/>
            <w:vMerge/>
            <w:tcBorders>
              <w:top w:val="nil"/>
              <w:left w:val="single" w:sz="4" w:space="0" w:color="auto"/>
              <w:bottom w:val="single" w:sz="4" w:space="0" w:color="auto"/>
              <w:right w:val="single" w:sz="4" w:space="0" w:color="auto"/>
            </w:tcBorders>
            <w:vAlign w:val="center"/>
            <w:hideMark/>
          </w:tcPr>
          <w:p w14:paraId="5D2D59BC"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2FD85EC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AB9F90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B9436F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00EB53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69,000</w:t>
            </w:r>
          </w:p>
        </w:tc>
        <w:tc>
          <w:tcPr>
            <w:tcW w:w="561" w:type="dxa"/>
            <w:tcBorders>
              <w:top w:val="nil"/>
              <w:left w:val="nil"/>
              <w:bottom w:val="single" w:sz="4" w:space="0" w:color="auto"/>
              <w:right w:val="single" w:sz="4" w:space="0" w:color="auto"/>
            </w:tcBorders>
            <w:shd w:val="clear" w:color="auto" w:fill="auto"/>
            <w:vAlign w:val="center"/>
            <w:hideMark/>
          </w:tcPr>
          <w:p w14:paraId="3F4B046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76,000</w:t>
            </w:r>
          </w:p>
        </w:tc>
        <w:tc>
          <w:tcPr>
            <w:tcW w:w="561" w:type="dxa"/>
            <w:tcBorders>
              <w:top w:val="nil"/>
              <w:left w:val="nil"/>
              <w:bottom w:val="single" w:sz="4" w:space="0" w:color="auto"/>
              <w:right w:val="single" w:sz="4" w:space="0" w:color="auto"/>
            </w:tcBorders>
            <w:shd w:val="clear" w:color="auto" w:fill="auto"/>
            <w:vAlign w:val="center"/>
            <w:hideMark/>
          </w:tcPr>
          <w:p w14:paraId="3BF5B6B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9,000</w:t>
            </w:r>
          </w:p>
        </w:tc>
        <w:tc>
          <w:tcPr>
            <w:tcW w:w="561" w:type="dxa"/>
            <w:tcBorders>
              <w:top w:val="nil"/>
              <w:left w:val="nil"/>
              <w:bottom w:val="single" w:sz="4" w:space="0" w:color="auto"/>
              <w:right w:val="single" w:sz="4" w:space="0" w:color="auto"/>
            </w:tcBorders>
            <w:shd w:val="clear" w:color="auto" w:fill="auto"/>
            <w:vAlign w:val="center"/>
            <w:hideMark/>
          </w:tcPr>
          <w:p w14:paraId="5C6E901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189BDDB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2E9570E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361902F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7893AEA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154,000</w:t>
            </w:r>
          </w:p>
        </w:tc>
        <w:tc>
          <w:tcPr>
            <w:tcW w:w="727" w:type="dxa"/>
            <w:vMerge/>
            <w:tcBorders>
              <w:top w:val="nil"/>
              <w:left w:val="single" w:sz="4" w:space="0" w:color="auto"/>
              <w:bottom w:val="single" w:sz="4" w:space="0" w:color="000000"/>
              <w:right w:val="single" w:sz="4" w:space="0" w:color="auto"/>
            </w:tcBorders>
            <w:vAlign w:val="center"/>
            <w:hideMark/>
          </w:tcPr>
          <w:p w14:paraId="549FE5E1"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6DF6E53E" w14:textId="77777777" w:rsidTr="001B767A">
        <w:trPr>
          <w:trHeight w:val="20"/>
        </w:trPr>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14:paraId="3CA57FA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928" w:type="dxa"/>
            <w:vMerge w:val="restart"/>
            <w:tcBorders>
              <w:top w:val="nil"/>
              <w:left w:val="single" w:sz="4" w:space="0" w:color="auto"/>
              <w:bottom w:val="single" w:sz="4" w:space="0" w:color="auto"/>
              <w:right w:val="single" w:sz="4" w:space="0" w:color="auto"/>
            </w:tcBorders>
            <w:shd w:val="clear" w:color="auto" w:fill="auto"/>
            <w:vAlign w:val="center"/>
            <w:hideMark/>
          </w:tcPr>
          <w:p w14:paraId="341EBC5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14:paraId="1A2B9EC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Více rozvinuté regiony</w:t>
            </w:r>
          </w:p>
        </w:tc>
        <w:tc>
          <w:tcPr>
            <w:tcW w:w="2684" w:type="dxa"/>
            <w:vMerge w:val="restart"/>
            <w:tcBorders>
              <w:top w:val="nil"/>
              <w:left w:val="single" w:sz="4" w:space="0" w:color="auto"/>
              <w:bottom w:val="single" w:sz="4" w:space="0" w:color="auto"/>
              <w:right w:val="single" w:sz="4" w:space="0" w:color="auto"/>
            </w:tcBorders>
            <w:shd w:val="clear" w:color="auto" w:fill="auto"/>
            <w:vAlign w:val="center"/>
            <w:hideMark/>
          </w:tcPr>
          <w:p w14:paraId="167653D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hideMark/>
          </w:tcPr>
          <w:p w14:paraId="547A3C8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7070414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12,000</w:t>
            </w:r>
          </w:p>
        </w:tc>
        <w:tc>
          <w:tcPr>
            <w:tcW w:w="5611" w:type="dxa"/>
            <w:gridSpan w:val="10"/>
            <w:tcBorders>
              <w:top w:val="single" w:sz="4" w:space="0" w:color="auto"/>
              <w:left w:val="nil"/>
              <w:bottom w:val="single" w:sz="4" w:space="0" w:color="auto"/>
              <w:right w:val="single" w:sz="4" w:space="0" w:color="000000"/>
            </w:tcBorders>
            <w:shd w:val="clear" w:color="auto" w:fill="auto"/>
            <w:vAlign w:val="center"/>
            <w:hideMark/>
          </w:tcPr>
          <w:p w14:paraId="1D85633D"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213CED3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50,000</w:t>
            </w:r>
          </w:p>
        </w:tc>
        <w:tc>
          <w:tcPr>
            <w:tcW w:w="727" w:type="dxa"/>
            <w:vMerge w:val="restart"/>
            <w:tcBorders>
              <w:top w:val="nil"/>
              <w:left w:val="single" w:sz="4" w:space="0" w:color="auto"/>
              <w:bottom w:val="single" w:sz="4" w:space="0" w:color="000000"/>
              <w:right w:val="single" w:sz="4" w:space="0" w:color="auto"/>
            </w:tcBorders>
            <w:shd w:val="clear" w:color="auto" w:fill="auto"/>
            <w:vAlign w:val="center"/>
            <w:hideMark/>
          </w:tcPr>
          <w:p w14:paraId="3964E01F"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416,667%</w:t>
            </w:r>
          </w:p>
        </w:tc>
      </w:tr>
      <w:tr w:rsidR="006A7A9F" w:rsidRPr="006A7A9F" w14:paraId="50F2C047" w14:textId="77777777" w:rsidTr="001B767A">
        <w:trPr>
          <w:trHeight w:val="20"/>
        </w:trPr>
        <w:tc>
          <w:tcPr>
            <w:tcW w:w="527" w:type="dxa"/>
            <w:vMerge/>
            <w:tcBorders>
              <w:top w:val="nil"/>
              <w:left w:val="single" w:sz="4" w:space="0" w:color="auto"/>
              <w:bottom w:val="single" w:sz="4" w:space="0" w:color="auto"/>
              <w:right w:val="single" w:sz="4" w:space="0" w:color="auto"/>
            </w:tcBorders>
            <w:vAlign w:val="center"/>
            <w:hideMark/>
          </w:tcPr>
          <w:p w14:paraId="33C56F83" w14:textId="77777777" w:rsidR="006A7A9F" w:rsidRPr="006A7A9F" w:rsidRDefault="006A7A9F" w:rsidP="006A7A9F">
            <w:pPr>
              <w:rPr>
                <w:rFonts w:ascii="Arial" w:eastAsia="Times New Roman" w:hAnsi="Arial" w:cs="Arial"/>
                <w:color w:val="000000"/>
                <w:sz w:val="14"/>
                <w:szCs w:val="14"/>
                <w:lang w:val="cs-CZ" w:eastAsia="cs-CZ"/>
              </w:rPr>
            </w:pPr>
          </w:p>
        </w:tc>
        <w:tc>
          <w:tcPr>
            <w:tcW w:w="2928" w:type="dxa"/>
            <w:vMerge/>
            <w:tcBorders>
              <w:top w:val="nil"/>
              <w:left w:val="single" w:sz="4" w:space="0" w:color="auto"/>
              <w:bottom w:val="single" w:sz="4" w:space="0" w:color="auto"/>
              <w:right w:val="single" w:sz="4" w:space="0" w:color="auto"/>
            </w:tcBorders>
            <w:vAlign w:val="center"/>
            <w:hideMark/>
          </w:tcPr>
          <w:p w14:paraId="3853D553" w14:textId="77777777" w:rsidR="006A7A9F" w:rsidRPr="006A7A9F" w:rsidRDefault="006A7A9F" w:rsidP="006A7A9F">
            <w:pPr>
              <w:rPr>
                <w:rFonts w:ascii="Arial" w:eastAsia="Times New Roman" w:hAnsi="Arial" w:cs="Arial"/>
                <w:color w:val="000000"/>
                <w:sz w:val="14"/>
                <w:szCs w:val="14"/>
                <w:lang w:val="cs-CZ" w:eastAsia="cs-CZ"/>
              </w:rPr>
            </w:pPr>
          </w:p>
        </w:tc>
        <w:tc>
          <w:tcPr>
            <w:tcW w:w="1038" w:type="dxa"/>
            <w:vMerge/>
            <w:tcBorders>
              <w:top w:val="nil"/>
              <w:left w:val="single" w:sz="4" w:space="0" w:color="auto"/>
              <w:bottom w:val="single" w:sz="4" w:space="0" w:color="auto"/>
              <w:right w:val="single" w:sz="4" w:space="0" w:color="auto"/>
            </w:tcBorders>
            <w:vAlign w:val="center"/>
            <w:hideMark/>
          </w:tcPr>
          <w:p w14:paraId="032B97BD" w14:textId="77777777" w:rsidR="006A7A9F" w:rsidRPr="006A7A9F" w:rsidRDefault="006A7A9F" w:rsidP="006A7A9F">
            <w:pPr>
              <w:rPr>
                <w:rFonts w:ascii="Arial" w:eastAsia="Times New Roman" w:hAnsi="Arial" w:cs="Arial"/>
                <w:color w:val="000000"/>
                <w:sz w:val="14"/>
                <w:szCs w:val="14"/>
                <w:lang w:val="cs-CZ" w:eastAsia="cs-CZ"/>
              </w:rPr>
            </w:pPr>
          </w:p>
        </w:tc>
        <w:tc>
          <w:tcPr>
            <w:tcW w:w="2684" w:type="dxa"/>
            <w:vMerge/>
            <w:tcBorders>
              <w:top w:val="nil"/>
              <w:left w:val="single" w:sz="4" w:space="0" w:color="auto"/>
              <w:bottom w:val="single" w:sz="4" w:space="0" w:color="auto"/>
              <w:right w:val="single" w:sz="4" w:space="0" w:color="auto"/>
            </w:tcBorders>
            <w:vAlign w:val="center"/>
            <w:hideMark/>
          </w:tcPr>
          <w:p w14:paraId="3A68E52F"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652D0667" w14:textId="77777777" w:rsidR="006A7A9F" w:rsidRPr="006A7A9F" w:rsidRDefault="006A7A9F" w:rsidP="006A7A9F">
            <w:pPr>
              <w:rPr>
                <w:rFonts w:ascii="Arial" w:eastAsia="Times New Roman" w:hAnsi="Arial" w:cs="Arial"/>
                <w:color w:val="000000"/>
                <w:sz w:val="14"/>
                <w:szCs w:val="14"/>
                <w:lang w:val="cs-CZ" w:eastAsia="cs-CZ"/>
              </w:rPr>
            </w:pPr>
          </w:p>
        </w:tc>
        <w:tc>
          <w:tcPr>
            <w:tcW w:w="760" w:type="dxa"/>
            <w:vMerge/>
            <w:tcBorders>
              <w:top w:val="nil"/>
              <w:left w:val="single" w:sz="4" w:space="0" w:color="auto"/>
              <w:bottom w:val="single" w:sz="4" w:space="0" w:color="auto"/>
              <w:right w:val="single" w:sz="4" w:space="0" w:color="auto"/>
            </w:tcBorders>
            <w:vAlign w:val="center"/>
            <w:hideMark/>
          </w:tcPr>
          <w:p w14:paraId="0B5B9575"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53815C8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24C79BA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8AA619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B6F434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8,000</w:t>
            </w:r>
          </w:p>
        </w:tc>
        <w:tc>
          <w:tcPr>
            <w:tcW w:w="561" w:type="dxa"/>
            <w:tcBorders>
              <w:top w:val="nil"/>
              <w:left w:val="nil"/>
              <w:bottom w:val="single" w:sz="4" w:space="0" w:color="auto"/>
              <w:right w:val="single" w:sz="4" w:space="0" w:color="auto"/>
            </w:tcBorders>
            <w:shd w:val="clear" w:color="auto" w:fill="auto"/>
            <w:vAlign w:val="center"/>
            <w:hideMark/>
          </w:tcPr>
          <w:p w14:paraId="5675286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11,000</w:t>
            </w:r>
          </w:p>
        </w:tc>
        <w:tc>
          <w:tcPr>
            <w:tcW w:w="561" w:type="dxa"/>
            <w:tcBorders>
              <w:top w:val="nil"/>
              <w:left w:val="nil"/>
              <w:bottom w:val="single" w:sz="4" w:space="0" w:color="auto"/>
              <w:right w:val="single" w:sz="4" w:space="0" w:color="auto"/>
            </w:tcBorders>
            <w:shd w:val="clear" w:color="auto" w:fill="auto"/>
            <w:vAlign w:val="center"/>
            <w:hideMark/>
          </w:tcPr>
          <w:p w14:paraId="679BCBE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10,000</w:t>
            </w:r>
          </w:p>
        </w:tc>
        <w:tc>
          <w:tcPr>
            <w:tcW w:w="561" w:type="dxa"/>
            <w:tcBorders>
              <w:top w:val="nil"/>
              <w:left w:val="nil"/>
              <w:bottom w:val="single" w:sz="4" w:space="0" w:color="auto"/>
              <w:right w:val="single" w:sz="4" w:space="0" w:color="auto"/>
            </w:tcBorders>
            <w:shd w:val="clear" w:color="auto" w:fill="auto"/>
            <w:vAlign w:val="center"/>
            <w:hideMark/>
          </w:tcPr>
          <w:p w14:paraId="5EEB8BD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0D60357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3EEFA37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0A5FF86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1EC898C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29,000</w:t>
            </w:r>
          </w:p>
        </w:tc>
        <w:tc>
          <w:tcPr>
            <w:tcW w:w="727" w:type="dxa"/>
            <w:vMerge/>
            <w:tcBorders>
              <w:top w:val="nil"/>
              <w:left w:val="single" w:sz="4" w:space="0" w:color="auto"/>
              <w:bottom w:val="single" w:sz="4" w:space="0" w:color="000000"/>
              <w:right w:val="single" w:sz="4" w:space="0" w:color="auto"/>
            </w:tcBorders>
            <w:vAlign w:val="center"/>
            <w:hideMark/>
          </w:tcPr>
          <w:p w14:paraId="1098CCBA"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439AA50B" w14:textId="77777777" w:rsidTr="001B767A">
        <w:trPr>
          <w:trHeight w:val="20"/>
        </w:trPr>
        <w:tc>
          <w:tcPr>
            <w:tcW w:w="527" w:type="dxa"/>
            <w:vMerge/>
            <w:tcBorders>
              <w:top w:val="nil"/>
              <w:left w:val="single" w:sz="4" w:space="0" w:color="auto"/>
              <w:bottom w:val="single" w:sz="4" w:space="0" w:color="auto"/>
              <w:right w:val="single" w:sz="4" w:space="0" w:color="auto"/>
            </w:tcBorders>
            <w:vAlign w:val="center"/>
            <w:hideMark/>
          </w:tcPr>
          <w:p w14:paraId="0BC7534A" w14:textId="77777777" w:rsidR="006A7A9F" w:rsidRPr="006A7A9F" w:rsidRDefault="006A7A9F" w:rsidP="006A7A9F">
            <w:pPr>
              <w:rPr>
                <w:rFonts w:ascii="Arial" w:eastAsia="Times New Roman" w:hAnsi="Arial" w:cs="Arial"/>
                <w:color w:val="000000"/>
                <w:sz w:val="14"/>
                <w:szCs w:val="14"/>
                <w:lang w:val="cs-CZ" w:eastAsia="cs-CZ"/>
              </w:rPr>
            </w:pPr>
          </w:p>
        </w:tc>
        <w:tc>
          <w:tcPr>
            <w:tcW w:w="2928" w:type="dxa"/>
            <w:vMerge/>
            <w:tcBorders>
              <w:top w:val="nil"/>
              <w:left w:val="single" w:sz="4" w:space="0" w:color="auto"/>
              <w:bottom w:val="single" w:sz="4" w:space="0" w:color="auto"/>
              <w:right w:val="single" w:sz="4" w:space="0" w:color="auto"/>
            </w:tcBorders>
            <w:vAlign w:val="center"/>
            <w:hideMark/>
          </w:tcPr>
          <w:p w14:paraId="78D2FC25" w14:textId="77777777" w:rsidR="006A7A9F" w:rsidRPr="006A7A9F" w:rsidRDefault="006A7A9F" w:rsidP="006A7A9F">
            <w:pPr>
              <w:rPr>
                <w:rFonts w:ascii="Arial" w:eastAsia="Times New Roman" w:hAnsi="Arial" w:cs="Arial"/>
                <w:color w:val="000000"/>
                <w:sz w:val="14"/>
                <w:szCs w:val="14"/>
                <w:lang w:val="cs-CZ" w:eastAsia="cs-CZ"/>
              </w:rPr>
            </w:pPr>
          </w:p>
        </w:tc>
        <w:tc>
          <w:tcPr>
            <w:tcW w:w="1038" w:type="dxa"/>
            <w:vMerge/>
            <w:tcBorders>
              <w:top w:val="nil"/>
              <w:left w:val="single" w:sz="4" w:space="0" w:color="auto"/>
              <w:bottom w:val="single" w:sz="4" w:space="0" w:color="auto"/>
              <w:right w:val="single" w:sz="4" w:space="0" w:color="auto"/>
            </w:tcBorders>
            <w:vAlign w:val="center"/>
            <w:hideMark/>
          </w:tcPr>
          <w:p w14:paraId="51201578" w14:textId="77777777" w:rsidR="006A7A9F" w:rsidRPr="006A7A9F" w:rsidRDefault="006A7A9F" w:rsidP="006A7A9F">
            <w:pPr>
              <w:rPr>
                <w:rFonts w:ascii="Arial" w:eastAsia="Times New Roman" w:hAnsi="Arial" w:cs="Arial"/>
                <w:color w:val="000000"/>
                <w:sz w:val="14"/>
                <w:szCs w:val="14"/>
                <w:lang w:val="cs-CZ" w:eastAsia="cs-CZ"/>
              </w:rPr>
            </w:pPr>
          </w:p>
        </w:tc>
        <w:tc>
          <w:tcPr>
            <w:tcW w:w="2684" w:type="dxa"/>
            <w:vMerge/>
            <w:tcBorders>
              <w:top w:val="nil"/>
              <w:left w:val="single" w:sz="4" w:space="0" w:color="auto"/>
              <w:bottom w:val="single" w:sz="4" w:space="0" w:color="auto"/>
              <w:right w:val="single" w:sz="4" w:space="0" w:color="auto"/>
            </w:tcBorders>
            <w:vAlign w:val="center"/>
            <w:hideMark/>
          </w:tcPr>
          <w:p w14:paraId="56E48A83"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18A2AF57" w14:textId="77777777" w:rsidR="006A7A9F" w:rsidRPr="006A7A9F" w:rsidRDefault="006A7A9F" w:rsidP="006A7A9F">
            <w:pPr>
              <w:rPr>
                <w:rFonts w:ascii="Arial" w:eastAsia="Times New Roman" w:hAnsi="Arial" w:cs="Arial"/>
                <w:color w:val="000000"/>
                <w:sz w:val="14"/>
                <w:szCs w:val="14"/>
                <w:lang w:val="cs-CZ" w:eastAsia="cs-CZ"/>
              </w:rPr>
            </w:pPr>
          </w:p>
        </w:tc>
        <w:tc>
          <w:tcPr>
            <w:tcW w:w="760" w:type="dxa"/>
            <w:vMerge/>
            <w:tcBorders>
              <w:top w:val="nil"/>
              <w:left w:val="single" w:sz="4" w:space="0" w:color="auto"/>
              <w:bottom w:val="single" w:sz="4" w:space="0" w:color="auto"/>
              <w:right w:val="single" w:sz="4" w:space="0" w:color="auto"/>
            </w:tcBorders>
            <w:vAlign w:val="center"/>
            <w:hideMark/>
          </w:tcPr>
          <w:p w14:paraId="342D57BA"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4A8B3A1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A411F3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0F5728B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DC0F27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9,000</w:t>
            </w:r>
          </w:p>
        </w:tc>
        <w:tc>
          <w:tcPr>
            <w:tcW w:w="561" w:type="dxa"/>
            <w:tcBorders>
              <w:top w:val="nil"/>
              <w:left w:val="nil"/>
              <w:bottom w:val="single" w:sz="4" w:space="0" w:color="auto"/>
              <w:right w:val="single" w:sz="4" w:space="0" w:color="auto"/>
            </w:tcBorders>
            <w:shd w:val="clear" w:color="auto" w:fill="auto"/>
            <w:vAlign w:val="center"/>
            <w:hideMark/>
          </w:tcPr>
          <w:p w14:paraId="0E232CE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10,000</w:t>
            </w:r>
          </w:p>
        </w:tc>
        <w:tc>
          <w:tcPr>
            <w:tcW w:w="561" w:type="dxa"/>
            <w:tcBorders>
              <w:top w:val="nil"/>
              <w:left w:val="nil"/>
              <w:bottom w:val="single" w:sz="4" w:space="0" w:color="auto"/>
              <w:right w:val="single" w:sz="4" w:space="0" w:color="auto"/>
            </w:tcBorders>
            <w:shd w:val="clear" w:color="auto" w:fill="auto"/>
            <w:vAlign w:val="center"/>
            <w:hideMark/>
          </w:tcPr>
          <w:p w14:paraId="767E7A0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2,000</w:t>
            </w:r>
          </w:p>
        </w:tc>
        <w:tc>
          <w:tcPr>
            <w:tcW w:w="561" w:type="dxa"/>
            <w:tcBorders>
              <w:top w:val="nil"/>
              <w:left w:val="nil"/>
              <w:bottom w:val="single" w:sz="4" w:space="0" w:color="auto"/>
              <w:right w:val="single" w:sz="4" w:space="0" w:color="auto"/>
            </w:tcBorders>
            <w:shd w:val="clear" w:color="auto" w:fill="auto"/>
            <w:vAlign w:val="center"/>
            <w:hideMark/>
          </w:tcPr>
          <w:p w14:paraId="6D1D204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116C692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070B1F3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50BA3CB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13B8960C" w14:textId="439A66E1"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21,000</w:t>
            </w:r>
          </w:p>
        </w:tc>
        <w:tc>
          <w:tcPr>
            <w:tcW w:w="727" w:type="dxa"/>
            <w:vMerge/>
            <w:tcBorders>
              <w:top w:val="nil"/>
              <w:left w:val="single" w:sz="4" w:space="0" w:color="auto"/>
              <w:bottom w:val="single" w:sz="4" w:space="0" w:color="000000"/>
              <w:right w:val="single" w:sz="4" w:space="0" w:color="auto"/>
            </w:tcBorders>
            <w:vAlign w:val="center"/>
            <w:hideMark/>
          </w:tcPr>
          <w:p w14:paraId="2B61021C" w14:textId="77777777" w:rsidR="006A7A9F" w:rsidRPr="006A7A9F" w:rsidRDefault="006A7A9F" w:rsidP="006A7A9F">
            <w:pPr>
              <w:rPr>
                <w:rFonts w:ascii="Arial" w:eastAsia="Times New Roman" w:hAnsi="Arial" w:cs="Arial"/>
                <w:color w:val="000000"/>
                <w:sz w:val="14"/>
                <w:szCs w:val="14"/>
                <w:lang w:val="cs-CZ" w:eastAsia="cs-CZ"/>
              </w:rPr>
            </w:pPr>
          </w:p>
        </w:tc>
      </w:tr>
    </w:tbl>
    <w:p w14:paraId="4C682DA9" w14:textId="77777777" w:rsidR="00DA62E2" w:rsidRPr="002F2BE4" w:rsidRDefault="00DA62E2" w:rsidP="00FD35AB">
      <w:pPr>
        <w:keepNext/>
        <w:ind w:left="115" w:right="106"/>
        <w:jc w:val="both"/>
        <w:rPr>
          <w:rFonts w:ascii="Arial" w:eastAsia="Arial" w:hAnsi="Arial" w:cs="Arial"/>
          <w:color w:val="000000"/>
          <w:sz w:val="20"/>
          <w:lang w:val="cs-CZ"/>
        </w:rPr>
      </w:pPr>
    </w:p>
    <w:p w14:paraId="0F72716F"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34766B7E" w14:textId="77777777" w:rsidR="00FD35AB" w:rsidRPr="002F2BE4" w:rsidRDefault="00FD35AB" w:rsidP="001B767A">
      <w:pPr>
        <w:ind w:left="113" w:right="108"/>
        <w:jc w:val="both"/>
        <w:rPr>
          <w:rFonts w:ascii="Arial" w:eastAsia="Arial" w:hAnsi="Arial" w:cs="Arial"/>
          <w:color w:val="000000"/>
          <w:sz w:val="20"/>
          <w:lang w:val="cs-CZ"/>
        </w:rPr>
      </w:pPr>
    </w:p>
    <w:p w14:paraId="3E069525"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03.3.60 Aktivní začleňování, včetně začleňování s ohledem na podporu rovných příležitostí a aktivní účast a zlepšení zaměstnatelnosti</w:t>
      </w:r>
    </w:p>
    <w:tbl>
      <w:tblPr>
        <w:tblW w:w="15880" w:type="dxa"/>
        <w:tblInd w:w="75" w:type="dxa"/>
        <w:tblCellMar>
          <w:left w:w="70" w:type="dxa"/>
          <w:right w:w="70" w:type="dxa"/>
        </w:tblCellMar>
        <w:tblLook w:val="04A0" w:firstRow="1" w:lastRow="0" w:firstColumn="1" w:lastColumn="0" w:noHBand="0" w:noVBand="1"/>
      </w:tblPr>
      <w:tblGrid>
        <w:gridCol w:w="531"/>
        <w:gridCol w:w="2725"/>
        <w:gridCol w:w="1014"/>
        <w:gridCol w:w="2549"/>
        <w:gridCol w:w="770"/>
        <w:gridCol w:w="887"/>
        <w:gridCol w:w="554"/>
        <w:gridCol w:w="554"/>
        <w:gridCol w:w="554"/>
        <w:gridCol w:w="554"/>
        <w:gridCol w:w="569"/>
        <w:gridCol w:w="569"/>
        <w:gridCol w:w="551"/>
        <w:gridCol w:w="551"/>
        <w:gridCol w:w="551"/>
        <w:gridCol w:w="552"/>
        <w:gridCol w:w="1004"/>
        <w:gridCol w:w="841"/>
      </w:tblGrid>
      <w:tr w:rsidR="006A7A9F" w:rsidRPr="006A7A9F" w14:paraId="10CE3772" w14:textId="77777777" w:rsidTr="001B767A">
        <w:trPr>
          <w:trHeight w:val="20"/>
          <w:tblHeader/>
        </w:trPr>
        <w:tc>
          <w:tcPr>
            <w:tcW w:w="5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B0397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ID</w:t>
            </w:r>
          </w:p>
        </w:tc>
        <w:tc>
          <w:tcPr>
            <w:tcW w:w="29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9A3B6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Indikátor</w:t>
            </w:r>
          </w:p>
        </w:tc>
        <w:tc>
          <w:tcPr>
            <w:tcW w:w="10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E6248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Kategorie regionu</w:t>
            </w:r>
          </w:p>
        </w:tc>
        <w:tc>
          <w:tcPr>
            <w:tcW w:w="26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1432C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Společný indikátor výstupů použitý jako základ pro stanovení cíle</w:t>
            </w:r>
          </w:p>
        </w:tc>
        <w:tc>
          <w:tcPr>
            <w:tcW w:w="7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ECA6B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Měrná jednotka pro výchozí hodnotu a cíl</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C419E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Cílová hodnota (2023) (Rozdělení podle pohlaví je pro cíl nepovinné)</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1C21F2C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2014</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5D6BA9E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2015</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066245E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2016</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031FBAB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2017</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734A6FC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2018</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09AFA7E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2019</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32C800C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2020</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3DD2F2A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2021</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60B34C5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2022</w:t>
            </w:r>
          </w:p>
        </w:tc>
        <w:tc>
          <w:tcPr>
            <w:tcW w:w="561" w:type="dxa"/>
            <w:tcBorders>
              <w:top w:val="single" w:sz="4" w:space="0" w:color="auto"/>
              <w:left w:val="nil"/>
              <w:bottom w:val="single" w:sz="4" w:space="0" w:color="auto"/>
              <w:right w:val="single" w:sz="4" w:space="0" w:color="auto"/>
            </w:tcBorders>
            <w:shd w:val="clear" w:color="auto" w:fill="auto"/>
            <w:vAlign w:val="center"/>
            <w:hideMark/>
          </w:tcPr>
          <w:p w14:paraId="598408A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2023</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394DF71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Kumulativní hodnota (vypočítána automaticky)</w:t>
            </w:r>
          </w:p>
        </w:tc>
        <w:tc>
          <w:tcPr>
            <w:tcW w:w="7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0C2AA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Míra splnění Rozdělení podle pohlaví je nepovinné</w:t>
            </w:r>
          </w:p>
        </w:tc>
      </w:tr>
      <w:tr w:rsidR="006A7A9F" w:rsidRPr="006A7A9F" w14:paraId="6FCAF19C" w14:textId="77777777" w:rsidTr="001B767A">
        <w:trPr>
          <w:trHeight w:val="20"/>
          <w:tblHeader/>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5231C8FC" w14:textId="77777777" w:rsidR="006A7A9F" w:rsidRPr="006A7A9F" w:rsidRDefault="006A7A9F" w:rsidP="006A7A9F">
            <w:pPr>
              <w:rPr>
                <w:rFonts w:ascii="Arial" w:eastAsia="Times New Roman" w:hAnsi="Arial" w:cs="Arial"/>
                <w:b/>
                <w:bCs/>
                <w:color w:val="000000"/>
                <w:sz w:val="14"/>
                <w:szCs w:val="14"/>
                <w:lang w:val="cs-CZ" w:eastAsia="cs-CZ"/>
              </w:rPr>
            </w:pPr>
          </w:p>
        </w:tc>
        <w:tc>
          <w:tcPr>
            <w:tcW w:w="2928" w:type="dxa"/>
            <w:vMerge/>
            <w:tcBorders>
              <w:top w:val="single" w:sz="4" w:space="0" w:color="auto"/>
              <w:left w:val="single" w:sz="4" w:space="0" w:color="auto"/>
              <w:bottom w:val="single" w:sz="4" w:space="0" w:color="000000"/>
              <w:right w:val="single" w:sz="4" w:space="0" w:color="auto"/>
            </w:tcBorders>
            <w:vAlign w:val="center"/>
            <w:hideMark/>
          </w:tcPr>
          <w:p w14:paraId="5AF84AB4" w14:textId="77777777" w:rsidR="006A7A9F" w:rsidRPr="006A7A9F" w:rsidRDefault="006A7A9F" w:rsidP="006A7A9F">
            <w:pPr>
              <w:rPr>
                <w:rFonts w:ascii="Arial" w:eastAsia="Times New Roman" w:hAnsi="Arial" w:cs="Arial"/>
                <w:b/>
                <w:bCs/>
                <w:color w:val="000000"/>
                <w:sz w:val="14"/>
                <w:szCs w:val="14"/>
                <w:lang w:val="cs-CZ" w:eastAsia="cs-CZ"/>
              </w:rPr>
            </w:pPr>
          </w:p>
        </w:tc>
        <w:tc>
          <w:tcPr>
            <w:tcW w:w="1038" w:type="dxa"/>
            <w:vMerge/>
            <w:tcBorders>
              <w:top w:val="single" w:sz="4" w:space="0" w:color="auto"/>
              <w:left w:val="single" w:sz="4" w:space="0" w:color="auto"/>
              <w:bottom w:val="single" w:sz="4" w:space="0" w:color="000000"/>
              <w:right w:val="single" w:sz="4" w:space="0" w:color="auto"/>
            </w:tcBorders>
            <w:vAlign w:val="center"/>
            <w:hideMark/>
          </w:tcPr>
          <w:p w14:paraId="0256CF75" w14:textId="77777777" w:rsidR="006A7A9F" w:rsidRPr="006A7A9F" w:rsidRDefault="006A7A9F" w:rsidP="006A7A9F">
            <w:pPr>
              <w:rPr>
                <w:rFonts w:ascii="Arial" w:eastAsia="Times New Roman" w:hAnsi="Arial" w:cs="Arial"/>
                <w:b/>
                <w:bCs/>
                <w:color w:val="000000"/>
                <w:sz w:val="14"/>
                <w:szCs w:val="14"/>
                <w:lang w:val="cs-CZ" w:eastAsia="cs-CZ"/>
              </w:rPr>
            </w:pPr>
          </w:p>
        </w:tc>
        <w:tc>
          <w:tcPr>
            <w:tcW w:w="2684" w:type="dxa"/>
            <w:vMerge/>
            <w:tcBorders>
              <w:top w:val="single" w:sz="4" w:space="0" w:color="auto"/>
              <w:left w:val="single" w:sz="4" w:space="0" w:color="auto"/>
              <w:bottom w:val="single" w:sz="4" w:space="0" w:color="000000"/>
              <w:right w:val="single" w:sz="4" w:space="0" w:color="auto"/>
            </w:tcBorders>
            <w:vAlign w:val="center"/>
            <w:hideMark/>
          </w:tcPr>
          <w:p w14:paraId="57617CD7"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51FF2CEF" w14:textId="77777777" w:rsidR="006A7A9F" w:rsidRPr="006A7A9F" w:rsidRDefault="006A7A9F" w:rsidP="006A7A9F">
            <w:pPr>
              <w:rPr>
                <w:rFonts w:ascii="Arial" w:eastAsia="Times New Roman" w:hAnsi="Arial" w:cs="Arial"/>
                <w:b/>
                <w:bCs/>
                <w:color w:val="000000"/>
                <w:sz w:val="14"/>
                <w:szCs w:val="14"/>
                <w:lang w:val="cs-CZ" w:eastAsia="cs-CZ"/>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14:paraId="456B9BB9"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1" w:type="dxa"/>
            <w:gridSpan w:val="10"/>
            <w:tcBorders>
              <w:top w:val="single" w:sz="4" w:space="0" w:color="auto"/>
              <w:left w:val="nil"/>
              <w:bottom w:val="single" w:sz="4" w:space="0" w:color="auto"/>
              <w:right w:val="single" w:sz="4" w:space="0" w:color="000000"/>
            </w:tcBorders>
            <w:shd w:val="clear" w:color="auto" w:fill="auto"/>
            <w:vAlign w:val="center"/>
            <w:hideMark/>
          </w:tcPr>
          <w:p w14:paraId="4C41EC5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Roční hodnota</w:t>
            </w:r>
          </w:p>
        </w:tc>
        <w:tc>
          <w:tcPr>
            <w:tcW w:w="829" w:type="dxa"/>
            <w:tcBorders>
              <w:top w:val="nil"/>
              <w:left w:val="nil"/>
              <w:bottom w:val="single" w:sz="4" w:space="0" w:color="auto"/>
              <w:right w:val="single" w:sz="4" w:space="0" w:color="auto"/>
            </w:tcBorders>
            <w:shd w:val="clear" w:color="auto" w:fill="auto"/>
            <w:vAlign w:val="center"/>
            <w:hideMark/>
          </w:tcPr>
          <w:p w14:paraId="1813865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Celkem</w:t>
            </w:r>
          </w:p>
        </w:tc>
        <w:tc>
          <w:tcPr>
            <w:tcW w:w="727" w:type="dxa"/>
            <w:vMerge/>
            <w:tcBorders>
              <w:top w:val="single" w:sz="4" w:space="0" w:color="auto"/>
              <w:left w:val="single" w:sz="4" w:space="0" w:color="auto"/>
              <w:bottom w:val="single" w:sz="4" w:space="0" w:color="000000"/>
              <w:right w:val="single" w:sz="4" w:space="0" w:color="auto"/>
            </w:tcBorders>
            <w:vAlign w:val="center"/>
            <w:hideMark/>
          </w:tcPr>
          <w:p w14:paraId="40148F51"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24091FB6" w14:textId="77777777" w:rsidTr="001B767A">
        <w:trPr>
          <w:trHeight w:val="20"/>
          <w:tblHeader/>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57A3F00C" w14:textId="77777777" w:rsidR="006A7A9F" w:rsidRPr="006A7A9F" w:rsidRDefault="006A7A9F" w:rsidP="006A7A9F">
            <w:pPr>
              <w:rPr>
                <w:rFonts w:ascii="Arial" w:eastAsia="Times New Roman" w:hAnsi="Arial" w:cs="Arial"/>
                <w:b/>
                <w:bCs/>
                <w:color w:val="000000"/>
                <w:sz w:val="14"/>
                <w:szCs w:val="14"/>
                <w:lang w:val="cs-CZ" w:eastAsia="cs-CZ"/>
              </w:rPr>
            </w:pPr>
          </w:p>
        </w:tc>
        <w:tc>
          <w:tcPr>
            <w:tcW w:w="2928" w:type="dxa"/>
            <w:vMerge/>
            <w:tcBorders>
              <w:top w:val="single" w:sz="4" w:space="0" w:color="auto"/>
              <w:left w:val="single" w:sz="4" w:space="0" w:color="auto"/>
              <w:bottom w:val="single" w:sz="4" w:space="0" w:color="000000"/>
              <w:right w:val="single" w:sz="4" w:space="0" w:color="auto"/>
            </w:tcBorders>
            <w:vAlign w:val="center"/>
            <w:hideMark/>
          </w:tcPr>
          <w:p w14:paraId="473CD84C" w14:textId="77777777" w:rsidR="006A7A9F" w:rsidRPr="006A7A9F" w:rsidRDefault="006A7A9F" w:rsidP="006A7A9F">
            <w:pPr>
              <w:rPr>
                <w:rFonts w:ascii="Arial" w:eastAsia="Times New Roman" w:hAnsi="Arial" w:cs="Arial"/>
                <w:b/>
                <w:bCs/>
                <w:color w:val="000000"/>
                <w:sz w:val="14"/>
                <w:szCs w:val="14"/>
                <w:lang w:val="cs-CZ" w:eastAsia="cs-CZ"/>
              </w:rPr>
            </w:pPr>
          </w:p>
        </w:tc>
        <w:tc>
          <w:tcPr>
            <w:tcW w:w="1038" w:type="dxa"/>
            <w:vMerge/>
            <w:tcBorders>
              <w:top w:val="single" w:sz="4" w:space="0" w:color="auto"/>
              <w:left w:val="single" w:sz="4" w:space="0" w:color="auto"/>
              <w:bottom w:val="single" w:sz="4" w:space="0" w:color="000000"/>
              <w:right w:val="single" w:sz="4" w:space="0" w:color="auto"/>
            </w:tcBorders>
            <w:vAlign w:val="center"/>
            <w:hideMark/>
          </w:tcPr>
          <w:p w14:paraId="0442B095" w14:textId="77777777" w:rsidR="006A7A9F" w:rsidRPr="006A7A9F" w:rsidRDefault="006A7A9F" w:rsidP="006A7A9F">
            <w:pPr>
              <w:rPr>
                <w:rFonts w:ascii="Arial" w:eastAsia="Times New Roman" w:hAnsi="Arial" w:cs="Arial"/>
                <w:b/>
                <w:bCs/>
                <w:color w:val="000000"/>
                <w:sz w:val="14"/>
                <w:szCs w:val="14"/>
                <w:lang w:val="cs-CZ" w:eastAsia="cs-CZ"/>
              </w:rPr>
            </w:pPr>
          </w:p>
        </w:tc>
        <w:tc>
          <w:tcPr>
            <w:tcW w:w="2684" w:type="dxa"/>
            <w:vMerge/>
            <w:tcBorders>
              <w:top w:val="single" w:sz="4" w:space="0" w:color="auto"/>
              <w:left w:val="single" w:sz="4" w:space="0" w:color="auto"/>
              <w:bottom w:val="single" w:sz="4" w:space="0" w:color="000000"/>
              <w:right w:val="single" w:sz="4" w:space="0" w:color="auto"/>
            </w:tcBorders>
            <w:vAlign w:val="center"/>
            <w:hideMark/>
          </w:tcPr>
          <w:p w14:paraId="0D7CF6DC"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0E170847" w14:textId="77777777" w:rsidR="006A7A9F" w:rsidRPr="006A7A9F" w:rsidRDefault="006A7A9F" w:rsidP="006A7A9F">
            <w:pPr>
              <w:rPr>
                <w:rFonts w:ascii="Arial" w:eastAsia="Times New Roman" w:hAnsi="Arial" w:cs="Arial"/>
                <w:b/>
                <w:bCs/>
                <w:color w:val="000000"/>
                <w:sz w:val="14"/>
                <w:szCs w:val="14"/>
                <w:lang w:val="cs-CZ" w:eastAsia="cs-CZ"/>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14:paraId="24A541AB"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72D5079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7191678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723E668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5EEF84C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25C5DAB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3264E4E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63ADD81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1F46EAD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7EAB9B0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1" w:type="dxa"/>
            <w:tcBorders>
              <w:top w:val="nil"/>
              <w:left w:val="nil"/>
              <w:bottom w:val="single" w:sz="4" w:space="0" w:color="auto"/>
              <w:right w:val="single" w:sz="4" w:space="0" w:color="auto"/>
            </w:tcBorders>
            <w:shd w:val="clear" w:color="auto" w:fill="auto"/>
            <w:vAlign w:val="center"/>
            <w:hideMark/>
          </w:tcPr>
          <w:p w14:paraId="18668D5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829" w:type="dxa"/>
            <w:tcBorders>
              <w:top w:val="nil"/>
              <w:left w:val="nil"/>
              <w:bottom w:val="single" w:sz="4" w:space="0" w:color="auto"/>
              <w:right w:val="single" w:sz="4" w:space="0" w:color="auto"/>
            </w:tcBorders>
            <w:shd w:val="clear" w:color="auto" w:fill="auto"/>
            <w:vAlign w:val="center"/>
            <w:hideMark/>
          </w:tcPr>
          <w:p w14:paraId="3148445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727" w:type="dxa"/>
            <w:vMerge/>
            <w:tcBorders>
              <w:top w:val="single" w:sz="4" w:space="0" w:color="auto"/>
              <w:left w:val="single" w:sz="4" w:space="0" w:color="auto"/>
              <w:bottom w:val="single" w:sz="4" w:space="0" w:color="000000"/>
              <w:right w:val="single" w:sz="4" w:space="0" w:color="auto"/>
            </w:tcBorders>
            <w:vAlign w:val="center"/>
            <w:hideMark/>
          </w:tcPr>
          <w:p w14:paraId="3C730810"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6DBDDEF6" w14:textId="77777777" w:rsidTr="001B767A">
        <w:trPr>
          <w:trHeight w:val="20"/>
          <w:tblHeader/>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0D12510D" w14:textId="77777777" w:rsidR="006A7A9F" w:rsidRPr="006A7A9F" w:rsidRDefault="006A7A9F" w:rsidP="006A7A9F">
            <w:pPr>
              <w:rPr>
                <w:rFonts w:ascii="Arial" w:eastAsia="Times New Roman" w:hAnsi="Arial" w:cs="Arial"/>
                <w:b/>
                <w:bCs/>
                <w:color w:val="000000"/>
                <w:sz w:val="14"/>
                <w:szCs w:val="14"/>
                <w:lang w:val="cs-CZ" w:eastAsia="cs-CZ"/>
              </w:rPr>
            </w:pPr>
          </w:p>
        </w:tc>
        <w:tc>
          <w:tcPr>
            <w:tcW w:w="2928" w:type="dxa"/>
            <w:vMerge/>
            <w:tcBorders>
              <w:top w:val="single" w:sz="4" w:space="0" w:color="auto"/>
              <w:left w:val="single" w:sz="4" w:space="0" w:color="auto"/>
              <w:bottom w:val="single" w:sz="4" w:space="0" w:color="000000"/>
              <w:right w:val="single" w:sz="4" w:space="0" w:color="auto"/>
            </w:tcBorders>
            <w:vAlign w:val="center"/>
            <w:hideMark/>
          </w:tcPr>
          <w:p w14:paraId="12BC2196" w14:textId="77777777" w:rsidR="006A7A9F" w:rsidRPr="006A7A9F" w:rsidRDefault="006A7A9F" w:rsidP="006A7A9F">
            <w:pPr>
              <w:rPr>
                <w:rFonts w:ascii="Arial" w:eastAsia="Times New Roman" w:hAnsi="Arial" w:cs="Arial"/>
                <w:b/>
                <w:bCs/>
                <w:color w:val="000000"/>
                <w:sz w:val="14"/>
                <w:szCs w:val="14"/>
                <w:lang w:val="cs-CZ" w:eastAsia="cs-CZ"/>
              </w:rPr>
            </w:pPr>
          </w:p>
        </w:tc>
        <w:tc>
          <w:tcPr>
            <w:tcW w:w="1038" w:type="dxa"/>
            <w:vMerge/>
            <w:tcBorders>
              <w:top w:val="single" w:sz="4" w:space="0" w:color="auto"/>
              <w:left w:val="single" w:sz="4" w:space="0" w:color="auto"/>
              <w:bottom w:val="single" w:sz="4" w:space="0" w:color="000000"/>
              <w:right w:val="single" w:sz="4" w:space="0" w:color="auto"/>
            </w:tcBorders>
            <w:vAlign w:val="center"/>
            <w:hideMark/>
          </w:tcPr>
          <w:p w14:paraId="5661445E" w14:textId="77777777" w:rsidR="006A7A9F" w:rsidRPr="006A7A9F" w:rsidRDefault="006A7A9F" w:rsidP="006A7A9F">
            <w:pPr>
              <w:rPr>
                <w:rFonts w:ascii="Arial" w:eastAsia="Times New Roman" w:hAnsi="Arial" w:cs="Arial"/>
                <w:b/>
                <w:bCs/>
                <w:color w:val="000000"/>
                <w:sz w:val="14"/>
                <w:szCs w:val="14"/>
                <w:lang w:val="cs-CZ" w:eastAsia="cs-CZ"/>
              </w:rPr>
            </w:pPr>
          </w:p>
        </w:tc>
        <w:tc>
          <w:tcPr>
            <w:tcW w:w="2684" w:type="dxa"/>
            <w:vMerge/>
            <w:tcBorders>
              <w:top w:val="single" w:sz="4" w:space="0" w:color="auto"/>
              <w:left w:val="single" w:sz="4" w:space="0" w:color="auto"/>
              <w:bottom w:val="single" w:sz="4" w:space="0" w:color="000000"/>
              <w:right w:val="single" w:sz="4" w:space="0" w:color="auto"/>
            </w:tcBorders>
            <w:vAlign w:val="center"/>
            <w:hideMark/>
          </w:tcPr>
          <w:p w14:paraId="6C88B1EC" w14:textId="77777777" w:rsidR="006A7A9F" w:rsidRPr="006A7A9F" w:rsidRDefault="006A7A9F" w:rsidP="006A7A9F">
            <w:pPr>
              <w:rPr>
                <w:rFonts w:ascii="Arial" w:eastAsia="Times New Roman" w:hAnsi="Arial" w:cs="Arial"/>
                <w:b/>
                <w:bCs/>
                <w:color w:val="000000"/>
                <w:sz w:val="14"/>
                <w:szCs w:val="14"/>
                <w:lang w:val="cs-CZ" w:eastAsia="cs-CZ"/>
              </w:rPr>
            </w:pPr>
          </w:p>
        </w:tc>
        <w:tc>
          <w:tcPr>
            <w:tcW w:w="776" w:type="dxa"/>
            <w:vMerge/>
            <w:tcBorders>
              <w:top w:val="single" w:sz="4" w:space="0" w:color="auto"/>
              <w:left w:val="single" w:sz="4" w:space="0" w:color="auto"/>
              <w:bottom w:val="single" w:sz="4" w:space="0" w:color="000000"/>
              <w:right w:val="single" w:sz="4" w:space="0" w:color="auto"/>
            </w:tcBorders>
            <w:vAlign w:val="center"/>
            <w:hideMark/>
          </w:tcPr>
          <w:p w14:paraId="531E9A87" w14:textId="77777777" w:rsidR="006A7A9F" w:rsidRPr="006A7A9F" w:rsidRDefault="006A7A9F" w:rsidP="006A7A9F">
            <w:pPr>
              <w:rPr>
                <w:rFonts w:ascii="Arial" w:eastAsia="Times New Roman" w:hAnsi="Arial" w:cs="Arial"/>
                <w:b/>
                <w:bCs/>
                <w:color w:val="000000"/>
                <w:sz w:val="14"/>
                <w:szCs w:val="14"/>
                <w:lang w:val="cs-CZ" w:eastAsia="cs-CZ"/>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14:paraId="581B072E" w14:textId="77777777" w:rsidR="006A7A9F" w:rsidRPr="006A7A9F" w:rsidRDefault="006A7A9F" w:rsidP="006A7A9F">
            <w:pPr>
              <w:rPr>
                <w:rFonts w:ascii="Arial" w:eastAsia="Times New Roman" w:hAnsi="Arial" w:cs="Arial"/>
                <w:b/>
                <w:bCs/>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1FEF5D4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3CD975E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7D8C2ED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05ED38A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78A457E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53CE34C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28CC99A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4C306FB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7939BE1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1" w:type="dxa"/>
            <w:tcBorders>
              <w:top w:val="nil"/>
              <w:left w:val="nil"/>
              <w:bottom w:val="single" w:sz="4" w:space="0" w:color="auto"/>
              <w:right w:val="single" w:sz="4" w:space="0" w:color="auto"/>
            </w:tcBorders>
            <w:shd w:val="clear" w:color="auto" w:fill="auto"/>
            <w:vAlign w:val="center"/>
            <w:hideMark/>
          </w:tcPr>
          <w:p w14:paraId="373DEAD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829" w:type="dxa"/>
            <w:tcBorders>
              <w:top w:val="nil"/>
              <w:left w:val="nil"/>
              <w:bottom w:val="single" w:sz="4" w:space="0" w:color="auto"/>
              <w:right w:val="single" w:sz="4" w:space="0" w:color="auto"/>
            </w:tcBorders>
            <w:shd w:val="clear" w:color="auto" w:fill="auto"/>
            <w:vAlign w:val="center"/>
            <w:hideMark/>
          </w:tcPr>
          <w:p w14:paraId="5D682C2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727" w:type="dxa"/>
            <w:vMerge/>
            <w:tcBorders>
              <w:top w:val="single" w:sz="4" w:space="0" w:color="auto"/>
              <w:left w:val="single" w:sz="4" w:space="0" w:color="auto"/>
              <w:bottom w:val="single" w:sz="4" w:space="0" w:color="000000"/>
              <w:right w:val="single" w:sz="4" w:space="0" w:color="auto"/>
            </w:tcBorders>
            <w:vAlign w:val="center"/>
            <w:hideMark/>
          </w:tcPr>
          <w:p w14:paraId="007398E9"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16B4CE25" w14:textId="77777777" w:rsidTr="001B767A">
        <w:trPr>
          <w:trHeight w:val="20"/>
        </w:trPr>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14:paraId="281F65A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928" w:type="dxa"/>
            <w:vMerge w:val="restart"/>
            <w:tcBorders>
              <w:top w:val="nil"/>
              <w:left w:val="single" w:sz="4" w:space="0" w:color="auto"/>
              <w:bottom w:val="single" w:sz="4" w:space="0" w:color="auto"/>
              <w:right w:val="single" w:sz="4" w:space="0" w:color="auto"/>
            </w:tcBorders>
            <w:shd w:val="clear" w:color="auto" w:fill="auto"/>
            <w:vAlign w:val="center"/>
            <w:hideMark/>
          </w:tcPr>
          <w:p w14:paraId="578C68D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14:paraId="409F463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684" w:type="dxa"/>
            <w:vMerge w:val="restart"/>
            <w:tcBorders>
              <w:top w:val="nil"/>
              <w:left w:val="single" w:sz="4" w:space="0" w:color="auto"/>
              <w:bottom w:val="single" w:sz="4" w:space="0" w:color="auto"/>
              <w:right w:val="single" w:sz="4" w:space="0" w:color="auto"/>
            </w:tcBorders>
            <w:shd w:val="clear" w:color="auto" w:fill="auto"/>
            <w:vAlign w:val="center"/>
            <w:hideMark/>
          </w:tcPr>
          <w:p w14:paraId="39558FB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hideMark/>
          </w:tcPr>
          <w:p w14:paraId="227709E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4BC3425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97,000</w:t>
            </w:r>
          </w:p>
        </w:tc>
        <w:tc>
          <w:tcPr>
            <w:tcW w:w="5611" w:type="dxa"/>
            <w:gridSpan w:val="10"/>
            <w:tcBorders>
              <w:top w:val="single" w:sz="4" w:space="0" w:color="auto"/>
              <w:left w:val="nil"/>
              <w:bottom w:val="single" w:sz="4" w:space="0" w:color="auto"/>
              <w:right w:val="single" w:sz="4" w:space="0" w:color="000000"/>
            </w:tcBorders>
            <w:shd w:val="clear" w:color="auto" w:fill="auto"/>
            <w:vAlign w:val="center"/>
            <w:hideMark/>
          </w:tcPr>
          <w:p w14:paraId="1CD44378"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162D19D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118,000</w:t>
            </w:r>
          </w:p>
        </w:tc>
        <w:tc>
          <w:tcPr>
            <w:tcW w:w="727" w:type="dxa"/>
            <w:vMerge w:val="restart"/>
            <w:tcBorders>
              <w:top w:val="nil"/>
              <w:left w:val="single" w:sz="4" w:space="0" w:color="auto"/>
              <w:bottom w:val="single" w:sz="4" w:space="0" w:color="000000"/>
              <w:right w:val="single" w:sz="4" w:space="0" w:color="auto"/>
            </w:tcBorders>
            <w:shd w:val="clear" w:color="auto" w:fill="auto"/>
            <w:vAlign w:val="center"/>
            <w:hideMark/>
          </w:tcPr>
          <w:p w14:paraId="5B459011"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121,649%</w:t>
            </w:r>
          </w:p>
        </w:tc>
      </w:tr>
      <w:tr w:rsidR="006A7A9F" w:rsidRPr="006A7A9F" w14:paraId="09EE0D7A" w14:textId="77777777" w:rsidTr="001B767A">
        <w:trPr>
          <w:trHeight w:val="20"/>
        </w:trPr>
        <w:tc>
          <w:tcPr>
            <w:tcW w:w="527" w:type="dxa"/>
            <w:vMerge/>
            <w:tcBorders>
              <w:top w:val="nil"/>
              <w:left w:val="single" w:sz="4" w:space="0" w:color="auto"/>
              <w:bottom w:val="single" w:sz="4" w:space="0" w:color="auto"/>
              <w:right w:val="single" w:sz="4" w:space="0" w:color="auto"/>
            </w:tcBorders>
            <w:vAlign w:val="center"/>
            <w:hideMark/>
          </w:tcPr>
          <w:p w14:paraId="31551F7C" w14:textId="77777777" w:rsidR="006A7A9F" w:rsidRPr="006A7A9F" w:rsidRDefault="006A7A9F" w:rsidP="006A7A9F">
            <w:pPr>
              <w:rPr>
                <w:rFonts w:ascii="Arial" w:eastAsia="Times New Roman" w:hAnsi="Arial" w:cs="Arial"/>
                <w:color w:val="000000"/>
                <w:sz w:val="14"/>
                <w:szCs w:val="14"/>
                <w:lang w:val="cs-CZ" w:eastAsia="cs-CZ"/>
              </w:rPr>
            </w:pPr>
          </w:p>
        </w:tc>
        <w:tc>
          <w:tcPr>
            <w:tcW w:w="2928" w:type="dxa"/>
            <w:vMerge/>
            <w:tcBorders>
              <w:top w:val="nil"/>
              <w:left w:val="single" w:sz="4" w:space="0" w:color="auto"/>
              <w:bottom w:val="single" w:sz="4" w:space="0" w:color="auto"/>
              <w:right w:val="single" w:sz="4" w:space="0" w:color="auto"/>
            </w:tcBorders>
            <w:vAlign w:val="center"/>
            <w:hideMark/>
          </w:tcPr>
          <w:p w14:paraId="29A59ACF" w14:textId="77777777" w:rsidR="006A7A9F" w:rsidRPr="006A7A9F" w:rsidRDefault="006A7A9F" w:rsidP="006A7A9F">
            <w:pPr>
              <w:rPr>
                <w:rFonts w:ascii="Arial" w:eastAsia="Times New Roman" w:hAnsi="Arial" w:cs="Arial"/>
                <w:color w:val="000000"/>
                <w:sz w:val="14"/>
                <w:szCs w:val="14"/>
                <w:lang w:val="cs-CZ" w:eastAsia="cs-CZ"/>
              </w:rPr>
            </w:pPr>
          </w:p>
        </w:tc>
        <w:tc>
          <w:tcPr>
            <w:tcW w:w="1038" w:type="dxa"/>
            <w:vMerge/>
            <w:tcBorders>
              <w:top w:val="nil"/>
              <w:left w:val="single" w:sz="4" w:space="0" w:color="auto"/>
              <w:bottom w:val="single" w:sz="4" w:space="0" w:color="auto"/>
              <w:right w:val="single" w:sz="4" w:space="0" w:color="auto"/>
            </w:tcBorders>
            <w:vAlign w:val="center"/>
            <w:hideMark/>
          </w:tcPr>
          <w:p w14:paraId="5130CAF8" w14:textId="77777777" w:rsidR="006A7A9F" w:rsidRPr="006A7A9F" w:rsidRDefault="006A7A9F" w:rsidP="006A7A9F">
            <w:pPr>
              <w:rPr>
                <w:rFonts w:ascii="Arial" w:eastAsia="Times New Roman" w:hAnsi="Arial" w:cs="Arial"/>
                <w:color w:val="000000"/>
                <w:sz w:val="14"/>
                <w:szCs w:val="14"/>
                <w:lang w:val="cs-CZ" w:eastAsia="cs-CZ"/>
              </w:rPr>
            </w:pPr>
          </w:p>
        </w:tc>
        <w:tc>
          <w:tcPr>
            <w:tcW w:w="2684" w:type="dxa"/>
            <w:vMerge/>
            <w:tcBorders>
              <w:top w:val="nil"/>
              <w:left w:val="single" w:sz="4" w:space="0" w:color="auto"/>
              <w:bottom w:val="single" w:sz="4" w:space="0" w:color="auto"/>
              <w:right w:val="single" w:sz="4" w:space="0" w:color="auto"/>
            </w:tcBorders>
            <w:vAlign w:val="center"/>
            <w:hideMark/>
          </w:tcPr>
          <w:p w14:paraId="57E768C7"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63AB8E94" w14:textId="77777777" w:rsidR="006A7A9F" w:rsidRPr="006A7A9F" w:rsidRDefault="006A7A9F" w:rsidP="006A7A9F">
            <w:pPr>
              <w:rPr>
                <w:rFonts w:ascii="Arial" w:eastAsia="Times New Roman" w:hAnsi="Arial" w:cs="Arial"/>
                <w:color w:val="000000"/>
                <w:sz w:val="14"/>
                <w:szCs w:val="14"/>
                <w:lang w:val="cs-CZ" w:eastAsia="cs-CZ"/>
              </w:rPr>
            </w:pPr>
          </w:p>
        </w:tc>
        <w:tc>
          <w:tcPr>
            <w:tcW w:w="760" w:type="dxa"/>
            <w:vMerge/>
            <w:tcBorders>
              <w:top w:val="nil"/>
              <w:left w:val="single" w:sz="4" w:space="0" w:color="auto"/>
              <w:bottom w:val="single" w:sz="4" w:space="0" w:color="auto"/>
              <w:right w:val="single" w:sz="4" w:space="0" w:color="auto"/>
            </w:tcBorders>
            <w:vAlign w:val="center"/>
            <w:hideMark/>
          </w:tcPr>
          <w:p w14:paraId="4789C05F"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0AA5D8F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781A7D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410C5B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727DB27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B33F61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11,000</w:t>
            </w:r>
          </w:p>
        </w:tc>
        <w:tc>
          <w:tcPr>
            <w:tcW w:w="561" w:type="dxa"/>
            <w:tcBorders>
              <w:top w:val="nil"/>
              <w:left w:val="nil"/>
              <w:bottom w:val="single" w:sz="4" w:space="0" w:color="auto"/>
              <w:right w:val="single" w:sz="4" w:space="0" w:color="auto"/>
            </w:tcBorders>
            <w:shd w:val="clear" w:color="auto" w:fill="auto"/>
            <w:vAlign w:val="center"/>
            <w:hideMark/>
          </w:tcPr>
          <w:p w14:paraId="7374A43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75,000</w:t>
            </w:r>
          </w:p>
        </w:tc>
        <w:tc>
          <w:tcPr>
            <w:tcW w:w="561" w:type="dxa"/>
            <w:tcBorders>
              <w:top w:val="nil"/>
              <w:left w:val="nil"/>
              <w:bottom w:val="single" w:sz="4" w:space="0" w:color="auto"/>
              <w:right w:val="single" w:sz="4" w:space="0" w:color="auto"/>
            </w:tcBorders>
            <w:shd w:val="clear" w:color="auto" w:fill="auto"/>
            <w:vAlign w:val="center"/>
            <w:hideMark/>
          </w:tcPr>
          <w:p w14:paraId="5CCC1C2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1D62010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53CE4E1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2C96E5C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33F9F52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86,000</w:t>
            </w:r>
          </w:p>
        </w:tc>
        <w:tc>
          <w:tcPr>
            <w:tcW w:w="727" w:type="dxa"/>
            <w:vMerge/>
            <w:tcBorders>
              <w:top w:val="nil"/>
              <w:left w:val="single" w:sz="4" w:space="0" w:color="auto"/>
              <w:bottom w:val="single" w:sz="4" w:space="0" w:color="000000"/>
              <w:right w:val="single" w:sz="4" w:space="0" w:color="auto"/>
            </w:tcBorders>
            <w:vAlign w:val="center"/>
            <w:hideMark/>
          </w:tcPr>
          <w:p w14:paraId="173FE983"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5076A0C1" w14:textId="77777777" w:rsidTr="001B767A">
        <w:trPr>
          <w:trHeight w:val="20"/>
        </w:trPr>
        <w:tc>
          <w:tcPr>
            <w:tcW w:w="527" w:type="dxa"/>
            <w:vMerge/>
            <w:tcBorders>
              <w:top w:val="nil"/>
              <w:left w:val="single" w:sz="4" w:space="0" w:color="auto"/>
              <w:bottom w:val="single" w:sz="4" w:space="0" w:color="auto"/>
              <w:right w:val="single" w:sz="4" w:space="0" w:color="auto"/>
            </w:tcBorders>
            <w:vAlign w:val="center"/>
            <w:hideMark/>
          </w:tcPr>
          <w:p w14:paraId="0C87AE5B" w14:textId="77777777" w:rsidR="006A7A9F" w:rsidRPr="006A7A9F" w:rsidRDefault="006A7A9F" w:rsidP="006A7A9F">
            <w:pPr>
              <w:rPr>
                <w:rFonts w:ascii="Arial" w:eastAsia="Times New Roman" w:hAnsi="Arial" w:cs="Arial"/>
                <w:color w:val="000000"/>
                <w:sz w:val="14"/>
                <w:szCs w:val="14"/>
                <w:lang w:val="cs-CZ" w:eastAsia="cs-CZ"/>
              </w:rPr>
            </w:pPr>
          </w:p>
        </w:tc>
        <w:tc>
          <w:tcPr>
            <w:tcW w:w="2928" w:type="dxa"/>
            <w:vMerge/>
            <w:tcBorders>
              <w:top w:val="nil"/>
              <w:left w:val="single" w:sz="4" w:space="0" w:color="auto"/>
              <w:bottom w:val="single" w:sz="4" w:space="0" w:color="auto"/>
              <w:right w:val="single" w:sz="4" w:space="0" w:color="auto"/>
            </w:tcBorders>
            <w:vAlign w:val="center"/>
            <w:hideMark/>
          </w:tcPr>
          <w:p w14:paraId="4C3892E7" w14:textId="77777777" w:rsidR="006A7A9F" w:rsidRPr="006A7A9F" w:rsidRDefault="006A7A9F" w:rsidP="006A7A9F">
            <w:pPr>
              <w:rPr>
                <w:rFonts w:ascii="Arial" w:eastAsia="Times New Roman" w:hAnsi="Arial" w:cs="Arial"/>
                <w:color w:val="000000"/>
                <w:sz w:val="14"/>
                <w:szCs w:val="14"/>
                <w:lang w:val="cs-CZ" w:eastAsia="cs-CZ"/>
              </w:rPr>
            </w:pPr>
          </w:p>
        </w:tc>
        <w:tc>
          <w:tcPr>
            <w:tcW w:w="1038" w:type="dxa"/>
            <w:vMerge/>
            <w:tcBorders>
              <w:top w:val="nil"/>
              <w:left w:val="single" w:sz="4" w:space="0" w:color="auto"/>
              <w:bottom w:val="single" w:sz="4" w:space="0" w:color="auto"/>
              <w:right w:val="single" w:sz="4" w:space="0" w:color="auto"/>
            </w:tcBorders>
            <w:vAlign w:val="center"/>
            <w:hideMark/>
          </w:tcPr>
          <w:p w14:paraId="31688A73" w14:textId="77777777" w:rsidR="006A7A9F" w:rsidRPr="006A7A9F" w:rsidRDefault="006A7A9F" w:rsidP="006A7A9F">
            <w:pPr>
              <w:rPr>
                <w:rFonts w:ascii="Arial" w:eastAsia="Times New Roman" w:hAnsi="Arial" w:cs="Arial"/>
                <w:color w:val="000000"/>
                <w:sz w:val="14"/>
                <w:szCs w:val="14"/>
                <w:lang w:val="cs-CZ" w:eastAsia="cs-CZ"/>
              </w:rPr>
            </w:pPr>
          </w:p>
        </w:tc>
        <w:tc>
          <w:tcPr>
            <w:tcW w:w="2684" w:type="dxa"/>
            <w:vMerge/>
            <w:tcBorders>
              <w:top w:val="nil"/>
              <w:left w:val="single" w:sz="4" w:space="0" w:color="auto"/>
              <w:bottom w:val="single" w:sz="4" w:space="0" w:color="auto"/>
              <w:right w:val="single" w:sz="4" w:space="0" w:color="auto"/>
            </w:tcBorders>
            <w:vAlign w:val="center"/>
            <w:hideMark/>
          </w:tcPr>
          <w:p w14:paraId="12943226"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5A54A383" w14:textId="77777777" w:rsidR="006A7A9F" w:rsidRPr="006A7A9F" w:rsidRDefault="006A7A9F" w:rsidP="006A7A9F">
            <w:pPr>
              <w:rPr>
                <w:rFonts w:ascii="Arial" w:eastAsia="Times New Roman" w:hAnsi="Arial" w:cs="Arial"/>
                <w:color w:val="000000"/>
                <w:sz w:val="14"/>
                <w:szCs w:val="14"/>
                <w:lang w:val="cs-CZ" w:eastAsia="cs-CZ"/>
              </w:rPr>
            </w:pPr>
          </w:p>
        </w:tc>
        <w:tc>
          <w:tcPr>
            <w:tcW w:w="760" w:type="dxa"/>
            <w:vMerge/>
            <w:tcBorders>
              <w:top w:val="nil"/>
              <w:left w:val="single" w:sz="4" w:space="0" w:color="auto"/>
              <w:bottom w:val="single" w:sz="4" w:space="0" w:color="auto"/>
              <w:right w:val="single" w:sz="4" w:space="0" w:color="auto"/>
            </w:tcBorders>
            <w:vAlign w:val="center"/>
            <w:hideMark/>
          </w:tcPr>
          <w:p w14:paraId="7C11ABE8"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4CFCE2E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1C98DED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2FA945F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0BEE754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616802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29,000</w:t>
            </w:r>
          </w:p>
        </w:tc>
        <w:tc>
          <w:tcPr>
            <w:tcW w:w="561" w:type="dxa"/>
            <w:tcBorders>
              <w:top w:val="nil"/>
              <w:left w:val="nil"/>
              <w:bottom w:val="single" w:sz="4" w:space="0" w:color="auto"/>
              <w:right w:val="single" w:sz="4" w:space="0" w:color="auto"/>
            </w:tcBorders>
            <w:shd w:val="clear" w:color="auto" w:fill="auto"/>
            <w:vAlign w:val="center"/>
            <w:hideMark/>
          </w:tcPr>
          <w:p w14:paraId="38405EE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w:t>
            </w:r>
          </w:p>
        </w:tc>
        <w:tc>
          <w:tcPr>
            <w:tcW w:w="561" w:type="dxa"/>
            <w:tcBorders>
              <w:top w:val="nil"/>
              <w:left w:val="nil"/>
              <w:bottom w:val="single" w:sz="4" w:space="0" w:color="auto"/>
              <w:right w:val="single" w:sz="4" w:space="0" w:color="auto"/>
            </w:tcBorders>
            <w:shd w:val="clear" w:color="auto" w:fill="auto"/>
            <w:vAlign w:val="center"/>
            <w:hideMark/>
          </w:tcPr>
          <w:p w14:paraId="1886410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7179735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5B4AF3F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657D8A3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1C2C512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32,000</w:t>
            </w:r>
          </w:p>
        </w:tc>
        <w:tc>
          <w:tcPr>
            <w:tcW w:w="727" w:type="dxa"/>
            <w:vMerge/>
            <w:tcBorders>
              <w:top w:val="nil"/>
              <w:left w:val="single" w:sz="4" w:space="0" w:color="auto"/>
              <w:bottom w:val="single" w:sz="4" w:space="0" w:color="000000"/>
              <w:right w:val="single" w:sz="4" w:space="0" w:color="auto"/>
            </w:tcBorders>
            <w:vAlign w:val="center"/>
            <w:hideMark/>
          </w:tcPr>
          <w:p w14:paraId="6B30F6BD"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4037BBD2" w14:textId="77777777" w:rsidTr="001B767A">
        <w:trPr>
          <w:trHeight w:val="20"/>
        </w:trPr>
        <w:tc>
          <w:tcPr>
            <w:tcW w:w="527" w:type="dxa"/>
            <w:vMerge w:val="restart"/>
            <w:tcBorders>
              <w:top w:val="nil"/>
              <w:left w:val="single" w:sz="4" w:space="0" w:color="auto"/>
              <w:bottom w:val="single" w:sz="4" w:space="0" w:color="auto"/>
              <w:right w:val="single" w:sz="4" w:space="0" w:color="auto"/>
            </w:tcBorders>
            <w:shd w:val="clear" w:color="auto" w:fill="auto"/>
            <w:vAlign w:val="center"/>
            <w:hideMark/>
          </w:tcPr>
          <w:p w14:paraId="7201DBC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928" w:type="dxa"/>
            <w:vMerge w:val="restart"/>
            <w:tcBorders>
              <w:top w:val="nil"/>
              <w:left w:val="single" w:sz="4" w:space="0" w:color="auto"/>
              <w:bottom w:val="single" w:sz="4" w:space="0" w:color="auto"/>
              <w:right w:val="single" w:sz="4" w:space="0" w:color="auto"/>
            </w:tcBorders>
            <w:shd w:val="clear" w:color="auto" w:fill="auto"/>
            <w:vAlign w:val="center"/>
            <w:hideMark/>
          </w:tcPr>
          <w:p w14:paraId="4C58A4E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14:paraId="7FBAFC7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Více rozvinuté regiony</w:t>
            </w:r>
          </w:p>
        </w:tc>
        <w:tc>
          <w:tcPr>
            <w:tcW w:w="2684" w:type="dxa"/>
            <w:vMerge w:val="restart"/>
            <w:tcBorders>
              <w:top w:val="nil"/>
              <w:left w:val="single" w:sz="4" w:space="0" w:color="auto"/>
              <w:bottom w:val="single" w:sz="4" w:space="0" w:color="auto"/>
              <w:right w:val="single" w:sz="4" w:space="0" w:color="auto"/>
            </w:tcBorders>
            <w:shd w:val="clear" w:color="auto" w:fill="auto"/>
            <w:vAlign w:val="center"/>
            <w:hideMark/>
          </w:tcPr>
          <w:p w14:paraId="43747D8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hideMark/>
          </w:tcPr>
          <w:p w14:paraId="6700A0A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1E1FDCC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13,000</w:t>
            </w:r>
          </w:p>
        </w:tc>
        <w:tc>
          <w:tcPr>
            <w:tcW w:w="5611" w:type="dxa"/>
            <w:gridSpan w:val="10"/>
            <w:tcBorders>
              <w:top w:val="single" w:sz="4" w:space="0" w:color="auto"/>
              <w:left w:val="nil"/>
              <w:bottom w:val="single" w:sz="4" w:space="0" w:color="auto"/>
              <w:right w:val="single" w:sz="4" w:space="0" w:color="000000"/>
            </w:tcBorders>
            <w:shd w:val="clear" w:color="auto" w:fill="auto"/>
            <w:vAlign w:val="center"/>
            <w:hideMark/>
          </w:tcPr>
          <w:p w14:paraId="47652A96"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0F1F9F1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16,000</w:t>
            </w:r>
          </w:p>
        </w:tc>
        <w:tc>
          <w:tcPr>
            <w:tcW w:w="727" w:type="dxa"/>
            <w:vMerge w:val="restart"/>
            <w:tcBorders>
              <w:top w:val="nil"/>
              <w:left w:val="single" w:sz="4" w:space="0" w:color="auto"/>
              <w:bottom w:val="single" w:sz="4" w:space="0" w:color="000000"/>
              <w:right w:val="single" w:sz="4" w:space="0" w:color="auto"/>
            </w:tcBorders>
            <w:shd w:val="clear" w:color="auto" w:fill="auto"/>
            <w:vAlign w:val="center"/>
            <w:hideMark/>
          </w:tcPr>
          <w:p w14:paraId="4B275D6B"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123,077%</w:t>
            </w:r>
          </w:p>
        </w:tc>
      </w:tr>
      <w:tr w:rsidR="006A7A9F" w:rsidRPr="006A7A9F" w14:paraId="48D2EC08" w14:textId="77777777" w:rsidTr="001B767A">
        <w:trPr>
          <w:trHeight w:val="20"/>
        </w:trPr>
        <w:tc>
          <w:tcPr>
            <w:tcW w:w="527" w:type="dxa"/>
            <w:vMerge/>
            <w:tcBorders>
              <w:top w:val="nil"/>
              <w:left w:val="single" w:sz="4" w:space="0" w:color="auto"/>
              <w:bottom w:val="single" w:sz="4" w:space="0" w:color="auto"/>
              <w:right w:val="single" w:sz="4" w:space="0" w:color="auto"/>
            </w:tcBorders>
            <w:vAlign w:val="center"/>
            <w:hideMark/>
          </w:tcPr>
          <w:p w14:paraId="352D3AFC" w14:textId="77777777" w:rsidR="006A7A9F" w:rsidRPr="006A7A9F" w:rsidRDefault="006A7A9F" w:rsidP="006A7A9F">
            <w:pPr>
              <w:rPr>
                <w:rFonts w:ascii="Arial" w:eastAsia="Times New Roman" w:hAnsi="Arial" w:cs="Arial"/>
                <w:color w:val="000000"/>
                <w:sz w:val="14"/>
                <w:szCs w:val="14"/>
                <w:lang w:val="cs-CZ" w:eastAsia="cs-CZ"/>
              </w:rPr>
            </w:pPr>
          </w:p>
        </w:tc>
        <w:tc>
          <w:tcPr>
            <w:tcW w:w="2928" w:type="dxa"/>
            <w:vMerge/>
            <w:tcBorders>
              <w:top w:val="nil"/>
              <w:left w:val="single" w:sz="4" w:space="0" w:color="auto"/>
              <w:bottom w:val="single" w:sz="4" w:space="0" w:color="auto"/>
              <w:right w:val="single" w:sz="4" w:space="0" w:color="auto"/>
            </w:tcBorders>
            <w:vAlign w:val="center"/>
            <w:hideMark/>
          </w:tcPr>
          <w:p w14:paraId="233CAB44" w14:textId="77777777" w:rsidR="006A7A9F" w:rsidRPr="006A7A9F" w:rsidRDefault="006A7A9F" w:rsidP="006A7A9F">
            <w:pPr>
              <w:rPr>
                <w:rFonts w:ascii="Arial" w:eastAsia="Times New Roman" w:hAnsi="Arial" w:cs="Arial"/>
                <w:color w:val="000000"/>
                <w:sz w:val="14"/>
                <w:szCs w:val="14"/>
                <w:lang w:val="cs-CZ" w:eastAsia="cs-CZ"/>
              </w:rPr>
            </w:pPr>
          </w:p>
        </w:tc>
        <w:tc>
          <w:tcPr>
            <w:tcW w:w="1038" w:type="dxa"/>
            <w:vMerge/>
            <w:tcBorders>
              <w:top w:val="nil"/>
              <w:left w:val="single" w:sz="4" w:space="0" w:color="auto"/>
              <w:bottom w:val="single" w:sz="4" w:space="0" w:color="auto"/>
              <w:right w:val="single" w:sz="4" w:space="0" w:color="auto"/>
            </w:tcBorders>
            <w:vAlign w:val="center"/>
            <w:hideMark/>
          </w:tcPr>
          <w:p w14:paraId="698321BF" w14:textId="77777777" w:rsidR="006A7A9F" w:rsidRPr="006A7A9F" w:rsidRDefault="006A7A9F" w:rsidP="006A7A9F">
            <w:pPr>
              <w:rPr>
                <w:rFonts w:ascii="Arial" w:eastAsia="Times New Roman" w:hAnsi="Arial" w:cs="Arial"/>
                <w:color w:val="000000"/>
                <w:sz w:val="14"/>
                <w:szCs w:val="14"/>
                <w:lang w:val="cs-CZ" w:eastAsia="cs-CZ"/>
              </w:rPr>
            </w:pPr>
          </w:p>
        </w:tc>
        <w:tc>
          <w:tcPr>
            <w:tcW w:w="2684" w:type="dxa"/>
            <w:vMerge/>
            <w:tcBorders>
              <w:top w:val="nil"/>
              <w:left w:val="single" w:sz="4" w:space="0" w:color="auto"/>
              <w:bottom w:val="single" w:sz="4" w:space="0" w:color="auto"/>
              <w:right w:val="single" w:sz="4" w:space="0" w:color="auto"/>
            </w:tcBorders>
            <w:vAlign w:val="center"/>
            <w:hideMark/>
          </w:tcPr>
          <w:p w14:paraId="66B2989E"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6C95C561" w14:textId="77777777" w:rsidR="006A7A9F" w:rsidRPr="006A7A9F" w:rsidRDefault="006A7A9F" w:rsidP="006A7A9F">
            <w:pPr>
              <w:rPr>
                <w:rFonts w:ascii="Arial" w:eastAsia="Times New Roman" w:hAnsi="Arial" w:cs="Arial"/>
                <w:color w:val="000000"/>
                <w:sz w:val="14"/>
                <w:szCs w:val="14"/>
                <w:lang w:val="cs-CZ" w:eastAsia="cs-CZ"/>
              </w:rPr>
            </w:pPr>
          </w:p>
        </w:tc>
        <w:tc>
          <w:tcPr>
            <w:tcW w:w="760" w:type="dxa"/>
            <w:vMerge/>
            <w:tcBorders>
              <w:top w:val="nil"/>
              <w:left w:val="single" w:sz="4" w:space="0" w:color="auto"/>
              <w:bottom w:val="single" w:sz="4" w:space="0" w:color="auto"/>
              <w:right w:val="single" w:sz="4" w:space="0" w:color="auto"/>
            </w:tcBorders>
            <w:vAlign w:val="center"/>
            <w:hideMark/>
          </w:tcPr>
          <w:p w14:paraId="48C20E3A"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57A8A7C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7C3A506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642BF6C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05A63AE2"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52DB1B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1" w:type="dxa"/>
            <w:tcBorders>
              <w:top w:val="nil"/>
              <w:left w:val="nil"/>
              <w:bottom w:val="single" w:sz="4" w:space="0" w:color="auto"/>
              <w:right w:val="single" w:sz="4" w:space="0" w:color="auto"/>
            </w:tcBorders>
            <w:shd w:val="clear" w:color="auto" w:fill="auto"/>
            <w:vAlign w:val="center"/>
            <w:hideMark/>
          </w:tcPr>
          <w:p w14:paraId="55087DF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11,000</w:t>
            </w:r>
          </w:p>
        </w:tc>
        <w:tc>
          <w:tcPr>
            <w:tcW w:w="561" w:type="dxa"/>
            <w:tcBorders>
              <w:top w:val="nil"/>
              <w:left w:val="nil"/>
              <w:bottom w:val="single" w:sz="4" w:space="0" w:color="auto"/>
              <w:right w:val="single" w:sz="4" w:space="0" w:color="auto"/>
            </w:tcBorders>
            <w:shd w:val="clear" w:color="auto" w:fill="auto"/>
            <w:vAlign w:val="center"/>
            <w:hideMark/>
          </w:tcPr>
          <w:p w14:paraId="41D66D6A"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5A3043D0"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08A6674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72D47A56"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5C661EE4"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12,000</w:t>
            </w:r>
          </w:p>
        </w:tc>
        <w:tc>
          <w:tcPr>
            <w:tcW w:w="727" w:type="dxa"/>
            <w:vMerge/>
            <w:tcBorders>
              <w:top w:val="nil"/>
              <w:left w:val="single" w:sz="4" w:space="0" w:color="auto"/>
              <w:bottom w:val="single" w:sz="4" w:space="0" w:color="000000"/>
              <w:right w:val="single" w:sz="4" w:space="0" w:color="auto"/>
            </w:tcBorders>
            <w:vAlign w:val="center"/>
            <w:hideMark/>
          </w:tcPr>
          <w:p w14:paraId="54BBEF29"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12E727CE" w14:textId="77777777" w:rsidTr="001B767A">
        <w:trPr>
          <w:trHeight w:val="20"/>
        </w:trPr>
        <w:tc>
          <w:tcPr>
            <w:tcW w:w="527" w:type="dxa"/>
            <w:vMerge/>
            <w:tcBorders>
              <w:top w:val="nil"/>
              <w:left w:val="single" w:sz="4" w:space="0" w:color="auto"/>
              <w:bottom w:val="single" w:sz="4" w:space="0" w:color="auto"/>
              <w:right w:val="single" w:sz="4" w:space="0" w:color="auto"/>
            </w:tcBorders>
            <w:vAlign w:val="center"/>
            <w:hideMark/>
          </w:tcPr>
          <w:p w14:paraId="5EB5DD93" w14:textId="77777777" w:rsidR="006A7A9F" w:rsidRPr="006A7A9F" w:rsidRDefault="006A7A9F" w:rsidP="006A7A9F">
            <w:pPr>
              <w:rPr>
                <w:rFonts w:ascii="Arial" w:eastAsia="Times New Roman" w:hAnsi="Arial" w:cs="Arial"/>
                <w:color w:val="000000"/>
                <w:sz w:val="14"/>
                <w:szCs w:val="14"/>
                <w:lang w:val="cs-CZ" w:eastAsia="cs-CZ"/>
              </w:rPr>
            </w:pPr>
          </w:p>
        </w:tc>
        <w:tc>
          <w:tcPr>
            <w:tcW w:w="2928" w:type="dxa"/>
            <w:vMerge/>
            <w:tcBorders>
              <w:top w:val="nil"/>
              <w:left w:val="single" w:sz="4" w:space="0" w:color="auto"/>
              <w:bottom w:val="single" w:sz="4" w:space="0" w:color="auto"/>
              <w:right w:val="single" w:sz="4" w:space="0" w:color="auto"/>
            </w:tcBorders>
            <w:vAlign w:val="center"/>
            <w:hideMark/>
          </w:tcPr>
          <w:p w14:paraId="0202351C" w14:textId="77777777" w:rsidR="006A7A9F" w:rsidRPr="006A7A9F" w:rsidRDefault="006A7A9F" w:rsidP="006A7A9F">
            <w:pPr>
              <w:rPr>
                <w:rFonts w:ascii="Arial" w:eastAsia="Times New Roman" w:hAnsi="Arial" w:cs="Arial"/>
                <w:color w:val="000000"/>
                <w:sz w:val="14"/>
                <w:szCs w:val="14"/>
                <w:lang w:val="cs-CZ" w:eastAsia="cs-CZ"/>
              </w:rPr>
            </w:pPr>
          </w:p>
        </w:tc>
        <w:tc>
          <w:tcPr>
            <w:tcW w:w="1038" w:type="dxa"/>
            <w:vMerge/>
            <w:tcBorders>
              <w:top w:val="nil"/>
              <w:left w:val="single" w:sz="4" w:space="0" w:color="auto"/>
              <w:bottom w:val="single" w:sz="4" w:space="0" w:color="auto"/>
              <w:right w:val="single" w:sz="4" w:space="0" w:color="auto"/>
            </w:tcBorders>
            <w:vAlign w:val="center"/>
            <w:hideMark/>
          </w:tcPr>
          <w:p w14:paraId="29BC2B72" w14:textId="77777777" w:rsidR="006A7A9F" w:rsidRPr="006A7A9F" w:rsidRDefault="006A7A9F" w:rsidP="006A7A9F">
            <w:pPr>
              <w:rPr>
                <w:rFonts w:ascii="Arial" w:eastAsia="Times New Roman" w:hAnsi="Arial" w:cs="Arial"/>
                <w:color w:val="000000"/>
                <w:sz w:val="14"/>
                <w:szCs w:val="14"/>
                <w:lang w:val="cs-CZ" w:eastAsia="cs-CZ"/>
              </w:rPr>
            </w:pPr>
          </w:p>
        </w:tc>
        <w:tc>
          <w:tcPr>
            <w:tcW w:w="2684" w:type="dxa"/>
            <w:vMerge/>
            <w:tcBorders>
              <w:top w:val="nil"/>
              <w:left w:val="single" w:sz="4" w:space="0" w:color="auto"/>
              <w:bottom w:val="single" w:sz="4" w:space="0" w:color="auto"/>
              <w:right w:val="single" w:sz="4" w:space="0" w:color="auto"/>
            </w:tcBorders>
            <w:vAlign w:val="center"/>
            <w:hideMark/>
          </w:tcPr>
          <w:p w14:paraId="32DB77B4" w14:textId="77777777" w:rsidR="006A7A9F" w:rsidRPr="006A7A9F" w:rsidRDefault="006A7A9F" w:rsidP="006A7A9F">
            <w:pPr>
              <w:rPr>
                <w:rFonts w:ascii="Arial" w:eastAsia="Times New Roman" w:hAnsi="Arial" w:cs="Arial"/>
                <w:color w:val="000000"/>
                <w:sz w:val="14"/>
                <w:szCs w:val="14"/>
                <w:lang w:val="cs-CZ" w:eastAsia="cs-CZ"/>
              </w:rPr>
            </w:pPr>
          </w:p>
        </w:tc>
        <w:tc>
          <w:tcPr>
            <w:tcW w:w="776" w:type="dxa"/>
            <w:vMerge/>
            <w:tcBorders>
              <w:top w:val="nil"/>
              <w:left w:val="single" w:sz="4" w:space="0" w:color="auto"/>
              <w:bottom w:val="single" w:sz="4" w:space="0" w:color="auto"/>
              <w:right w:val="single" w:sz="4" w:space="0" w:color="auto"/>
            </w:tcBorders>
            <w:vAlign w:val="center"/>
            <w:hideMark/>
          </w:tcPr>
          <w:p w14:paraId="288C0338" w14:textId="77777777" w:rsidR="006A7A9F" w:rsidRPr="006A7A9F" w:rsidRDefault="006A7A9F" w:rsidP="006A7A9F">
            <w:pPr>
              <w:rPr>
                <w:rFonts w:ascii="Arial" w:eastAsia="Times New Roman" w:hAnsi="Arial" w:cs="Arial"/>
                <w:color w:val="000000"/>
                <w:sz w:val="14"/>
                <w:szCs w:val="14"/>
                <w:lang w:val="cs-CZ" w:eastAsia="cs-CZ"/>
              </w:rPr>
            </w:pPr>
          </w:p>
        </w:tc>
        <w:tc>
          <w:tcPr>
            <w:tcW w:w="760" w:type="dxa"/>
            <w:vMerge/>
            <w:tcBorders>
              <w:top w:val="nil"/>
              <w:left w:val="single" w:sz="4" w:space="0" w:color="auto"/>
              <w:bottom w:val="single" w:sz="4" w:space="0" w:color="auto"/>
              <w:right w:val="single" w:sz="4" w:space="0" w:color="auto"/>
            </w:tcBorders>
            <w:vAlign w:val="center"/>
            <w:hideMark/>
          </w:tcPr>
          <w:p w14:paraId="1E64321E" w14:textId="77777777" w:rsidR="006A7A9F" w:rsidRPr="006A7A9F" w:rsidRDefault="006A7A9F" w:rsidP="006A7A9F">
            <w:pPr>
              <w:rPr>
                <w:rFonts w:ascii="Arial" w:eastAsia="Times New Roman" w:hAnsi="Arial" w:cs="Arial"/>
                <w:color w:val="000000"/>
                <w:sz w:val="14"/>
                <w:szCs w:val="14"/>
                <w:lang w:val="cs-CZ" w:eastAsia="cs-CZ"/>
              </w:rPr>
            </w:pPr>
          </w:p>
        </w:tc>
        <w:tc>
          <w:tcPr>
            <w:tcW w:w="561" w:type="dxa"/>
            <w:tcBorders>
              <w:top w:val="nil"/>
              <w:left w:val="nil"/>
              <w:bottom w:val="single" w:sz="4" w:space="0" w:color="auto"/>
              <w:right w:val="single" w:sz="4" w:space="0" w:color="auto"/>
            </w:tcBorders>
            <w:shd w:val="clear" w:color="auto" w:fill="auto"/>
            <w:vAlign w:val="center"/>
            <w:hideMark/>
          </w:tcPr>
          <w:p w14:paraId="04E37A4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25D68CF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2E9FEA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55DA0A6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28CD054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4,000</w:t>
            </w:r>
          </w:p>
        </w:tc>
        <w:tc>
          <w:tcPr>
            <w:tcW w:w="561" w:type="dxa"/>
            <w:tcBorders>
              <w:top w:val="nil"/>
              <w:left w:val="nil"/>
              <w:bottom w:val="single" w:sz="4" w:space="0" w:color="auto"/>
              <w:right w:val="single" w:sz="4" w:space="0" w:color="auto"/>
            </w:tcBorders>
            <w:shd w:val="clear" w:color="auto" w:fill="auto"/>
            <w:vAlign w:val="center"/>
            <w:hideMark/>
          </w:tcPr>
          <w:p w14:paraId="5C51418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1" w:type="dxa"/>
            <w:tcBorders>
              <w:top w:val="nil"/>
              <w:left w:val="nil"/>
              <w:bottom w:val="single" w:sz="4" w:space="0" w:color="auto"/>
              <w:right w:val="single" w:sz="4" w:space="0" w:color="auto"/>
            </w:tcBorders>
            <w:shd w:val="clear" w:color="auto" w:fill="auto"/>
            <w:vAlign w:val="center"/>
            <w:hideMark/>
          </w:tcPr>
          <w:p w14:paraId="344C8B40"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7786E599"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0D23062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1" w:type="dxa"/>
            <w:tcBorders>
              <w:top w:val="nil"/>
              <w:left w:val="nil"/>
              <w:bottom w:val="single" w:sz="4" w:space="0" w:color="auto"/>
              <w:right w:val="single" w:sz="4" w:space="0" w:color="auto"/>
            </w:tcBorders>
            <w:shd w:val="clear" w:color="auto" w:fill="auto"/>
            <w:vAlign w:val="center"/>
            <w:hideMark/>
          </w:tcPr>
          <w:p w14:paraId="13AF216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40A0C767" w14:textId="3BC16ECA"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4,000</w:t>
            </w:r>
          </w:p>
        </w:tc>
        <w:tc>
          <w:tcPr>
            <w:tcW w:w="727" w:type="dxa"/>
            <w:vMerge/>
            <w:tcBorders>
              <w:top w:val="nil"/>
              <w:left w:val="single" w:sz="4" w:space="0" w:color="auto"/>
              <w:bottom w:val="single" w:sz="4" w:space="0" w:color="000000"/>
              <w:right w:val="single" w:sz="4" w:space="0" w:color="auto"/>
            </w:tcBorders>
            <w:vAlign w:val="center"/>
            <w:hideMark/>
          </w:tcPr>
          <w:p w14:paraId="730E9E98" w14:textId="77777777" w:rsidR="006A7A9F" w:rsidRPr="006A7A9F" w:rsidRDefault="006A7A9F" w:rsidP="006A7A9F">
            <w:pPr>
              <w:rPr>
                <w:rFonts w:ascii="Arial" w:eastAsia="Times New Roman" w:hAnsi="Arial" w:cs="Arial"/>
                <w:color w:val="000000"/>
                <w:sz w:val="14"/>
                <w:szCs w:val="14"/>
                <w:lang w:val="cs-CZ" w:eastAsia="cs-CZ"/>
              </w:rPr>
            </w:pPr>
          </w:p>
        </w:tc>
      </w:tr>
    </w:tbl>
    <w:p w14:paraId="227CBDF0" w14:textId="77777777" w:rsidR="00DA62E2" w:rsidRPr="002F2BE4" w:rsidRDefault="00DA62E2" w:rsidP="00FD35AB">
      <w:pPr>
        <w:keepNext/>
        <w:ind w:left="115" w:right="106"/>
        <w:jc w:val="both"/>
        <w:rPr>
          <w:rFonts w:ascii="Arial" w:eastAsia="Arial" w:hAnsi="Arial" w:cs="Arial"/>
          <w:color w:val="000000"/>
          <w:sz w:val="20"/>
          <w:lang w:val="cs-CZ"/>
        </w:rPr>
      </w:pPr>
    </w:p>
    <w:p w14:paraId="11684FE9"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48B78FBD" w14:textId="1C021B40" w:rsidR="001A7407" w:rsidRDefault="001A7407" w:rsidP="001B767A">
      <w:pPr>
        <w:ind w:right="108"/>
        <w:jc w:val="both"/>
        <w:rPr>
          <w:rFonts w:ascii="Arial" w:eastAsia="Arial" w:hAnsi="Arial" w:cs="Arial"/>
          <w:color w:val="000000"/>
          <w:sz w:val="20"/>
          <w:lang w:val="cs-CZ"/>
        </w:rPr>
      </w:pPr>
    </w:p>
    <w:p w14:paraId="2D5DE92A" w14:textId="24BB83AF"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03.3.74 Investice do institucionální kapacity a efektivnosti veřejné správy a veřejných služeb na celostátní, regionální a místní úrovni za účelem reforem, zlepšování právní úpravy a řádné správy</w:t>
      </w:r>
    </w:p>
    <w:tbl>
      <w:tblPr>
        <w:tblW w:w="15966" w:type="dxa"/>
        <w:tblInd w:w="75" w:type="dxa"/>
        <w:tblCellMar>
          <w:left w:w="70" w:type="dxa"/>
          <w:right w:w="70" w:type="dxa"/>
        </w:tblCellMar>
        <w:tblLook w:val="04A0" w:firstRow="1" w:lastRow="0" w:firstColumn="1" w:lastColumn="0" w:noHBand="0" w:noVBand="1"/>
      </w:tblPr>
      <w:tblGrid>
        <w:gridCol w:w="530"/>
        <w:gridCol w:w="2757"/>
        <w:gridCol w:w="1022"/>
        <w:gridCol w:w="2574"/>
        <w:gridCol w:w="775"/>
        <w:gridCol w:w="887"/>
        <w:gridCol w:w="558"/>
        <w:gridCol w:w="558"/>
        <w:gridCol w:w="558"/>
        <w:gridCol w:w="558"/>
        <w:gridCol w:w="558"/>
        <w:gridCol w:w="569"/>
        <w:gridCol w:w="554"/>
        <w:gridCol w:w="554"/>
        <w:gridCol w:w="554"/>
        <w:gridCol w:w="555"/>
        <w:gridCol w:w="1004"/>
        <w:gridCol w:w="841"/>
      </w:tblGrid>
      <w:tr w:rsidR="006A7A9F" w:rsidRPr="006A7A9F" w14:paraId="5A94FA48" w14:textId="77777777" w:rsidTr="001B767A">
        <w:trPr>
          <w:trHeight w:val="20"/>
          <w:tblHeader/>
        </w:trPr>
        <w:tc>
          <w:tcPr>
            <w:tcW w:w="5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9F9F3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ID</w:t>
            </w:r>
          </w:p>
        </w:tc>
        <w:tc>
          <w:tcPr>
            <w:tcW w:w="29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AD191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Indikátor</w:t>
            </w:r>
          </w:p>
        </w:tc>
        <w:tc>
          <w:tcPr>
            <w:tcW w:w="10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A95697"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Kategorie regionu</w:t>
            </w:r>
          </w:p>
        </w:tc>
        <w:tc>
          <w:tcPr>
            <w:tcW w:w="26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6B854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Společný indikátor výstupů použitý jako základ pro stanovení cíle</w:t>
            </w:r>
          </w:p>
        </w:tc>
        <w:tc>
          <w:tcPr>
            <w:tcW w:w="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E56F0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Měrná jednotka pro výchozí hodnotu a cíl</w:t>
            </w:r>
          </w:p>
        </w:tc>
        <w:tc>
          <w:tcPr>
            <w:tcW w:w="7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E239A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Cílová hodnota (2023) (Rozdělení podle pohlaví je pro cíl nepovinné)</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2BC9FBF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2014</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7ED496E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2015</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3CAD5FF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2016</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6247C7AB"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2017</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76C3E0C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2018</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5392530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2019</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2F89458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2020</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403D5F81"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2021</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0D859D5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2022</w:t>
            </w:r>
          </w:p>
        </w:tc>
        <w:tc>
          <w:tcPr>
            <w:tcW w:w="564" w:type="dxa"/>
            <w:tcBorders>
              <w:top w:val="single" w:sz="4" w:space="0" w:color="auto"/>
              <w:left w:val="nil"/>
              <w:bottom w:val="single" w:sz="4" w:space="0" w:color="auto"/>
              <w:right w:val="single" w:sz="4" w:space="0" w:color="auto"/>
            </w:tcBorders>
            <w:shd w:val="clear" w:color="auto" w:fill="auto"/>
            <w:vAlign w:val="center"/>
            <w:hideMark/>
          </w:tcPr>
          <w:p w14:paraId="59F13B3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2023</w:t>
            </w:r>
          </w:p>
        </w:tc>
        <w:tc>
          <w:tcPr>
            <w:tcW w:w="834" w:type="dxa"/>
            <w:tcBorders>
              <w:top w:val="single" w:sz="4" w:space="0" w:color="auto"/>
              <w:left w:val="nil"/>
              <w:bottom w:val="single" w:sz="4" w:space="0" w:color="auto"/>
              <w:right w:val="single" w:sz="4" w:space="0" w:color="auto"/>
            </w:tcBorders>
            <w:shd w:val="clear" w:color="auto" w:fill="auto"/>
            <w:vAlign w:val="center"/>
            <w:hideMark/>
          </w:tcPr>
          <w:p w14:paraId="167A74F2"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Kumulativní hodnota (vypočítána automaticky)</w:t>
            </w:r>
          </w:p>
        </w:tc>
        <w:tc>
          <w:tcPr>
            <w:tcW w:w="7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E51CF6"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Míra splnění Rozdělení podle pohlaví je nepovinné</w:t>
            </w:r>
          </w:p>
        </w:tc>
      </w:tr>
      <w:tr w:rsidR="006A7A9F" w:rsidRPr="006A7A9F" w14:paraId="761B844F" w14:textId="77777777" w:rsidTr="001B767A">
        <w:trPr>
          <w:trHeight w:val="20"/>
          <w:tblHeader/>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2052922C" w14:textId="77777777" w:rsidR="006A7A9F" w:rsidRPr="006A7A9F" w:rsidRDefault="006A7A9F" w:rsidP="006A7A9F">
            <w:pPr>
              <w:rPr>
                <w:rFonts w:ascii="Arial" w:eastAsia="Times New Roman" w:hAnsi="Arial" w:cs="Arial"/>
                <w:b/>
                <w:bCs/>
                <w:color w:val="000000"/>
                <w:sz w:val="14"/>
                <w:szCs w:val="14"/>
                <w:lang w:val="cs-CZ" w:eastAsia="cs-CZ"/>
              </w:rPr>
            </w:pPr>
          </w:p>
        </w:tc>
        <w:tc>
          <w:tcPr>
            <w:tcW w:w="2944" w:type="dxa"/>
            <w:vMerge/>
            <w:tcBorders>
              <w:top w:val="single" w:sz="4" w:space="0" w:color="auto"/>
              <w:left w:val="single" w:sz="4" w:space="0" w:color="auto"/>
              <w:bottom w:val="single" w:sz="4" w:space="0" w:color="000000"/>
              <w:right w:val="single" w:sz="4" w:space="0" w:color="auto"/>
            </w:tcBorders>
            <w:vAlign w:val="center"/>
            <w:hideMark/>
          </w:tcPr>
          <w:p w14:paraId="1ABE58AF" w14:textId="77777777" w:rsidR="006A7A9F" w:rsidRPr="006A7A9F" w:rsidRDefault="006A7A9F" w:rsidP="006A7A9F">
            <w:pPr>
              <w:rPr>
                <w:rFonts w:ascii="Arial" w:eastAsia="Times New Roman" w:hAnsi="Arial" w:cs="Arial"/>
                <w:b/>
                <w:bCs/>
                <w:color w:val="000000"/>
                <w:sz w:val="14"/>
                <w:szCs w:val="14"/>
                <w:lang w:val="cs-CZ" w:eastAsia="cs-CZ"/>
              </w:rPr>
            </w:pPr>
          </w:p>
        </w:tc>
        <w:tc>
          <w:tcPr>
            <w:tcW w:w="1044" w:type="dxa"/>
            <w:vMerge/>
            <w:tcBorders>
              <w:top w:val="single" w:sz="4" w:space="0" w:color="auto"/>
              <w:left w:val="single" w:sz="4" w:space="0" w:color="auto"/>
              <w:bottom w:val="single" w:sz="4" w:space="0" w:color="000000"/>
              <w:right w:val="single" w:sz="4" w:space="0" w:color="auto"/>
            </w:tcBorders>
            <w:vAlign w:val="center"/>
            <w:hideMark/>
          </w:tcPr>
          <w:p w14:paraId="135CFBFB" w14:textId="77777777" w:rsidR="006A7A9F" w:rsidRPr="006A7A9F" w:rsidRDefault="006A7A9F" w:rsidP="006A7A9F">
            <w:pPr>
              <w:rPr>
                <w:rFonts w:ascii="Arial" w:eastAsia="Times New Roman" w:hAnsi="Arial" w:cs="Arial"/>
                <w:b/>
                <w:bCs/>
                <w:color w:val="000000"/>
                <w:sz w:val="14"/>
                <w:szCs w:val="14"/>
                <w:lang w:val="cs-CZ" w:eastAsia="cs-CZ"/>
              </w:rPr>
            </w:pPr>
          </w:p>
        </w:tc>
        <w:tc>
          <w:tcPr>
            <w:tcW w:w="2698" w:type="dxa"/>
            <w:vMerge/>
            <w:tcBorders>
              <w:top w:val="single" w:sz="4" w:space="0" w:color="auto"/>
              <w:left w:val="single" w:sz="4" w:space="0" w:color="auto"/>
              <w:bottom w:val="single" w:sz="4" w:space="0" w:color="000000"/>
              <w:right w:val="single" w:sz="4" w:space="0" w:color="auto"/>
            </w:tcBorders>
            <w:vAlign w:val="center"/>
            <w:hideMark/>
          </w:tcPr>
          <w:p w14:paraId="713B8DD1" w14:textId="77777777" w:rsidR="006A7A9F" w:rsidRPr="006A7A9F" w:rsidRDefault="006A7A9F" w:rsidP="006A7A9F">
            <w:pPr>
              <w:rPr>
                <w:rFonts w:ascii="Arial" w:eastAsia="Times New Roman" w:hAnsi="Arial" w:cs="Arial"/>
                <w:b/>
                <w:bCs/>
                <w:color w:val="000000"/>
                <w:sz w:val="14"/>
                <w:szCs w:val="14"/>
                <w:lang w:val="cs-CZ" w:eastAsia="cs-CZ"/>
              </w:rPr>
            </w:pPr>
          </w:p>
        </w:tc>
        <w:tc>
          <w:tcPr>
            <w:tcW w:w="780" w:type="dxa"/>
            <w:vMerge/>
            <w:tcBorders>
              <w:top w:val="single" w:sz="4" w:space="0" w:color="auto"/>
              <w:left w:val="single" w:sz="4" w:space="0" w:color="auto"/>
              <w:bottom w:val="single" w:sz="4" w:space="0" w:color="000000"/>
              <w:right w:val="single" w:sz="4" w:space="0" w:color="auto"/>
            </w:tcBorders>
            <w:vAlign w:val="center"/>
            <w:hideMark/>
          </w:tcPr>
          <w:p w14:paraId="14BC8FA0" w14:textId="77777777" w:rsidR="006A7A9F" w:rsidRPr="006A7A9F" w:rsidRDefault="006A7A9F" w:rsidP="006A7A9F">
            <w:pPr>
              <w:rPr>
                <w:rFonts w:ascii="Arial" w:eastAsia="Times New Roman" w:hAnsi="Arial" w:cs="Arial"/>
                <w:b/>
                <w:bCs/>
                <w:color w:val="000000"/>
                <w:sz w:val="14"/>
                <w:szCs w:val="14"/>
                <w:lang w:val="cs-CZ" w:eastAsia="cs-CZ"/>
              </w:rPr>
            </w:pPr>
          </w:p>
        </w:tc>
        <w:tc>
          <w:tcPr>
            <w:tcW w:w="764" w:type="dxa"/>
            <w:vMerge/>
            <w:tcBorders>
              <w:top w:val="single" w:sz="4" w:space="0" w:color="auto"/>
              <w:left w:val="single" w:sz="4" w:space="0" w:color="auto"/>
              <w:bottom w:val="single" w:sz="4" w:space="0" w:color="000000"/>
              <w:right w:val="single" w:sz="4" w:space="0" w:color="auto"/>
            </w:tcBorders>
            <w:vAlign w:val="center"/>
            <w:hideMark/>
          </w:tcPr>
          <w:p w14:paraId="20DEBAFA" w14:textId="77777777" w:rsidR="006A7A9F" w:rsidRPr="006A7A9F" w:rsidRDefault="006A7A9F" w:rsidP="006A7A9F">
            <w:pPr>
              <w:rPr>
                <w:rFonts w:ascii="Arial" w:eastAsia="Times New Roman" w:hAnsi="Arial" w:cs="Arial"/>
                <w:b/>
                <w:bCs/>
                <w:color w:val="000000"/>
                <w:sz w:val="14"/>
                <w:szCs w:val="14"/>
                <w:lang w:val="cs-CZ" w:eastAsia="cs-CZ"/>
              </w:rPr>
            </w:pPr>
          </w:p>
        </w:tc>
        <w:tc>
          <w:tcPr>
            <w:tcW w:w="5641" w:type="dxa"/>
            <w:gridSpan w:val="10"/>
            <w:tcBorders>
              <w:top w:val="single" w:sz="4" w:space="0" w:color="auto"/>
              <w:left w:val="nil"/>
              <w:bottom w:val="single" w:sz="4" w:space="0" w:color="auto"/>
              <w:right w:val="single" w:sz="4" w:space="0" w:color="000000"/>
            </w:tcBorders>
            <w:shd w:val="clear" w:color="auto" w:fill="auto"/>
            <w:vAlign w:val="center"/>
            <w:hideMark/>
          </w:tcPr>
          <w:p w14:paraId="1BB7D81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Roční hodnota</w:t>
            </w:r>
          </w:p>
        </w:tc>
        <w:tc>
          <w:tcPr>
            <w:tcW w:w="834" w:type="dxa"/>
            <w:tcBorders>
              <w:top w:val="nil"/>
              <w:left w:val="nil"/>
              <w:bottom w:val="single" w:sz="4" w:space="0" w:color="auto"/>
              <w:right w:val="single" w:sz="4" w:space="0" w:color="auto"/>
            </w:tcBorders>
            <w:shd w:val="clear" w:color="auto" w:fill="auto"/>
            <w:vAlign w:val="center"/>
            <w:hideMark/>
          </w:tcPr>
          <w:p w14:paraId="76E9F14C"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Celkem</w:t>
            </w:r>
          </w:p>
        </w:tc>
        <w:tc>
          <w:tcPr>
            <w:tcW w:w="731" w:type="dxa"/>
            <w:vMerge/>
            <w:tcBorders>
              <w:top w:val="single" w:sz="4" w:space="0" w:color="auto"/>
              <w:left w:val="single" w:sz="4" w:space="0" w:color="auto"/>
              <w:bottom w:val="single" w:sz="4" w:space="0" w:color="000000"/>
              <w:right w:val="single" w:sz="4" w:space="0" w:color="auto"/>
            </w:tcBorders>
            <w:vAlign w:val="center"/>
            <w:hideMark/>
          </w:tcPr>
          <w:p w14:paraId="07DAF5FC"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646F500E" w14:textId="77777777" w:rsidTr="001B767A">
        <w:trPr>
          <w:trHeight w:val="20"/>
          <w:tblHeader/>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18AFBAA5" w14:textId="77777777" w:rsidR="006A7A9F" w:rsidRPr="006A7A9F" w:rsidRDefault="006A7A9F" w:rsidP="006A7A9F">
            <w:pPr>
              <w:rPr>
                <w:rFonts w:ascii="Arial" w:eastAsia="Times New Roman" w:hAnsi="Arial" w:cs="Arial"/>
                <w:b/>
                <w:bCs/>
                <w:color w:val="000000"/>
                <w:sz w:val="14"/>
                <w:szCs w:val="14"/>
                <w:lang w:val="cs-CZ" w:eastAsia="cs-CZ"/>
              </w:rPr>
            </w:pPr>
          </w:p>
        </w:tc>
        <w:tc>
          <w:tcPr>
            <w:tcW w:w="2944" w:type="dxa"/>
            <w:vMerge/>
            <w:tcBorders>
              <w:top w:val="single" w:sz="4" w:space="0" w:color="auto"/>
              <w:left w:val="single" w:sz="4" w:space="0" w:color="auto"/>
              <w:bottom w:val="single" w:sz="4" w:space="0" w:color="000000"/>
              <w:right w:val="single" w:sz="4" w:space="0" w:color="auto"/>
            </w:tcBorders>
            <w:vAlign w:val="center"/>
            <w:hideMark/>
          </w:tcPr>
          <w:p w14:paraId="28980DCE" w14:textId="77777777" w:rsidR="006A7A9F" w:rsidRPr="006A7A9F" w:rsidRDefault="006A7A9F" w:rsidP="006A7A9F">
            <w:pPr>
              <w:rPr>
                <w:rFonts w:ascii="Arial" w:eastAsia="Times New Roman" w:hAnsi="Arial" w:cs="Arial"/>
                <w:b/>
                <w:bCs/>
                <w:color w:val="000000"/>
                <w:sz w:val="14"/>
                <w:szCs w:val="14"/>
                <w:lang w:val="cs-CZ" w:eastAsia="cs-CZ"/>
              </w:rPr>
            </w:pPr>
          </w:p>
        </w:tc>
        <w:tc>
          <w:tcPr>
            <w:tcW w:w="1044" w:type="dxa"/>
            <w:vMerge/>
            <w:tcBorders>
              <w:top w:val="single" w:sz="4" w:space="0" w:color="auto"/>
              <w:left w:val="single" w:sz="4" w:space="0" w:color="auto"/>
              <w:bottom w:val="single" w:sz="4" w:space="0" w:color="000000"/>
              <w:right w:val="single" w:sz="4" w:space="0" w:color="auto"/>
            </w:tcBorders>
            <w:vAlign w:val="center"/>
            <w:hideMark/>
          </w:tcPr>
          <w:p w14:paraId="6C5664B6" w14:textId="77777777" w:rsidR="006A7A9F" w:rsidRPr="006A7A9F" w:rsidRDefault="006A7A9F" w:rsidP="006A7A9F">
            <w:pPr>
              <w:rPr>
                <w:rFonts w:ascii="Arial" w:eastAsia="Times New Roman" w:hAnsi="Arial" w:cs="Arial"/>
                <w:b/>
                <w:bCs/>
                <w:color w:val="000000"/>
                <w:sz w:val="14"/>
                <w:szCs w:val="14"/>
                <w:lang w:val="cs-CZ" w:eastAsia="cs-CZ"/>
              </w:rPr>
            </w:pPr>
          </w:p>
        </w:tc>
        <w:tc>
          <w:tcPr>
            <w:tcW w:w="2698" w:type="dxa"/>
            <w:vMerge/>
            <w:tcBorders>
              <w:top w:val="single" w:sz="4" w:space="0" w:color="auto"/>
              <w:left w:val="single" w:sz="4" w:space="0" w:color="auto"/>
              <w:bottom w:val="single" w:sz="4" w:space="0" w:color="000000"/>
              <w:right w:val="single" w:sz="4" w:space="0" w:color="auto"/>
            </w:tcBorders>
            <w:vAlign w:val="center"/>
            <w:hideMark/>
          </w:tcPr>
          <w:p w14:paraId="496281E5" w14:textId="77777777" w:rsidR="006A7A9F" w:rsidRPr="006A7A9F" w:rsidRDefault="006A7A9F" w:rsidP="006A7A9F">
            <w:pPr>
              <w:rPr>
                <w:rFonts w:ascii="Arial" w:eastAsia="Times New Roman" w:hAnsi="Arial" w:cs="Arial"/>
                <w:b/>
                <w:bCs/>
                <w:color w:val="000000"/>
                <w:sz w:val="14"/>
                <w:szCs w:val="14"/>
                <w:lang w:val="cs-CZ" w:eastAsia="cs-CZ"/>
              </w:rPr>
            </w:pPr>
          </w:p>
        </w:tc>
        <w:tc>
          <w:tcPr>
            <w:tcW w:w="780" w:type="dxa"/>
            <w:vMerge/>
            <w:tcBorders>
              <w:top w:val="single" w:sz="4" w:space="0" w:color="auto"/>
              <w:left w:val="single" w:sz="4" w:space="0" w:color="auto"/>
              <w:bottom w:val="single" w:sz="4" w:space="0" w:color="000000"/>
              <w:right w:val="single" w:sz="4" w:space="0" w:color="auto"/>
            </w:tcBorders>
            <w:vAlign w:val="center"/>
            <w:hideMark/>
          </w:tcPr>
          <w:p w14:paraId="631DF7B2" w14:textId="77777777" w:rsidR="006A7A9F" w:rsidRPr="006A7A9F" w:rsidRDefault="006A7A9F" w:rsidP="006A7A9F">
            <w:pPr>
              <w:rPr>
                <w:rFonts w:ascii="Arial" w:eastAsia="Times New Roman" w:hAnsi="Arial" w:cs="Arial"/>
                <w:b/>
                <w:bCs/>
                <w:color w:val="000000"/>
                <w:sz w:val="14"/>
                <w:szCs w:val="14"/>
                <w:lang w:val="cs-CZ" w:eastAsia="cs-CZ"/>
              </w:rPr>
            </w:pPr>
          </w:p>
        </w:tc>
        <w:tc>
          <w:tcPr>
            <w:tcW w:w="764" w:type="dxa"/>
            <w:vMerge/>
            <w:tcBorders>
              <w:top w:val="single" w:sz="4" w:space="0" w:color="auto"/>
              <w:left w:val="single" w:sz="4" w:space="0" w:color="auto"/>
              <w:bottom w:val="single" w:sz="4" w:space="0" w:color="000000"/>
              <w:right w:val="single" w:sz="4" w:space="0" w:color="auto"/>
            </w:tcBorders>
            <w:vAlign w:val="center"/>
            <w:hideMark/>
          </w:tcPr>
          <w:p w14:paraId="0FB448C6" w14:textId="77777777" w:rsidR="006A7A9F" w:rsidRPr="006A7A9F" w:rsidRDefault="006A7A9F" w:rsidP="006A7A9F">
            <w:pPr>
              <w:rPr>
                <w:rFonts w:ascii="Arial" w:eastAsia="Times New Roman" w:hAnsi="Arial" w:cs="Arial"/>
                <w:b/>
                <w:bCs/>
                <w:color w:val="000000"/>
                <w:sz w:val="14"/>
                <w:szCs w:val="14"/>
                <w:lang w:val="cs-CZ" w:eastAsia="cs-CZ"/>
              </w:rPr>
            </w:pPr>
          </w:p>
        </w:tc>
        <w:tc>
          <w:tcPr>
            <w:tcW w:w="564" w:type="dxa"/>
            <w:tcBorders>
              <w:top w:val="nil"/>
              <w:left w:val="nil"/>
              <w:bottom w:val="single" w:sz="4" w:space="0" w:color="auto"/>
              <w:right w:val="single" w:sz="4" w:space="0" w:color="auto"/>
            </w:tcBorders>
            <w:shd w:val="clear" w:color="auto" w:fill="auto"/>
            <w:vAlign w:val="center"/>
            <w:hideMark/>
          </w:tcPr>
          <w:p w14:paraId="125896FE"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6BA5578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411CAEC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046A4AE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7CC78F39"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0ECE76B8"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21AD31C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0C5C983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57470F9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564" w:type="dxa"/>
            <w:tcBorders>
              <w:top w:val="nil"/>
              <w:left w:val="nil"/>
              <w:bottom w:val="single" w:sz="4" w:space="0" w:color="auto"/>
              <w:right w:val="single" w:sz="4" w:space="0" w:color="auto"/>
            </w:tcBorders>
            <w:shd w:val="clear" w:color="auto" w:fill="auto"/>
            <w:vAlign w:val="center"/>
            <w:hideMark/>
          </w:tcPr>
          <w:p w14:paraId="5C2D65B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834" w:type="dxa"/>
            <w:tcBorders>
              <w:top w:val="nil"/>
              <w:left w:val="nil"/>
              <w:bottom w:val="single" w:sz="4" w:space="0" w:color="auto"/>
              <w:right w:val="single" w:sz="4" w:space="0" w:color="auto"/>
            </w:tcBorders>
            <w:shd w:val="clear" w:color="auto" w:fill="auto"/>
            <w:vAlign w:val="center"/>
            <w:hideMark/>
          </w:tcPr>
          <w:p w14:paraId="54A36210"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M</w:t>
            </w:r>
          </w:p>
        </w:tc>
        <w:tc>
          <w:tcPr>
            <w:tcW w:w="731" w:type="dxa"/>
            <w:vMerge/>
            <w:tcBorders>
              <w:top w:val="single" w:sz="4" w:space="0" w:color="auto"/>
              <w:left w:val="single" w:sz="4" w:space="0" w:color="auto"/>
              <w:bottom w:val="single" w:sz="4" w:space="0" w:color="000000"/>
              <w:right w:val="single" w:sz="4" w:space="0" w:color="auto"/>
            </w:tcBorders>
            <w:vAlign w:val="center"/>
            <w:hideMark/>
          </w:tcPr>
          <w:p w14:paraId="1AF5D815"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1C7B2451" w14:textId="77777777" w:rsidTr="001B767A">
        <w:trPr>
          <w:trHeight w:val="20"/>
          <w:tblHeader/>
        </w:trPr>
        <w:tc>
          <w:tcPr>
            <w:tcW w:w="530" w:type="dxa"/>
            <w:vMerge/>
            <w:tcBorders>
              <w:top w:val="single" w:sz="4" w:space="0" w:color="auto"/>
              <w:left w:val="single" w:sz="4" w:space="0" w:color="auto"/>
              <w:bottom w:val="single" w:sz="4" w:space="0" w:color="000000"/>
              <w:right w:val="single" w:sz="4" w:space="0" w:color="auto"/>
            </w:tcBorders>
            <w:vAlign w:val="center"/>
            <w:hideMark/>
          </w:tcPr>
          <w:p w14:paraId="1D5F0C4B" w14:textId="77777777" w:rsidR="006A7A9F" w:rsidRPr="006A7A9F" w:rsidRDefault="006A7A9F" w:rsidP="006A7A9F">
            <w:pPr>
              <w:rPr>
                <w:rFonts w:ascii="Arial" w:eastAsia="Times New Roman" w:hAnsi="Arial" w:cs="Arial"/>
                <w:b/>
                <w:bCs/>
                <w:color w:val="000000"/>
                <w:sz w:val="14"/>
                <w:szCs w:val="14"/>
                <w:lang w:val="cs-CZ" w:eastAsia="cs-CZ"/>
              </w:rPr>
            </w:pPr>
          </w:p>
        </w:tc>
        <w:tc>
          <w:tcPr>
            <w:tcW w:w="2944" w:type="dxa"/>
            <w:vMerge/>
            <w:tcBorders>
              <w:top w:val="single" w:sz="4" w:space="0" w:color="auto"/>
              <w:left w:val="single" w:sz="4" w:space="0" w:color="auto"/>
              <w:bottom w:val="single" w:sz="4" w:space="0" w:color="000000"/>
              <w:right w:val="single" w:sz="4" w:space="0" w:color="auto"/>
            </w:tcBorders>
            <w:vAlign w:val="center"/>
            <w:hideMark/>
          </w:tcPr>
          <w:p w14:paraId="62675F9A" w14:textId="77777777" w:rsidR="006A7A9F" w:rsidRPr="006A7A9F" w:rsidRDefault="006A7A9F" w:rsidP="006A7A9F">
            <w:pPr>
              <w:rPr>
                <w:rFonts w:ascii="Arial" w:eastAsia="Times New Roman" w:hAnsi="Arial" w:cs="Arial"/>
                <w:b/>
                <w:bCs/>
                <w:color w:val="000000"/>
                <w:sz w:val="14"/>
                <w:szCs w:val="14"/>
                <w:lang w:val="cs-CZ" w:eastAsia="cs-CZ"/>
              </w:rPr>
            </w:pPr>
          </w:p>
        </w:tc>
        <w:tc>
          <w:tcPr>
            <w:tcW w:w="1044" w:type="dxa"/>
            <w:vMerge/>
            <w:tcBorders>
              <w:top w:val="single" w:sz="4" w:space="0" w:color="auto"/>
              <w:left w:val="single" w:sz="4" w:space="0" w:color="auto"/>
              <w:bottom w:val="single" w:sz="4" w:space="0" w:color="000000"/>
              <w:right w:val="single" w:sz="4" w:space="0" w:color="auto"/>
            </w:tcBorders>
            <w:vAlign w:val="center"/>
            <w:hideMark/>
          </w:tcPr>
          <w:p w14:paraId="32CB864A" w14:textId="77777777" w:rsidR="006A7A9F" w:rsidRPr="006A7A9F" w:rsidRDefault="006A7A9F" w:rsidP="006A7A9F">
            <w:pPr>
              <w:rPr>
                <w:rFonts w:ascii="Arial" w:eastAsia="Times New Roman" w:hAnsi="Arial" w:cs="Arial"/>
                <w:b/>
                <w:bCs/>
                <w:color w:val="000000"/>
                <w:sz w:val="14"/>
                <w:szCs w:val="14"/>
                <w:lang w:val="cs-CZ" w:eastAsia="cs-CZ"/>
              </w:rPr>
            </w:pPr>
          </w:p>
        </w:tc>
        <w:tc>
          <w:tcPr>
            <w:tcW w:w="2698" w:type="dxa"/>
            <w:vMerge/>
            <w:tcBorders>
              <w:top w:val="single" w:sz="4" w:space="0" w:color="auto"/>
              <w:left w:val="single" w:sz="4" w:space="0" w:color="auto"/>
              <w:bottom w:val="single" w:sz="4" w:space="0" w:color="000000"/>
              <w:right w:val="single" w:sz="4" w:space="0" w:color="auto"/>
            </w:tcBorders>
            <w:vAlign w:val="center"/>
            <w:hideMark/>
          </w:tcPr>
          <w:p w14:paraId="44EB9B93" w14:textId="77777777" w:rsidR="006A7A9F" w:rsidRPr="006A7A9F" w:rsidRDefault="006A7A9F" w:rsidP="006A7A9F">
            <w:pPr>
              <w:rPr>
                <w:rFonts w:ascii="Arial" w:eastAsia="Times New Roman" w:hAnsi="Arial" w:cs="Arial"/>
                <w:b/>
                <w:bCs/>
                <w:color w:val="000000"/>
                <w:sz w:val="14"/>
                <w:szCs w:val="14"/>
                <w:lang w:val="cs-CZ" w:eastAsia="cs-CZ"/>
              </w:rPr>
            </w:pPr>
          </w:p>
        </w:tc>
        <w:tc>
          <w:tcPr>
            <w:tcW w:w="780" w:type="dxa"/>
            <w:vMerge/>
            <w:tcBorders>
              <w:top w:val="single" w:sz="4" w:space="0" w:color="auto"/>
              <w:left w:val="single" w:sz="4" w:space="0" w:color="auto"/>
              <w:bottom w:val="single" w:sz="4" w:space="0" w:color="000000"/>
              <w:right w:val="single" w:sz="4" w:space="0" w:color="auto"/>
            </w:tcBorders>
            <w:vAlign w:val="center"/>
            <w:hideMark/>
          </w:tcPr>
          <w:p w14:paraId="1DBC3650" w14:textId="77777777" w:rsidR="006A7A9F" w:rsidRPr="006A7A9F" w:rsidRDefault="006A7A9F" w:rsidP="006A7A9F">
            <w:pPr>
              <w:rPr>
                <w:rFonts w:ascii="Arial" w:eastAsia="Times New Roman" w:hAnsi="Arial" w:cs="Arial"/>
                <w:b/>
                <w:bCs/>
                <w:color w:val="000000"/>
                <w:sz w:val="14"/>
                <w:szCs w:val="14"/>
                <w:lang w:val="cs-CZ" w:eastAsia="cs-CZ"/>
              </w:rPr>
            </w:pPr>
          </w:p>
        </w:tc>
        <w:tc>
          <w:tcPr>
            <w:tcW w:w="764" w:type="dxa"/>
            <w:vMerge/>
            <w:tcBorders>
              <w:top w:val="single" w:sz="4" w:space="0" w:color="auto"/>
              <w:left w:val="single" w:sz="4" w:space="0" w:color="auto"/>
              <w:bottom w:val="single" w:sz="4" w:space="0" w:color="000000"/>
              <w:right w:val="single" w:sz="4" w:space="0" w:color="auto"/>
            </w:tcBorders>
            <w:vAlign w:val="center"/>
            <w:hideMark/>
          </w:tcPr>
          <w:p w14:paraId="587C61B8" w14:textId="77777777" w:rsidR="006A7A9F" w:rsidRPr="006A7A9F" w:rsidRDefault="006A7A9F" w:rsidP="006A7A9F">
            <w:pPr>
              <w:rPr>
                <w:rFonts w:ascii="Arial" w:eastAsia="Times New Roman" w:hAnsi="Arial" w:cs="Arial"/>
                <w:b/>
                <w:bCs/>
                <w:color w:val="000000"/>
                <w:sz w:val="14"/>
                <w:szCs w:val="14"/>
                <w:lang w:val="cs-CZ" w:eastAsia="cs-CZ"/>
              </w:rPr>
            </w:pPr>
          </w:p>
        </w:tc>
        <w:tc>
          <w:tcPr>
            <w:tcW w:w="564" w:type="dxa"/>
            <w:tcBorders>
              <w:top w:val="nil"/>
              <w:left w:val="nil"/>
              <w:bottom w:val="single" w:sz="4" w:space="0" w:color="auto"/>
              <w:right w:val="single" w:sz="4" w:space="0" w:color="auto"/>
            </w:tcBorders>
            <w:shd w:val="clear" w:color="auto" w:fill="auto"/>
            <w:vAlign w:val="center"/>
            <w:hideMark/>
          </w:tcPr>
          <w:p w14:paraId="36BDB4B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26C9FD3D"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2E04C83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088151D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642CEACF"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2A38FB4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670C210A"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575C657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0EAD17C4"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564" w:type="dxa"/>
            <w:tcBorders>
              <w:top w:val="nil"/>
              <w:left w:val="nil"/>
              <w:bottom w:val="single" w:sz="4" w:space="0" w:color="auto"/>
              <w:right w:val="single" w:sz="4" w:space="0" w:color="auto"/>
            </w:tcBorders>
            <w:shd w:val="clear" w:color="auto" w:fill="auto"/>
            <w:vAlign w:val="center"/>
            <w:hideMark/>
          </w:tcPr>
          <w:p w14:paraId="21758103"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834" w:type="dxa"/>
            <w:tcBorders>
              <w:top w:val="nil"/>
              <w:left w:val="nil"/>
              <w:bottom w:val="single" w:sz="4" w:space="0" w:color="auto"/>
              <w:right w:val="single" w:sz="4" w:space="0" w:color="auto"/>
            </w:tcBorders>
            <w:shd w:val="clear" w:color="auto" w:fill="auto"/>
            <w:vAlign w:val="center"/>
            <w:hideMark/>
          </w:tcPr>
          <w:p w14:paraId="33E31C85" w14:textId="77777777" w:rsidR="006A7A9F" w:rsidRPr="006A7A9F" w:rsidRDefault="006A7A9F" w:rsidP="006A7A9F">
            <w:pPr>
              <w:jc w:val="center"/>
              <w:rPr>
                <w:rFonts w:ascii="Arial" w:eastAsia="Times New Roman" w:hAnsi="Arial" w:cs="Arial"/>
                <w:b/>
                <w:bCs/>
                <w:color w:val="000000"/>
                <w:sz w:val="14"/>
                <w:szCs w:val="14"/>
                <w:lang w:val="cs-CZ" w:eastAsia="cs-CZ"/>
              </w:rPr>
            </w:pPr>
            <w:r w:rsidRPr="006A7A9F">
              <w:rPr>
                <w:rFonts w:ascii="Arial" w:eastAsia="Times New Roman" w:hAnsi="Arial" w:cs="Arial"/>
                <w:b/>
                <w:bCs/>
                <w:color w:val="000000"/>
                <w:sz w:val="14"/>
                <w:szCs w:val="14"/>
                <w:lang w:val="cs-CZ" w:eastAsia="cs-CZ"/>
              </w:rPr>
              <w:t>Ž</w:t>
            </w:r>
          </w:p>
        </w:tc>
        <w:tc>
          <w:tcPr>
            <w:tcW w:w="731" w:type="dxa"/>
            <w:vMerge/>
            <w:tcBorders>
              <w:top w:val="single" w:sz="4" w:space="0" w:color="auto"/>
              <w:left w:val="single" w:sz="4" w:space="0" w:color="auto"/>
              <w:bottom w:val="single" w:sz="4" w:space="0" w:color="000000"/>
              <w:right w:val="single" w:sz="4" w:space="0" w:color="auto"/>
            </w:tcBorders>
            <w:vAlign w:val="center"/>
            <w:hideMark/>
          </w:tcPr>
          <w:p w14:paraId="2AC9D849" w14:textId="77777777" w:rsidR="006A7A9F" w:rsidRPr="006A7A9F" w:rsidRDefault="006A7A9F" w:rsidP="006A7A9F">
            <w:pPr>
              <w:rPr>
                <w:rFonts w:ascii="Arial" w:eastAsia="Times New Roman" w:hAnsi="Arial" w:cs="Arial"/>
                <w:b/>
                <w:bCs/>
                <w:color w:val="000000"/>
                <w:sz w:val="14"/>
                <w:szCs w:val="14"/>
                <w:lang w:val="cs-CZ" w:eastAsia="cs-CZ"/>
              </w:rPr>
            </w:pPr>
          </w:p>
        </w:tc>
      </w:tr>
      <w:tr w:rsidR="006A7A9F" w:rsidRPr="006A7A9F" w14:paraId="4E606B1C" w14:textId="77777777" w:rsidTr="001B767A">
        <w:trPr>
          <w:trHeight w:val="20"/>
        </w:trPr>
        <w:tc>
          <w:tcPr>
            <w:tcW w:w="530" w:type="dxa"/>
            <w:vMerge w:val="restart"/>
            <w:tcBorders>
              <w:top w:val="nil"/>
              <w:left w:val="single" w:sz="4" w:space="0" w:color="auto"/>
              <w:bottom w:val="single" w:sz="4" w:space="0" w:color="auto"/>
              <w:right w:val="single" w:sz="4" w:space="0" w:color="auto"/>
            </w:tcBorders>
            <w:shd w:val="clear" w:color="auto" w:fill="auto"/>
            <w:vAlign w:val="center"/>
            <w:hideMark/>
          </w:tcPr>
          <w:p w14:paraId="3B2CE8F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944" w:type="dxa"/>
            <w:vMerge w:val="restart"/>
            <w:tcBorders>
              <w:top w:val="nil"/>
              <w:left w:val="single" w:sz="4" w:space="0" w:color="auto"/>
              <w:bottom w:val="single" w:sz="4" w:space="0" w:color="auto"/>
              <w:right w:val="single" w:sz="4" w:space="0" w:color="auto"/>
            </w:tcBorders>
            <w:shd w:val="clear" w:color="auto" w:fill="auto"/>
            <w:vAlign w:val="center"/>
            <w:hideMark/>
          </w:tcPr>
          <w:p w14:paraId="44F1B4F4"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44" w:type="dxa"/>
            <w:vMerge w:val="restart"/>
            <w:tcBorders>
              <w:top w:val="nil"/>
              <w:left w:val="single" w:sz="4" w:space="0" w:color="auto"/>
              <w:bottom w:val="single" w:sz="4" w:space="0" w:color="auto"/>
              <w:right w:val="single" w:sz="4" w:space="0" w:color="auto"/>
            </w:tcBorders>
            <w:shd w:val="clear" w:color="auto" w:fill="auto"/>
            <w:vAlign w:val="center"/>
            <w:hideMark/>
          </w:tcPr>
          <w:p w14:paraId="07B7C61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Méně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303724D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4E8D26B1"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1812454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37,000</w:t>
            </w:r>
          </w:p>
        </w:tc>
        <w:tc>
          <w:tcPr>
            <w:tcW w:w="5641" w:type="dxa"/>
            <w:gridSpan w:val="10"/>
            <w:tcBorders>
              <w:top w:val="single" w:sz="4" w:space="0" w:color="auto"/>
              <w:left w:val="nil"/>
              <w:bottom w:val="single" w:sz="4" w:space="0" w:color="auto"/>
              <w:right w:val="single" w:sz="4" w:space="0" w:color="000000"/>
            </w:tcBorders>
            <w:shd w:val="clear" w:color="auto" w:fill="auto"/>
            <w:vAlign w:val="center"/>
            <w:hideMark/>
          </w:tcPr>
          <w:p w14:paraId="0FF924CB"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4" w:type="dxa"/>
            <w:tcBorders>
              <w:top w:val="nil"/>
              <w:left w:val="nil"/>
              <w:bottom w:val="single" w:sz="4" w:space="0" w:color="auto"/>
              <w:right w:val="single" w:sz="4" w:space="0" w:color="auto"/>
            </w:tcBorders>
            <w:shd w:val="clear" w:color="auto" w:fill="auto"/>
            <w:vAlign w:val="center"/>
            <w:hideMark/>
          </w:tcPr>
          <w:p w14:paraId="64052B5A"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41,000</w:t>
            </w:r>
          </w:p>
        </w:tc>
        <w:tc>
          <w:tcPr>
            <w:tcW w:w="731" w:type="dxa"/>
            <w:vMerge w:val="restart"/>
            <w:tcBorders>
              <w:top w:val="nil"/>
              <w:left w:val="single" w:sz="4" w:space="0" w:color="auto"/>
              <w:bottom w:val="single" w:sz="4" w:space="0" w:color="000000"/>
              <w:right w:val="single" w:sz="4" w:space="0" w:color="auto"/>
            </w:tcBorders>
            <w:shd w:val="clear" w:color="auto" w:fill="auto"/>
            <w:vAlign w:val="center"/>
            <w:hideMark/>
          </w:tcPr>
          <w:p w14:paraId="355D10F6"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110,811</w:t>
            </w:r>
          </w:p>
        </w:tc>
      </w:tr>
      <w:tr w:rsidR="006A7A9F" w:rsidRPr="006A7A9F" w14:paraId="4F9EBD65" w14:textId="77777777" w:rsidTr="001B767A">
        <w:trPr>
          <w:trHeight w:val="20"/>
        </w:trPr>
        <w:tc>
          <w:tcPr>
            <w:tcW w:w="530" w:type="dxa"/>
            <w:vMerge/>
            <w:tcBorders>
              <w:top w:val="nil"/>
              <w:left w:val="single" w:sz="4" w:space="0" w:color="auto"/>
              <w:bottom w:val="single" w:sz="4" w:space="0" w:color="auto"/>
              <w:right w:val="single" w:sz="4" w:space="0" w:color="auto"/>
            </w:tcBorders>
            <w:vAlign w:val="center"/>
            <w:hideMark/>
          </w:tcPr>
          <w:p w14:paraId="63F9DE6C" w14:textId="77777777" w:rsidR="006A7A9F" w:rsidRPr="006A7A9F" w:rsidRDefault="006A7A9F" w:rsidP="006A7A9F">
            <w:pPr>
              <w:rPr>
                <w:rFonts w:ascii="Arial" w:eastAsia="Times New Roman" w:hAnsi="Arial" w:cs="Arial"/>
                <w:color w:val="000000"/>
                <w:sz w:val="14"/>
                <w:szCs w:val="14"/>
                <w:lang w:val="cs-CZ" w:eastAsia="cs-CZ"/>
              </w:rPr>
            </w:pPr>
          </w:p>
        </w:tc>
        <w:tc>
          <w:tcPr>
            <w:tcW w:w="2944" w:type="dxa"/>
            <w:vMerge/>
            <w:tcBorders>
              <w:top w:val="nil"/>
              <w:left w:val="single" w:sz="4" w:space="0" w:color="auto"/>
              <w:bottom w:val="single" w:sz="4" w:space="0" w:color="auto"/>
              <w:right w:val="single" w:sz="4" w:space="0" w:color="auto"/>
            </w:tcBorders>
            <w:vAlign w:val="center"/>
            <w:hideMark/>
          </w:tcPr>
          <w:p w14:paraId="03D6B97E" w14:textId="77777777" w:rsidR="006A7A9F" w:rsidRPr="006A7A9F" w:rsidRDefault="006A7A9F" w:rsidP="006A7A9F">
            <w:pPr>
              <w:rPr>
                <w:rFonts w:ascii="Arial" w:eastAsia="Times New Roman" w:hAnsi="Arial" w:cs="Arial"/>
                <w:color w:val="000000"/>
                <w:sz w:val="14"/>
                <w:szCs w:val="14"/>
                <w:lang w:val="cs-CZ" w:eastAsia="cs-CZ"/>
              </w:rPr>
            </w:pPr>
          </w:p>
        </w:tc>
        <w:tc>
          <w:tcPr>
            <w:tcW w:w="1044" w:type="dxa"/>
            <w:vMerge/>
            <w:tcBorders>
              <w:top w:val="nil"/>
              <w:left w:val="single" w:sz="4" w:space="0" w:color="auto"/>
              <w:bottom w:val="single" w:sz="4" w:space="0" w:color="auto"/>
              <w:right w:val="single" w:sz="4" w:space="0" w:color="auto"/>
            </w:tcBorders>
            <w:vAlign w:val="center"/>
            <w:hideMark/>
          </w:tcPr>
          <w:p w14:paraId="5F96CB99" w14:textId="77777777" w:rsidR="006A7A9F" w:rsidRPr="006A7A9F" w:rsidRDefault="006A7A9F" w:rsidP="006A7A9F">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370D8898" w14:textId="77777777" w:rsidR="006A7A9F" w:rsidRPr="006A7A9F" w:rsidRDefault="006A7A9F" w:rsidP="006A7A9F">
            <w:pPr>
              <w:rPr>
                <w:rFonts w:ascii="Arial" w:eastAsia="Times New Roman" w:hAnsi="Arial" w:cs="Arial"/>
                <w:color w:val="000000"/>
                <w:sz w:val="14"/>
                <w:szCs w:val="14"/>
                <w:lang w:val="cs-CZ" w:eastAsia="cs-CZ"/>
              </w:rPr>
            </w:pPr>
          </w:p>
        </w:tc>
        <w:tc>
          <w:tcPr>
            <w:tcW w:w="780" w:type="dxa"/>
            <w:vMerge/>
            <w:tcBorders>
              <w:top w:val="nil"/>
              <w:left w:val="single" w:sz="4" w:space="0" w:color="auto"/>
              <w:bottom w:val="single" w:sz="4" w:space="0" w:color="auto"/>
              <w:right w:val="single" w:sz="4" w:space="0" w:color="auto"/>
            </w:tcBorders>
            <w:vAlign w:val="center"/>
            <w:hideMark/>
          </w:tcPr>
          <w:p w14:paraId="1D3E0B29" w14:textId="77777777" w:rsidR="006A7A9F" w:rsidRPr="006A7A9F" w:rsidRDefault="006A7A9F" w:rsidP="006A7A9F">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703ED27F" w14:textId="77777777" w:rsidR="006A7A9F" w:rsidRPr="006A7A9F" w:rsidRDefault="006A7A9F" w:rsidP="006A7A9F">
            <w:pPr>
              <w:rPr>
                <w:rFonts w:ascii="Arial" w:eastAsia="Times New Roman" w:hAnsi="Arial" w:cs="Arial"/>
                <w:color w:val="000000"/>
                <w:sz w:val="14"/>
                <w:szCs w:val="14"/>
                <w:lang w:val="cs-CZ" w:eastAsia="cs-CZ"/>
              </w:rPr>
            </w:pPr>
          </w:p>
        </w:tc>
        <w:tc>
          <w:tcPr>
            <w:tcW w:w="564" w:type="dxa"/>
            <w:tcBorders>
              <w:top w:val="nil"/>
              <w:left w:val="nil"/>
              <w:bottom w:val="single" w:sz="4" w:space="0" w:color="auto"/>
              <w:right w:val="single" w:sz="4" w:space="0" w:color="auto"/>
            </w:tcBorders>
            <w:shd w:val="clear" w:color="auto" w:fill="auto"/>
            <w:vAlign w:val="center"/>
            <w:hideMark/>
          </w:tcPr>
          <w:p w14:paraId="351E519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672CE6A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40992B26"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4F19172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109A6F3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4,000</w:t>
            </w:r>
          </w:p>
        </w:tc>
        <w:tc>
          <w:tcPr>
            <w:tcW w:w="564" w:type="dxa"/>
            <w:tcBorders>
              <w:top w:val="nil"/>
              <w:left w:val="nil"/>
              <w:bottom w:val="single" w:sz="4" w:space="0" w:color="auto"/>
              <w:right w:val="single" w:sz="4" w:space="0" w:color="auto"/>
            </w:tcBorders>
            <w:shd w:val="clear" w:color="auto" w:fill="auto"/>
            <w:vAlign w:val="center"/>
            <w:hideMark/>
          </w:tcPr>
          <w:p w14:paraId="0FAA4DDB"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29,000</w:t>
            </w:r>
          </w:p>
        </w:tc>
        <w:tc>
          <w:tcPr>
            <w:tcW w:w="564" w:type="dxa"/>
            <w:tcBorders>
              <w:top w:val="nil"/>
              <w:left w:val="nil"/>
              <w:bottom w:val="single" w:sz="4" w:space="0" w:color="auto"/>
              <w:right w:val="single" w:sz="4" w:space="0" w:color="auto"/>
            </w:tcBorders>
            <w:shd w:val="clear" w:color="auto" w:fill="auto"/>
            <w:vAlign w:val="center"/>
            <w:hideMark/>
          </w:tcPr>
          <w:p w14:paraId="1379841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37CDC67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6C43A815"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7A941A32"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4" w:type="dxa"/>
            <w:tcBorders>
              <w:top w:val="nil"/>
              <w:left w:val="nil"/>
              <w:bottom w:val="single" w:sz="4" w:space="0" w:color="auto"/>
              <w:right w:val="single" w:sz="4" w:space="0" w:color="auto"/>
            </w:tcBorders>
            <w:shd w:val="clear" w:color="auto" w:fill="auto"/>
            <w:vAlign w:val="center"/>
            <w:hideMark/>
          </w:tcPr>
          <w:p w14:paraId="1EBDF80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33,000</w:t>
            </w:r>
          </w:p>
        </w:tc>
        <w:tc>
          <w:tcPr>
            <w:tcW w:w="731" w:type="dxa"/>
            <w:vMerge/>
            <w:tcBorders>
              <w:top w:val="nil"/>
              <w:left w:val="single" w:sz="4" w:space="0" w:color="auto"/>
              <w:bottom w:val="single" w:sz="4" w:space="0" w:color="000000"/>
              <w:right w:val="single" w:sz="4" w:space="0" w:color="auto"/>
            </w:tcBorders>
            <w:vAlign w:val="center"/>
            <w:hideMark/>
          </w:tcPr>
          <w:p w14:paraId="78E04AB3"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5D1F6149" w14:textId="77777777" w:rsidTr="001B767A">
        <w:trPr>
          <w:trHeight w:val="20"/>
        </w:trPr>
        <w:tc>
          <w:tcPr>
            <w:tcW w:w="530" w:type="dxa"/>
            <w:vMerge/>
            <w:tcBorders>
              <w:top w:val="nil"/>
              <w:left w:val="single" w:sz="4" w:space="0" w:color="auto"/>
              <w:bottom w:val="single" w:sz="4" w:space="0" w:color="auto"/>
              <w:right w:val="single" w:sz="4" w:space="0" w:color="auto"/>
            </w:tcBorders>
            <w:vAlign w:val="center"/>
            <w:hideMark/>
          </w:tcPr>
          <w:p w14:paraId="17D4BC03" w14:textId="77777777" w:rsidR="006A7A9F" w:rsidRPr="006A7A9F" w:rsidRDefault="006A7A9F" w:rsidP="006A7A9F">
            <w:pPr>
              <w:rPr>
                <w:rFonts w:ascii="Arial" w:eastAsia="Times New Roman" w:hAnsi="Arial" w:cs="Arial"/>
                <w:color w:val="000000"/>
                <w:sz w:val="14"/>
                <w:szCs w:val="14"/>
                <w:lang w:val="cs-CZ" w:eastAsia="cs-CZ"/>
              </w:rPr>
            </w:pPr>
          </w:p>
        </w:tc>
        <w:tc>
          <w:tcPr>
            <w:tcW w:w="2944" w:type="dxa"/>
            <w:vMerge/>
            <w:tcBorders>
              <w:top w:val="nil"/>
              <w:left w:val="single" w:sz="4" w:space="0" w:color="auto"/>
              <w:bottom w:val="single" w:sz="4" w:space="0" w:color="auto"/>
              <w:right w:val="single" w:sz="4" w:space="0" w:color="auto"/>
            </w:tcBorders>
            <w:vAlign w:val="center"/>
            <w:hideMark/>
          </w:tcPr>
          <w:p w14:paraId="573D7D47" w14:textId="77777777" w:rsidR="006A7A9F" w:rsidRPr="006A7A9F" w:rsidRDefault="006A7A9F" w:rsidP="006A7A9F">
            <w:pPr>
              <w:rPr>
                <w:rFonts w:ascii="Arial" w:eastAsia="Times New Roman" w:hAnsi="Arial" w:cs="Arial"/>
                <w:color w:val="000000"/>
                <w:sz w:val="14"/>
                <w:szCs w:val="14"/>
                <w:lang w:val="cs-CZ" w:eastAsia="cs-CZ"/>
              </w:rPr>
            </w:pPr>
          </w:p>
        </w:tc>
        <w:tc>
          <w:tcPr>
            <w:tcW w:w="1044" w:type="dxa"/>
            <w:vMerge/>
            <w:tcBorders>
              <w:top w:val="nil"/>
              <w:left w:val="single" w:sz="4" w:space="0" w:color="auto"/>
              <w:bottom w:val="single" w:sz="4" w:space="0" w:color="auto"/>
              <w:right w:val="single" w:sz="4" w:space="0" w:color="auto"/>
            </w:tcBorders>
            <w:vAlign w:val="center"/>
            <w:hideMark/>
          </w:tcPr>
          <w:p w14:paraId="6CFC03DA" w14:textId="77777777" w:rsidR="006A7A9F" w:rsidRPr="006A7A9F" w:rsidRDefault="006A7A9F" w:rsidP="006A7A9F">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1B2CB417" w14:textId="77777777" w:rsidR="006A7A9F" w:rsidRPr="006A7A9F" w:rsidRDefault="006A7A9F" w:rsidP="006A7A9F">
            <w:pPr>
              <w:rPr>
                <w:rFonts w:ascii="Arial" w:eastAsia="Times New Roman" w:hAnsi="Arial" w:cs="Arial"/>
                <w:color w:val="000000"/>
                <w:sz w:val="14"/>
                <w:szCs w:val="14"/>
                <w:lang w:val="cs-CZ" w:eastAsia="cs-CZ"/>
              </w:rPr>
            </w:pPr>
          </w:p>
        </w:tc>
        <w:tc>
          <w:tcPr>
            <w:tcW w:w="780" w:type="dxa"/>
            <w:vMerge/>
            <w:tcBorders>
              <w:top w:val="nil"/>
              <w:left w:val="single" w:sz="4" w:space="0" w:color="auto"/>
              <w:bottom w:val="single" w:sz="4" w:space="0" w:color="auto"/>
              <w:right w:val="single" w:sz="4" w:space="0" w:color="auto"/>
            </w:tcBorders>
            <w:vAlign w:val="center"/>
            <w:hideMark/>
          </w:tcPr>
          <w:p w14:paraId="1D058D6E" w14:textId="77777777" w:rsidR="006A7A9F" w:rsidRPr="006A7A9F" w:rsidRDefault="006A7A9F" w:rsidP="006A7A9F">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790F7BD7" w14:textId="77777777" w:rsidR="006A7A9F" w:rsidRPr="006A7A9F" w:rsidRDefault="006A7A9F" w:rsidP="006A7A9F">
            <w:pPr>
              <w:rPr>
                <w:rFonts w:ascii="Arial" w:eastAsia="Times New Roman" w:hAnsi="Arial" w:cs="Arial"/>
                <w:color w:val="000000"/>
                <w:sz w:val="14"/>
                <w:szCs w:val="14"/>
                <w:lang w:val="cs-CZ" w:eastAsia="cs-CZ"/>
              </w:rPr>
            </w:pPr>
          </w:p>
        </w:tc>
        <w:tc>
          <w:tcPr>
            <w:tcW w:w="564" w:type="dxa"/>
            <w:tcBorders>
              <w:top w:val="nil"/>
              <w:left w:val="nil"/>
              <w:bottom w:val="single" w:sz="4" w:space="0" w:color="auto"/>
              <w:right w:val="single" w:sz="4" w:space="0" w:color="auto"/>
            </w:tcBorders>
            <w:shd w:val="clear" w:color="auto" w:fill="auto"/>
            <w:vAlign w:val="center"/>
            <w:hideMark/>
          </w:tcPr>
          <w:p w14:paraId="620EE0D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6FD55E9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6799CA2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11EDF09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7033E5A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8,000</w:t>
            </w:r>
          </w:p>
        </w:tc>
        <w:tc>
          <w:tcPr>
            <w:tcW w:w="564" w:type="dxa"/>
            <w:tcBorders>
              <w:top w:val="nil"/>
              <w:left w:val="nil"/>
              <w:bottom w:val="single" w:sz="4" w:space="0" w:color="auto"/>
              <w:right w:val="single" w:sz="4" w:space="0" w:color="auto"/>
            </w:tcBorders>
            <w:shd w:val="clear" w:color="auto" w:fill="auto"/>
            <w:vAlign w:val="center"/>
            <w:hideMark/>
          </w:tcPr>
          <w:p w14:paraId="11FE7A8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6AB084A8"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10DE108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322CC94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7B33B35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4" w:type="dxa"/>
            <w:tcBorders>
              <w:top w:val="nil"/>
              <w:left w:val="nil"/>
              <w:bottom w:val="single" w:sz="4" w:space="0" w:color="auto"/>
              <w:right w:val="single" w:sz="4" w:space="0" w:color="auto"/>
            </w:tcBorders>
            <w:shd w:val="clear" w:color="auto" w:fill="auto"/>
            <w:vAlign w:val="center"/>
            <w:hideMark/>
          </w:tcPr>
          <w:p w14:paraId="0974E48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8,000</w:t>
            </w:r>
          </w:p>
        </w:tc>
        <w:tc>
          <w:tcPr>
            <w:tcW w:w="731" w:type="dxa"/>
            <w:vMerge/>
            <w:tcBorders>
              <w:top w:val="nil"/>
              <w:left w:val="single" w:sz="4" w:space="0" w:color="auto"/>
              <w:bottom w:val="single" w:sz="4" w:space="0" w:color="000000"/>
              <w:right w:val="single" w:sz="4" w:space="0" w:color="auto"/>
            </w:tcBorders>
            <w:vAlign w:val="center"/>
            <w:hideMark/>
          </w:tcPr>
          <w:p w14:paraId="6470F978"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6F7BA420" w14:textId="77777777" w:rsidTr="001B767A">
        <w:trPr>
          <w:trHeight w:val="20"/>
        </w:trPr>
        <w:tc>
          <w:tcPr>
            <w:tcW w:w="530" w:type="dxa"/>
            <w:vMerge w:val="restart"/>
            <w:tcBorders>
              <w:top w:val="nil"/>
              <w:left w:val="single" w:sz="4" w:space="0" w:color="auto"/>
              <w:bottom w:val="single" w:sz="4" w:space="0" w:color="auto"/>
              <w:right w:val="single" w:sz="4" w:space="0" w:color="auto"/>
            </w:tcBorders>
            <w:shd w:val="clear" w:color="auto" w:fill="auto"/>
            <w:vAlign w:val="center"/>
            <w:hideMark/>
          </w:tcPr>
          <w:p w14:paraId="17E40E8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62600</w:t>
            </w:r>
            <w:r w:rsidRPr="006A7A9F">
              <w:rPr>
                <w:rFonts w:ascii="Arial" w:eastAsia="Times New Roman" w:hAnsi="Arial" w:cs="Arial"/>
                <w:color w:val="000000"/>
                <w:sz w:val="14"/>
                <w:szCs w:val="14"/>
                <w:lang w:val="cs-CZ" w:eastAsia="cs-CZ"/>
              </w:rPr>
              <w:br/>
              <w:t>CR03</w:t>
            </w:r>
          </w:p>
        </w:tc>
        <w:tc>
          <w:tcPr>
            <w:tcW w:w="2944" w:type="dxa"/>
            <w:vMerge w:val="restart"/>
            <w:tcBorders>
              <w:top w:val="nil"/>
              <w:left w:val="single" w:sz="4" w:space="0" w:color="auto"/>
              <w:bottom w:val="single" w:sz="4" w:space="0" w:color="auto"/>
              <w:right w:val="single" w:sz="4" w:space="0" w:color="auto"/>
            </w:tcBorders>
            <w:shd w:val="clear" w:color="auto" w:fill="auto"/>
            <w:vAlign w:val="center"/>
            <w:hideMark/>
          </w:tcPr>
          <w:p w14:paraId="230F19A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Účastníci, kteří získali kvalifikaci po ukončení své účasti</w:t>
            </w:r>
          </w:p>
        </w:tc>
        <w:tc>
          <w:tcPr>
            <w:tcW w:w="1044" w:type="dxa"/>
            <w:vMerge w:val="restart"/>
            <w:tcBorders>
              <w:top w:val="nil"/>
              <w:left w:val="single" w:sz="4" w:space="0" w:color="auto"/>
              <w:bottom w:val="single" w:sz="4" w:space="0" w:color="auto"/>
              <w:right w:val="single" w:sz="4" w:space="0" w:color="auto"/>
            </w:tcBorders>
            <w:shd w:val="clear" w:color="auto" w:fill="auto"/>
            <w:vAlign w:val="center"/>
            <w:hideMark/>
          </w:tcPr>
          <w:p w14:paraId="1558F59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Více rozvinuté regiony</w:t>
            </w:r>
          </w:p>
        </w:tc>
        <w:tc>
          <w:tcPr>
            <w:tcW w:w="2698" w:type="dxa"/>
            <w:vMerge w:val="restart"/>
            <w:tcBorders>
              <w:top w:val="nil"/>
              <w:left w:val="single" w:sz="4" w:space="0" w:color="auto"/>
              <w:bottom w:val="single" w:sz="4" w:space="0" w:color="auto"/>
              <w:right w:val="single" w:sz="4" w:space="0" w:color="auto"/>
            </w:tcBorders>
            <w:shd w:val="clear" w:color="auto" w:fill="auto"/>
            <w:vAlign w:val="center"/>
            <w:hideMark/>
          </w:tcPr>
          <w:p w14:paraId="10D353DE"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1645183C"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Osoby</w:t>
            </w:r>
          </w:p>
        </w:tc>
        <w:tc>
          <w:tcPr>
            <w:tcW w:w="764" w:type="dxa"/>
            <w:vMerge w:val="restart"/>
            <w:tcBorders>
              <w:top w:val="nil"/>
              <w:left w:val="single" w:sz="4" w:space="0" w:color="auto"/>
              <w:bottom w:val="single" w:sz="4" w:space="0" w:color="auto"/>
              <w:right w:val="single" w:sz="4" w:space="0" w:color="auto"/>
            </w:tcBorders>
            <w:shd w:val="clear" w:color="auto" w:fill="auto"/>
            <w:vAlign w:val="center"/>
            <w:hideMark/>
          </w:tcPr>
          <w:p w14:paraId="73BF6C3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5,000</w:t>
            </w:r>
          </w:p>
        </w:tc>
        <w:tc>
          <w:tcPr>
            <w:tcW w:w="5641" w:type="dxa"/>
            <w:gridSpan w:val="10"/>
            <w:tcBorders>
              <w:top w:val="single" w:sz="4" w:space="0" w:color="auto"/>
              <w:left w:val="nil"/>
              <w:bottom w:val="single" w:sz="4" w:space="0" w:color="auto"/>
              <w:right w:val="single" w:sz="4" w:space="0" w:color="000000"/>
            </w:tcBorders>
            <w:shd w:val="clear" w:color="auto" w:fill="auto"/>
            <w:vAlign w:val="center"/>
            <w:hideMark/>
          </w:tcPr>
          <w:p w14:paraId="11A68F10"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4" w:type="dxa"/>
            <w:tcBorders>
              <w:top w:val="nil"/>
              <w:left w:val="nil"/>
              <w:bottom w:val="single" w:sz="4" w:space="0" w:color="auto"/>
              <w:right w:val="single" w:sz="4" w:space="0" w:color="auto"/>
            </w:tcBorders>
            <w:shd w:val="clear" w:color="auto" w:fill="auto"/>
            <w:vAlign w:val="center"/>
            <w:hideMark/>
          </w:tcPr>
          <w:p w14:paraId="3DCB04A5"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5,000</w:t>
            </w:r>
          </w:p>
        </w:tc>
        <w:tc>
          <w:tcPr>
            <w:tcW w:w="731" w:type="dxa"/>
            <w:vMerge w:val="restart"/>
            <w:tcBorders>
              <w:top w:val="nil"/>
              <w:left w:val="single" w:sz="4" w:space="0" w:color="auto"/>
              <w:bottom w:val="single" w:sz="4" w:space="0" w:color="000000"/>
              <w:right w:val="single" w:sz="4" w:space="0" w:color="auto"/>
            </w:tcBorders>
            <w:shd w:val="clear" w:color="auto" w:fill="auto"/>
            <w:vAlign w:val="center"/>
            <w:hideMark/>
          </w:tcPr>
          <w:p w14:paraId="307E11BF" w14:textId="77777777" w:rsidR="006A7A9F" w:rsidRPr="006A7A9F" w:rsidRDefault="006A7A9F" w:rsidP="006A7A9F">
            <w:pPr>
              <w:jc w:val="cente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100,000</w:t>
            </w:r>
          </w:p>
        </w:tc>
      </w:tr>
      <w:tr w:rsidR="006A7A9F" w:rsidRPr="006A7A9F" w14:paraId="2738A802" w14:textId="77777777" w:rsidTr="001B767A">
        <w:trPr>
          <w:trHeight w:val="20"/>
        </w:trPr>
        <w:tc>
          <w:tcPr>
            <w:tcW w:w="530" w:type="dxa"/>
            <w:vMerge/>
            <w:tcBorders>
              <w:top w:val="nil"/>
              <w:left w:val="single" w:sz="4" w:space="0" w:color="auto"/>
              <w:bottom w:val="single" w:sz="4" w:space="0" w:color="auto"/>
              <w:right w:val="single" w:sz="4" w:space="0" w:color="auto"/>
            </w:tcBorders>
            <w:vAlign w:val="center"/>
            <w:hideMark/>
          </w:tcPr>
          <w:p w14:paraId="7554545C" w14:textId="77777777" w:rsidR="006A7A9F" w:rsidRPr="006A7A9F" w:rsidRDefault="006A7A9F" w:rsidP="006A7A9F">
            <w:pPr>
              <w:rPr>
                <w:rFonts w:ascii="Arial" w:eastAsia="Times New Roman" w:hAnsi="Arial" w:cs="Arial"/>
                <w:color w:val="000000"/>
                <w:sz w:val="14"/>
                <w:szCs w:val="14"/>
                <w:lang w:val="cs-CZ" w:eastAsia="cs-CZ"/>
              </w:rPr>
            </w:pPr>
          </w:p>
        </w:tc>
        <w:tc>
          <w:tcPr>
            <w:tcW w:w="2944" w:type="dxa"/>
            <w:vMerge/>
            <w:tcBorders>
              <w:top w:val="nil"/>
              <w:left w:val="single" w:sz="4" w:space="0" w:color="auto"/>
              <w:bottom w:val="single" w:sz="4" w:space="0" w:color="auto"/>
              <w:right w:val="single" w:sz="4" w:space="0" w:color="auto"/>
            </w:tcBorders>
            <w:vAlign w:val="center"/>
            <w:hideMark/>
          </w:tcPr>
          <w:p w14:paraId="3F354DA0" w14:textId="77777777" w:rsidR="006A7A9F" w:rsidRPr="006A7A9F" w:rsidRDefault="006A7A9F" w:rsidP="006A7A9F">
            <w:pPr>
              <w:rPr>
                <w:rFonts w:ascii="Arial" w:eastAsia="Times New Roman" w:hAnsi="Arial" w:cs="Arial"/>
                <w:color w:val="000000"/>
                <w:sz w:val="14"/>
                <w:szCs w:val="14"/>
                <w:lang w:val="cs-CZ" w:eastAsia="cs-CZ"/>
              </w:rPr>
            </w:pPr>
          </w:p>
        </w:tc>
        <w:tc>
          <w:tcPr>
            <w:tcW w:w="1044" w:type="dxa"/>
            <w:vMerge/>
            <w:tcBorders>
              <w:top w:val="nil"/>
              <w:left w:val="single" w:sz="4" w:space="0" w:color="auto"/>
              <w:bottom w:val="single" w:sz="4" w:space="0" w:color="auto"/>
              <w:right w:val="single" w:sz="4" w:space="0" w:color="auto"/>
            </w:tcBorders>
            <w:vAlign w:val="center"/>
            <w:hideMark/>
          </w:tcPr>
          <w:p w14:paraId="7AEFC4DE" w14:textId="77777777" w:rsidR="006A7A9F" w:rsidRPr="006A7A9F" w:rsidRDefault="006A7A9F" w:rsidP="006A7A9F">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5B607F5E" w14:textId="77777777" w:rsidR="006A7A9F" w:rsidRPr="006A7A9F" w:rsidRDefault="006A7A9F" w:rsidP="006A7A9F">
            <w:pPr>
              <w:rPr>
                <w:rFonts w:ascii="Arial" w:eastAsia="Times New Roman" w:hAnsi="Arial" w:cs="Arial"/>
                <w:color w:val="000000"/>
                <w:sz w:val="14"/>
                <w:szCs w:val="14"/>
                <w:lang w:val="cs-CZ" w:eastAsia="cs-CZ"/>
              </w:rPr>
            </w:pPr>
          </w:p>
        </w:tc>
        <w:tc>
          <w:tcPr>
            <w:tcW w:w="780" w:type="dxa"/>
            <w:vMerge/>
            <w:tcBorders>
              <w:top w:val="nil"/>
              <w:left w:val="single" w:sz="4" w:space="0" w:color="auto"/>
              <w:bottom w:val="single" w:sz="4" w:space="0" w:color="auto"/>
              <w:right w:val="single" w:sz="4" w:space="0" w:color="auto"/>
            </w:tcBorders>
            <w:vAlign w:val="center"/>
            <w:hideMark/>
          </w:tcPr>
          <w:p w14:paraId="200329C5" w14:textId="77777777" w:rsidR="006A7A9F" w:rsidRPr="006A7A9F" w:rsidRDefault="006A7A9F" w:rsidP="006A7A9F">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34661E45" w14:textId="77777777" w:rsidR="006A7A9F" w:rsidRPr="006A7A9F" w:rsidRDefault="006A7A9F" w:rsidP="006A7A9F">
            <w:pPr>
              <w:rPr>
                <w:rFonts w:ascii="Arial" w:eastAsia="Times New Roman" w:hAnsi="Arial" w:cs="Arial"/>
                <w:color w:val="000000"/>
                <w:sz w:val="14"/>
                <w:szCs w:val="14"/>
                <w:lang w:val="cs-CZ" w:eastAsia="cs-CZ"/>
              </w:rPr>
            </w:pPr>
          </w:p>
        </w:tc>
        <w:tc>
          <w:tcPr>
            <w:tcW w:w="564" w:type="dxa"/>
            <w:tcBorders>
              <w:top w:val="nil"/>
              <w:left w:val="nil"/>
              <w:bottom w:val="single" w:sz="4" w:space="0" w:color="auto"/>
              <w:right w:val="single" w:sz="4" w:space="0" w:color="auto"/>
            </w:tcBorders>
            <w:shd w:val="clear" w:color="auto" w:fill="auto"/>
            <w:vAlign w:val="center"/>
            <w:hideMark/>
          </w:tcPr>
          <w:p w14:paraId="4CA3FD48"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4A38802F"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749A5A6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608BC8C9"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6DA2A20E"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4" w:type="dxa"/>
            <w:tcBorders>
              <w:top w:val="nil"/>
              <w:left w:val="nil"/>
              <w:bottom w:val="single" w:sz="4" w:space="0" w:color="auto"/>
              <w:right w:val="single" w:sz="4" w:space="0" w:color="auto"/>
            </w:tcBorders>
            <w:shd w:val="clear" w:color="auto" w:fill="auto"/>
            <w:vAlign w:val="center"/>
            <w:hideMark/>
          </w:tcPr>
          <w:p w14:paraId="132FE787"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3,000</w:t>
            </w:r>
          </w:p>
        </w:tc>
        <w:tc>
          <w:tcPr>
            <w:tcW w:w="564" w:type="dxa"/>
            <w:tcBorders>
              <w:top w:val="nil"/>
              <w:left w:val="nil"/>
              <w:bottom w:val="single" w:sz="4" w:space="0" w:color="auto"/>
              <w:right w:val="single" w:sz="4" w:space="0" w:color="auto"/>
            </w:tcBorders>
            <w:shd w:val="clear" w:color="auto" w:fill="auto"/>
            <w:vAlign w:val="center"/>
            <w:hideMark/>
          </w:tcPr>
          <w:p w14:paraId="2FD1E40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222502E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00EC6FFF"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09913F97"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4" w:type="dxa"/>
            <w:tcBorders>
              <w:top w:val="nil"/>
              <w:left w:val="nil"/>
              <w:bottom w:val="single" w:sz="4" w:space="0" w:color="auto"/>
              <w:right w:val="single" w:sz="4" w:space="0" w:color="auto"/>
            </w:tcBorders>
            <w:shd w:val="clear" w:color="auto" w:fill="auto"/>
            <w:vAlign w:val="center"/>
            <w:hideMark/>
          </w:tcPr>
          <w:p w14:paraId="24412EF1"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4,000</w:t>
            </w:r>
          </w:p>
        </w:tc>
        <w:tc>
          <w:tcPr>
            <w:tcW w:w="731" w:type="dxa"/>
            <w:vMerge/>
            <w:tcBorders>
              <w:top w:val="nil"/>
              <w:left w:val="single" w:sz="4" w:space="0" w:color="auto"/>
              <w:bottom w:val="single" w:sz="4" w:space="0" w:color="000000"/>
              <w:right w:val="single" w:sz="4" w:space="0" w:color="auto"/>
            </w:tcBorders>
            <w:vAlign w:val="center"/>
            <w:hideMark/>
          </w:tcPr>
          <w:p w14:paraId="73B2A389" w14:textId="77777777" w:rsidR="006A7A9F" w:rsidRPr="006A7A9F" w:rsidRDefault="006A7A9F" w:rsidP="006A7A9F">
            <w:pPr>
              <w:rPr>
                <w:rFonts w:ascii="Arial" w:eastAsia="Times New Roman" w:hAnsi="Arial" w:cs="Arial"/>
                <w:color w:val="000000"/>
                <w:sz w:val="14"/>
                <w:szCs w:val="14"/>
                <w:lang w:val="cs-CZ" w:eastAsia="cs-CZ"/>
              </w:rPr>
            </w:pPr>
          </w:p>
        </w:tc>
      </w:tr>
      <w:tr w:rsidR="006A7A9F" w:rsidRPr="006A7A9F" w14:paraId="5974A58F" w14:textId="77777777" w:rsidTr="001B767A">
        <w:trPr>
          <w:trHeight w:val="20"/>
        </w:trPr>
        <w:tc>
          <w:tcPr>
            <w:tcW w:w="530" w:type="dxa"/>
            <w:vMerge/>
            <w:tcBorders>
              <w:top w:val="nil"/>
              <w:left w:val="single" w:sz="4" w:space="0" w:color="auto"/>
              <w:bottom w:val="single" w:sz="4" w:space="0" w:color="auto"/>
              <w:right w:val="single" w:sz="4" w:space="0" w:color="auto"/>
            </w:tcBorders>
            <w:vAlign w:val="center"/>
            <w:hideMark/>
          </w:tcPr>
          <w:p w14:paraId="43921FE1" w14:textId="77777777" w:rsidR="006A7A9F" w:rsidRPr="006A7A9F" w:rsidRDefault="006A7A9F" w:rsidP="006A7A9F">
            <w:pPr>
              <w:rPr>
                <w:rFonts w:ascii="Arial" w:eastAsia="Times New Roman" w:hAnsi="Arial" w:cs="Arial"/>
                <w:color w:val="000000"/>
                <w:sz w:val="14"/>
                <w:szCs w:val="14"/>
                <w:lang w:val="cs-CZ" w:eastAsia="cs-CZ"/>
              </w:rPr>
            </w:pPr>
          </w:p>
        </w:tc>
        <w:tc>
          <w:tcPr>
            <w:tcW w:w="2944" w:type="dxa"/>
            <w:vMerge/>
            <w:tcBorders>
              <w:top w:val="nil"/>
              <w:left w:val="single" w:sz="4" w:space="0" w:color="auto"/>
              <w:bottom w:val="single" w:sz="4" w:space="0" w:color="auto"/>
              <w:right w:val="single" w:sz="4" w:space="0" w:color="auto"/>
            </w:tcBorders>
            <w:vAlign w:val="center"/>
            <w:hideMark/>
          </w:tcPr>
          <w:p w14:paraId="57DDDBB2" w14:textId="77777777" w:rsidR="006A7A9F" w:rsidRPr="006A7A9F" w:rsidRDefault="006A7A9F" w:rsidP="006A7A9F">
            <w:pPr>
              <w:rPr>
                <w:rFonts w:ascii="Arial" w:eastAsia="Times New Roman" w:hAnsi="Arial" w:cs="Arial"/>
                <w:color w:val="000000"/>
                <w:sz w:val="14"/>
                <w:szCs w:val="14"/>
                <w:lang w:val="cs-CZ" w:eastAsia="cs-CZ"/>
              </w:rPr>
            </w:pPr>
          </w:p>
        </w:tc>
        <w:tc>
          <w:tcPr>
            <w:tcW w:w="1044" w:type="dxa"/>
            <w:vMerge/>
            <w:tcBorders>
              <w:top w:val="nil"/>
              <w:left w:val="single" w:sz="4" w:space="0" w:color="auto"/>
              <w:bottom w:val="single" w:sz="4" w:space="0" w:color="auto"/>
              <w:right w:val="single" w:sz="4" w:space="0" w:color="auto"/>
            </w:tcBorders>
            <w:vAlign w:val="center"/>
            <w:hideMark/>
          </w:tcPr>
          <w:p w14:paraId="75421726" w14:textId="77777777" w:rsidR="006A7A9F" w:rsidRPr="006A7A9F" w:rsidRDefault="006A7A9F" w:rsidP="006A7A9F">
            <w:pPr>
              <w:rPr>
                <w:rFonts w:ascii="Arial" w:eastAsia="Times New Roman" w:hAnsi="Arial" w:cs="Arial"/>
                <w:color w:val="000000"/>
                <w:sz w:val="14"/>
                <w:szCs w:val="14"/>
                <w:lang w:val="cs-CZ" w:eastAsia="cs-CZ"/>
              </w:rPr>
            </w:pPr>
          </w:p>
        </w:tc>
        <w:tc>
          <w:tcPr>
            <w:tcW w:w="2698" w:type="dxa"/>
            <w:vMerge/>
            <w:tcBorders>
              <w:top w:val="nil"/>
              <w:left w:val="single" w:sz="4" w:space="0" w:color="auto"/>
              <w:bottom w:val="single" w:sz="4" w:space="0" w:color="auto"/>
              <w:right w:val="single" w:sz="4" w:space="0" w:color="auto"/>
            </w:tcBorders>
            <w:vAlign w:val="center"/>
            <w:hideMark/>
          </w:tcPr>
          <w:p w14:paraId="037F04B2" w14:textId="77777777" w:rsidR="006A7A9F" w:rsidRPr="006A7A9F" w:rsidRDefault="006A7A9F" w:rsidP="006A7A9F">
            <w:pPr>
              <w:rPr>
                <w:rFonts w:ascii="Arial" w:eastAsia="Times New Roman" w:hAnsi="Arial" w:cs="Arial"/>
                <w:color w:val="000000"/>
                <w:sz w:val="14"/>
                <w:szCs w:val="14"/>
                <w:lang w:val="cs-CZ" w:eastAsia="cs-CZ"/>
              </w:rPr>
            </w:pPr>
          </w:p>
        </w:tc>
        <w:tc>
          <w:tcPr>
            <w:tcW w:w="780" w:type="dxa"/>
            <w:vMerge/>
            <w:tcBorders>
              <w:top w:val="nil"/>
              <w:left w:val="single" w:sz="4" w:space="0" w:color="auto"/>
              <w:bottom w:val="single" w:sz="4" w:space="0" w:color="auto"/>
              <w:right w:val="single" w:sz="4" w:space="0" w:color="auto"/>
            </w:tcBorders>
            <w:vAlign w:val="center"/>
            <w:hideMark/>
          </w:tcPr>
          <w:p w14:paraId="3AE3C5C1" w14:textId="77777777" w:rsidR="006A7A9F" w:rsidRPr="006A7A9F" w:rsidRDefault="006A7A9F" w:rsidP="006A7A9F">
            <w:pPr>
              <w:rPr>
                <w:rFonts w:ascii="Arial" w:eastAsia="Times New Roman" w:hAnsi="Arial" w:cs="Arial"/>
                <w:color w:val="000000"/>
                <w:sz w:val="14"/>
                <w:szCs w:val="14"/>
                <w:lang w:val="cs-CZ" w:eastAsia="cs-CZ"/>
              </w:rPr>
            </w:pPr>
          </w:p>
        </w:tc>
        <w:tc>
          <w:tcPr>
            <w:tcW w:w="764" w:type="dxa"/>
            <w:vMerge/>
            <w:tcBorders>
              <w:top w:val="nil"/>
              <w:left w:val="single" w:sz="4" w:space="0" w:color="auto"/>
              <w:bottom w:val="single" w:sz="4" w:space="0" w:color="auto"/>
              <w:right w:val="single" w:sz="4" w:space="0" w:color="auto"/>
            </w:tcBorders>
            <w:vAlign w:val="center"/>
            <w:hideMark/>
          </w:tcPr>
          <w:p w14:paraId="4F265394" w14:textId="77777777" w:rsidR="006A7A9F" w:rsidRPr="006A7A9F" w:rsidRDefault="006A7A9F" w:rsidP="006A7A9F">
            <w:pPr>
              <w:rPr>
                <w:rFonts w:ascii="Arial" w:eastAsia="Times New Roman" w:hAnsi="Arial" w:cs="Arial"/>
                <w:color w:val="000000"/>
                <w:sz w:val="14"/>
                <w:szCs w:val="14"/>
                <w:lang w:val="cs-CZ" w:eastAsia="cs-CZ"/>
              </w:rPr>
            </w:pPr>
          </w:p>
        </w:tc>
        <w:tc>
          <w:tcPr>
            <w:tcW w:w="564" w:type="dxa"/>
            <w:tcBorders>
              <w:top w:val="nil"/>
              <w:left w:val="nil"/>
              <w:bottom w:val="single" w:sz="4" w:space="0" w:color="auto"/>
              <w:right w:val="single" w:sz="4" w:space="0" w:color="auto"/>
            </w:tcBorders>
            <w:shd w:val="clear" w:color="auto" w:fill="auto"/>
            <w:vAlign w:val="center"/>
            <w:hideMark/>
          </w:tcPr>
          <w:p w14:paraId="0C614623"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0ACC596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5C8D753D"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39D79C4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1F93E21C"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564" w:type="dxa"/>
            <w:tcBorders>
              <w:top w:val="nil"/>
              <w:left w:val="nil"/>
              <w:bottom w:val="single" w:sz="4" w:space="0" w:color="auto"/>
              <w:right w:val="single" w:sz="4" w:space="0" w:color="auto"/>
            </w:tcBorders>
            <w:shd w:val="clear" w:color="auto" w:fill="auto"/>
            <w:vAlign w:val="center"/>
            <w:hideMark/>
          </w:tcPr>
          <w:p w14:paraId="0755FF20" w14:textId="77777777"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0,000</w:t>
            </w:r>
          </w:p>
        </w:tc>
        <w:tc>
          <w:tcPr>
            <w:tcW w:w="564" w:type="dxa"/>
            <w:tcBorders>
              <w:top w:val="nil"/>
              <w:left w:val="nil"/>
              <w:bottom w:val="single" w:sz="4" w:space="0" w:color="auto"/>
              <w:right w:val="single" w:sz="4" w:space="0" w:color="auto"/>
            </w:tcBorders>
            <w:shd w:val="clear" w:color="auto" w:fill="auto"/>
            <w:vAlign w:val="center"/>
            <w:hideMark/>
          </w:tcPr>
          <w:p w14:paraId="092935E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0D04EEFB"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1150B86D"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564" w:type="dxa"/>
            <w:tcBorders>
              <w:top w:val="nil"/>
              <w:left w:val="nil"/>
              <w:bottom w:val="single" w:sz="4" w:space="0" w:color="auto"/>
              <w:right w:val="single" w:sz="4" w:space="0" w:color="auto"/>
            </w:tcBorders>
            <w:shd w:val="clear" w:color="auto" w:fill="auto"/>
            <w:vAlign w:val="center"/>
            <w:hideMark/>
          </w:tcPr>
          <w:p w14:paraId="60BFEBA3" w14:textId="77777777" w:rsidR="006A7A9F" w:rsidRPr="006A7A9F" w:rsidRDefault="006A7A9F" w:rsidP="006A7A9F">
            <w:pPr>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 </w:t>
            </w:r>
          </w:p>
        </w:tc>
        <w:tc>
          <w:tcPr>
            <w:tcW w:w="834" w:type="dxa"/>
            <w:tcBorders>
              <w:top w:val="nil"/>
              <w:left w:val="nil"/>
              <w:bottom w:val="single" w:sz="4" w:space="0" w:color="auto"/>
              <w:right w:val="single" w:sz="4" w:space="0" w:color="auto"/>
            </w:tcBorders>
            <w:shd w:val="clear" w:color="auto" w:fill="auto"/>
            <w:vAlign w:val="center"/>
            <w:hideMark/>
          </w:tcPr>
          <w:p w14:paraId="3DBFB557" w14:textId="295449C2" w:rsidR="006A7A9F" w:rsidRPr="006A7A9F" w:rsidRDefault="006A7A9F" w:rsidP="006A7A9F">
            <w:pPr>
              <w:jc w:val="right"/>
              <w:rPr>
                <w:rFonts w:ascii="Arial" w:eastAsia="Times New Roman" w:hAnsi="Arial" w:cs="Arial"/>
                <w:color w:val="000000"/>
                <w:sz w:val="14"/>
                <w:szCs w:val="14"/>
                <w:lang w:val="cs-CZ" w:eastAsia="cs-CZ"/>
              </w:rPr>
            </w:pPr>
            <w:r w:rsidRPr="006A7A9F">
              <w:rPr>
                <w:rFonts w:ascii="Arial" w:eastAsia="Times New Roman" w:hAnsi="Arial" w:cs="Arial"/>
                <w:color w:val="000000"/>
                <w:sz w:val="14"/>
                <w:szCs w:val="14"/>
                <w:lang w:val="cs-CZ" w:eastAsia="cs-CZ"/>
              </w:rPr>
              <w:t>1,000</w:t>
            </w:r>
          </w:p>
        </w:tc>
        <w:tc>
          <w:tcPr>
            <w:tcW w:w="731" w:type="dxa"/>
            <w:vMerge/>
            <w:tcBorders>
              <w:top w:val="nil"/>
              <w:left w:val="single" w:sz="4" w:space="0" w:color="auto"/>
              <w:bottom w:val="single" w:sz="4" w:space="0" w:color="000000"/>
              <w:right w:val="single" w:sz="4" w:space="0" w:color="auto"/>
            </w:tcBorders>
            <w:vAlign w:val="center"/>
            <w:hideMark/>
          </w:tcPr>
          <w:p w14:paraId="7E9C9E5F" w14:textId="77777777" w:rsidR="006A7A9F" w:rsidRPr="006A7A9F" w:rsidRDefault="006A7A9F" w:rsidP="006A7A9F">
            <w:pPr>
              <w:rPr>
                <w:rFonts w:ascii="Arial" w:eastAsia="Times New Roman" w:hAnsi="Arial" w:cs="Arial"/>
                <w:color w:val="000000"/>
                <w:sz w:val="14"/>
                <w:szCs w:val="14"/>
                <w:lang w:val="cs-CZ" w:eastAsia="cs-CZ"/>
              </w:rPr>
            </w:pPr>
          </w:p>
        </w:tc>
      </w:tr>
    </w:tbl>
    <w:p w14:paraId="52637888" w14:textId="77777777" w:rsidR="00DA62E2" w:rsidRPr="002F2BE4" w:rsidRDefault="00DA62E2" w:rsidP="00FD35AB">
      <w:pPr>
        <w:keepNext/>
        <w:ind w:left="115" w:right="106"/>
        <w:jc w:val="both"/>
        <w:rPr>
          <w:rFonts w:ascii="Arial" w:eastAsia="Arial" w:hAnsi="Arial" w:cs="Arial"/>
          <w:color w:val="000000"/>
          <w:sz w:val="20"/>
          <w:lang w:val="cs-CZ"/>
        </w:rPr>
      </w:pPr>
    </w:p>
    <w:p w14:paraId="43EBBF37"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46138203" w14:textId="77777777" w:rsidR="00FD35AB" w:rsidRPr="002F2BE4" w:rsidRDefault="00FD35AB" w:rsidP="001B767A">
      <w:pPr>
        <w:ind w:left="113" w:right="108"/>
        <w:jc w:val="both"/>
        <w:rPr>
          <w:rFonts w:ascii="Arial" w:eastAsia="Arial" w:hAnsi="Arial" w:cs="Arial"/>
          <w:color w:val="000000"/>
          <w:sz w:val="20"/>
          <w:lang w:val="cs-CZ"/>
        </w:rPr>
      </w:pPr>
    </w:p>
    <w:p w14:paraId="756F8F8B" w14:textId="45DF531C"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lastRenderedPageBreak/>
        <w:t>Investiční priorita: 03.4.74 Investice do institucionální kapacity a efektivnosti veřejné správy a veřejných služeb na celostátní, regionální a místní úrovni za účelem reforem, zlepšová</w:t>
      </w:r>
      <w:r w:rsidR="00DA62E2">
        <w:rPr>
          <w:rFonts w:ascii="Arial" w:eastAsia="Arial" w:hAnsi="Arial" w:cs="Arial"/>
          <w:color w:val="000000"/>
          <w:sz w:val="20"/>
          <w:lang w:val="cs-CZ"/>
        </w:rPr>
        <w:t>ní právní úpravy a řádné správy</w:t>
      </w:r>
    </w:p>
    <w:tbl>
      <w:tblPr>
        <w:tblW w:w="15953" w:type="dxa"/>
        <w:tblInd w:w="75" w:type="dxa"/>
        <w:tblCellMar>
          <w:left w:w="70" w:type="dxa"/>
          <w:right w:w="70" w:type="dxa"/>
        </w:tblCellMar>
        <w:tblLook w:val="04A0" w:firstRow="1" w:lastRow="0" w:firstColumn="1" w:lastColumn="0" w:noHBand="0" w:noVBand="1"/>
      </w:tblPr>
      <w:tblGrid>
        <w:gridCol w:w="538"/>
        <w:gridCol w:w="2173"/>
        <w:gridCol w:w="1076"/>
        <w:gridCol w:w="2705"/>
        <w:gridCol w:w="805"/>
        <w:gridCol w:w="887"/>
        <w:gridCol w:w="580"/>
        <w:gridCol w:w="580"/>
        <w:gridCol w:w="580"/>
        <w:gridCol w:w="588"/>
        <w:gridCol w:w="647"/>
        <w:gridCol w:w="647"/>
        <w:gridCol w:w="575"/>
        <w:gridCol w:w="575"/>
        <w:gridCol w:w="575"/>
        <w:gridCol w:w="577"/>
        <w:gridCol w:w="1004"/>
        <w:gridCol w:w="841"/>
      </w:tblGrid>
      <w:tr w:rsidR="0040414E" w:rsidRPr="0040414E" w14:paraId="10B51639" w14:textId="77777777" w:rsidTr="001B767A">
        <w:trPr>
          <w:trHeight w:val="20"/>
          <w:tblHeader/>
        </w:trPr>
        <w:tc>
          <w:tcPr>
            <w:tcW w:w="53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C5917FF"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ID</w:t>
            </w:r>
          </w:p>
        </w:tc>
        <w:tc>
          <w:tcPr>
            <w:tcW w:w="23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0FA6136"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Indikátor</w:t>
            </w:r>
          </w:p>
        </w:tc>
        <w:tc>
          <w:tcPr>
            <w:tcW w:w="110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0702AB6"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Kategorie regionu</w:t>
            </w:r>
          </w:p>
        </w:tc>
        <w:tc>
          <w:tcPr>
            <w:tcW w:w="285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A2356A5"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Společný indikátor výstupů použitý jako základ pro stanovení cíle</w:t>
            </w:r>
          </w:p>
        </w:tc>
        <w:tc>
          <w:tcPr>
            <w:tcW w:w="81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8BFB935"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Měrná jednotka pro výchozí hodnotu a cíl</w:t>
            </w:r>
          </w:p>
        </w:tc>
        <w:tc>
          <w:tcPr>
            <w:tcW w:w="77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E30E1BF"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Cílová hodnota (2023) (Rozdělení podle pohlaví je pro cíl nepovinné)</w:t>
            </w:r>
          </w:p>
        </w:tc>
        <w:tc>
          <w:tcPr>
            <w:tcW w:w="589" w:type="dxa"/>
            <w:tcBorders>
              <w:top w:val="single" w:sz="4" w:space="0" w:color="auto"/>
              <w:left w:val="nil"/>
              <w:bottom w:val="single" w:sz="4" w:space="0" w:color="auto"/>
              <w:right w:val="single" w:sz="4" w:space="0" w:color="auto"/>
            </w:tcBorders>
            <w:shd w:val="clear" w:color="000000" w:fill="FFFFFF"/>
            <w:vAlign w:val="center"/>
            <w:hideMark/>
          </w:tcPr>
          <w:p w14:paraId="14513EC5"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2014</w:t>
            </w:r>
          </w:p>
        </w:tc>
        <w:tc>
          <w:tcPr>
            <w:tcW w:w="589" w:type="dxa"/>
            <w:tcBorders>
              <w:top w:val="single" w:sz="4" w:space="0" w:color="auto"/>
              <w:left w:val="nil"/>
              <w:bottom w:val="single" w:sz="4" w:space="0" w:color="auto"/>
              <w:right w:val="single" w:sz="4" w:space="0" w:color="auto"/>
            </w:tcBorders>
            <w:shd w:val="clear" w:color="000000" w:fill="FFFFFF"/>
            <w:vAlign w:val="center"/>
            <w:hideMark/>
          </w:tcPr>
          <w:p w14:paraId="0BE1D201"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2015</w:t>
            </w:r>
          </w:p>
        </w:tc>
        <w:tc>
          <w:tcPr>
            <w:tcW w:w="589" w:type="dxa"/>
            <w:tcBorders>
              <w:top w:val="single" w:sz="4" w:space="0" w:color="auto"/>
              <w:left w:val="nil"/>
              <w:bottom w:val="single" w:sz="4" w:space="0" w:color="auto"/>
              <w:right w:val="single" w:sz="4" w:space="0" w:color="auto"/>
            </w:tcBorders>
            <w:shd w:val="clear" w:color="000000" w:fill="FFFFFF"/>
            <w:vAlign w:val="center"/>
            <w:hideMark/>
          </w:tcPr>
          <w:p w14:paraId="714219F2"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2016</w:t>
            </w:r>
          </w:p>
        </w:tc>
        <w:tc>
          <w:tcPr>
            <w:tcW w:w="590" w:type="dxa"/>
            <w:tcBorders>
              <w:top w:val="single" w:sz="4" w:space="0" w:color="auto"/>
              <w:left w:val="nil"/>
              <w:bottom w:val="single" w:sz="4" w:space="0" w:color="auto"/>
              <w:right w:val="single" w:sz="4" w:space="0" w:color="auto"/>
            </w:tcBorders>
            <w:shd w:val="clear" w:color="000000" w:fill="FFFFFF"/>
            <w:vAlign w:val="center"/>
            <w:hideMark/>
          </w:tcPr>
          <w:p w14:paraId="0FEA51DA"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2017</w:t>
            </w:r>
          </w:p>
        </w:tc>
        <w:tc>
          <w:tcPr>
            <w:tcW w:w="590" w:type="dxa"/>
            <w:tcBorders>
              <w:top w:val="single" w:sz="4" w:space="0" w:color="auto"/>
              <w:left w:val="nil"/>
              <w:bottom w:val="single" w:sz="4" w:space="0" w:color="auto"/>
              <w:right w:val="single" w:sz="4" w:space="0" w:color="auto"/>
            </w:tcBorders>
            <w:shd w:val="clear" w:color="000000" w:fill="FFFFFF"/>
            <w:vAlign w:val="center"/>
            <w:hideMark/>
          </w:tcPr>
          <w:p w14:paraId="2B52D244"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2018</w:t>
            </w:r>
          </w:p>
        </w:tc>
        <w:tc>
          <w:tcPr>
            <w:tcW w:w="642" w:type="dxa"/>
            <w:tcBorders>
              <w:top w:val="single" w:sz="4" w:space="0" w:color="auto"/>
              <w:left w:val="nil"/>
              <w:bottom w:val="single" w:sz="4" w:space="0" w:color="auto"/>
              <w:right w:val="single" w:sz="4" w:space="0" w:color="auto"/>
            </w:tcBorders>
            <w:shd w:val="clear" w:color="000000" w:fill="FFFFFF"/>
            <w:vAlign w:val="center"/>
            <w:hideMark/>
          </w:tcPr>
          <w:p w14:paraId="23594BC7"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2019</w:t>
            </w:r>
          </w:p>
        </w:tc>
        <w:tc>
          <w:tcPr>
            <w:tcW w:w="588" w:type="dxa"/>
            <w:tcBorders>
              <w:top w:val="single" w:sz="4" w:space="0" w:color="auto"/>
              <w:left w:val="nil"/>
              <w:bottom w:val="single" w:sz="4" w:space="0" w:color="auto"/>
              <w:right w:val="single" w:sz="4" w:space="0" w:color="auto"/>
            </w:tcBorders>
            <w:shd w:val="clear" w:color="000000" w:fill="FFFFFF"/>
            <w:vAlign w:val="center"/>
            <w:hideMark/>
          </w:tcPr>
          <w:p w14:paraId="33BCD94D"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2020</w:t>
            </w:r>
          </w:p>
        </w:tc>
        <w:tc>
          <w:tcPr>
            <w:tcW w:w="588" w:type="dxa"/>
            <w:tcBorders>
              <w:top w:val="single" w:sz="4" w:space="0" w:color="auto"/>
              <w:left w:val="nil"/>
              <w:bottom w:val="single" w:sz="4" w:space="0" w:color="auto"/>
              <w:right w:val="single" w:sz="4" w:space="0" w:color="auto"/>
            </w:tcBorders>
            <w:shd w:val="clear" w:color="000000" w:fill="FFFFFF"/>
            <w:vAlign w:val="center"/>
            <w:hideMark/>
          </w:tcPr>
          <w:p w14:paraId="6EE927CD"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2021</w:t>
            </w:r>
          </w:p>
        </w:tc>
        <w:tc>
          <w:tcPr>
            <w:tcW w:w="588" w:type="dxa"/>
            <w:tcBorders>
              <w:top w:val="single" w:sz="4" w:space="0" w:color="auto"/>
              <w:left w:val="nil"/>
              <w:bottom w:val="single" w:sz="4" w:space="0" w:color="auto"/>
              <w:right w:val="single" w:sz="4" w:space="0" w:color="auto"/>
            </w:tcBorders>
            <w:shd w:val="clear" w:color="000000" w:fill="FFFFFF"/>
            <w:vAlign w:val="center"/>
            <w:hideMark/>
          </w:tcPr>
          <w:p w14:paraId="01A8D298"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2022</w:t>
            </w:r>
          </w:p>
        </w:tc>
        <w:tc>
          <w:tcPr>
            <w:tcW w:w="588" w:type="dxa"/>
            <w:tcBorders>
              <w:top w:val="single" w:sz="4" w:space="0" w:color="auto"/>
              <w:left w:val="nil"/>
              <w:bottom w:val="single" w:sz="4" w:space="0" w:color="auto"/>
              <w:right w:val="single" w:sz="4" w:space="0" w:color="auto"/>
            </w:tcBorders>
            <w:shd w:val="clear" w:color="000000" w:fill="FFFFFF"/>
            <w:vAlign w:val="center"/>
            <w:hideMark/>
          </w:tcPr>
          <w:p w14:paraId="44A3D315"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2023</w:t>
            </w:r>
          </w:p>
        </w:tc>
        <w:tc>
          <w:tcPr>
            <w:tcW w:w="873" w:type="dxa"/>
            <w:tcBorders>
              <w:top w:val="single" w:sz="4" w:space="0" w:color="auto"/>
              <w:left w:val="nil"/>
              <w:bottom w:val="single" w:sz="4" w:space="0" w:color="auto"/>
              <w:right w:val="single" w:sz="4" w:space="0" w:color="auto"/>
            </w:tcBorders>
            <w:shd w:val="clear" w:color="000000" w:fill="FFFFFF"/>
            <w:vAlign w:val="center"/>
            <w:hideMark/>
          </w:tcPr>
          <w:p w14:paraId="5BE59981"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Kumulativní hodnota (vypočítána automaticky)</w:t>
            </w:r>
          </w:p>
        </w:tc>
        <w:tc>
          <w:tcPr>
            <w:tcW w:w="73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23EDD1B"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Míra splnění Rozdělení podle pohlaví je nepovinné</w:t>
            </w:r>
          </w:p>
        </w:tc>
      </w:tr>
      <w:tr w:rsidR="0040414E" w:rsidRPr="0040414E" w14:paraId="236A86CB" w14:textId="77777777" w:rsidTr="001B767A">
        <w:trPr>
          <w:trHeight w:val="20"/>
          <w:tblHeader/>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0E225224" w14:textId="77777777" w:rsidR="0040414E" w:rsidRPr="0040414E" w:rsidRDefault="0040414E" w:rsidP="0040414E">
            <w:pPr>
              <w:rPr>
                <w:rFonts w:ascii="Arial" w:eastAsia="Times New Roman" w:hAnsi="Arial" w:cs="Arial"/>
                <w:b/>
                <w:bCs/>
                <w:color w:val="000000"/>
                <w:sz w:val="14"/>
                <w:szCs w:val="14"/>
                <w:lang w:val="cs-CZ" w:eastAsia="cs-CZ"/>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55B5E2DA" w14:textId="77777777" w:rsidR="0040414E" w:rsidRPr="0040414E" w:rsidRDefault="0040414E" w:rsidP="0040414E">
            <w:pPr>
              <w:rPr>
                <w:rFonts w:ascii="Arial" w:eastAsia="Times New Roman" w:hAnsi="Arial" w:cs="Arial"/>
                <w:b/>
                <w:bCs/>
                <w:color w:val="000000"/>
                <w:sz w:val="14"/>
                <w:szCs w:val="14"/>
                <w:lang w:val="cs-CZ" w:eastAsia="cs-CZ"/>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14:paraId="3DCCB2BE" w14:textId="77777777" w:rsidR="0040414E" w:rsidRPr="0040414E" w:rsidRDefault="0040414E" w:rsidP="0040414E">
            <w:pPr>
              <w:rPr>
                <w:rFonts w:ascii="Arial" w:eastAsia="Times New Roman" w:hAnsi="Arial" w:cs="Arial"/>
                <w:b/>
                <w:bCs/>
                <w:color w:val="000000"/>
                <w:sz w:val="14"/>
                <w:szCs w:val="14"/>
                <w:lang w:val="cs-CZ" w:eastAsia="cs-CZ"/>
              </w:rPr>
            </w:pPr>
          </w:p>
        </w:tc>
        <w:tc>
          <w:tcPr>
            <w:tcW w:w="2857" w:type="dxa"/>
            <w:vMerge/>
            <w:tcBorders>
              <w:top w:val="single" w:sz="4" w:space="0" w:color="auto"/>
              <w:left w:val="single" w:sz="4" w:space="0" w:color="auto"/>
              <w:bottom w:val="single" w:sz="4" w:space="0" w:color="000000"/>
              <w:right w:val="single" w:sz="4" w:space="0" w:color="auto"/>
            </w:tcBorders>
            <w:vAlign w:val="center"/>
            <w:hideMark/>
          </w:tcPr>
          <w:p w14:paraId="70F1EBED" w14:textId="77777777" w:rsidR="0040414E" w:rsidRPr="0040414E" w:rsidRDefault="0040414E" w:rsidP="0040414E">
            <w:pPr>
              <w:rPr>
                <w:rFonts w:ascii="Arial" w:eastAsia="Times New Roman" w:hAnsi="Arial" w:cs="Arial"/>
                <w:b/>
                <w:bCs/>
                <w:color w:val="000000"/>
                <w:sz w:val="14"/>
                <w:szCs w:val="14"/>
                <w:lang w:val="cs-CZ" w:eastAsia="cs-CZ"/>
              </w:rPr>
            </w:pPr>
          </w:p>
        </w:tc>
        <w:tc>
          <w:tcPr>
            <w:tcW w:w="814" w:type="dxa"/>
            <w:vMerge/>
            <w:tcBorders>
              <w:top w:val="single" w:sz="4" w:space="0" w:color="auto"/>
              <w:left w:val="single" w:sz="4" w:space="0" w:color="auto"/>
              <w:bottom w:val="single" w:sz="4" w:space="0" w:color="000000"/>
              <w:right w:val="single" w:sz="4" w:space="0" w:color="auto"/>
            </w:tcBorders>
            <w:vAlign w:val="center"/>
            <w:hideMark/>
          </w:tcPr>
          <w:p w14:paraId="0BF4D930" w14:textId="77777777" w:rsidR="0040414E" w:rsidRPr="0040414E" w:rsidRDefault="0040414E" w:rsidP="0040414E">
            <w:pPr>
              <w:rPr>
                <w:rFonts w:ascii="Arial" w:eastAsia="Times New Roman" w:hAnsi="Arial" w:cs="Arial"/>
                <w:b/>
                <w:bCs/>
                <w:color w:val="000000"/>
                <w:sz w:val="14"/>
                <w:szCs w:val="14"/>
                <w:lang w:val="cs-CZ" w:eastAsia="cs-CZ"/>
              </w:rPr>
            </w:pPr>
          </w:p>
        </w:tc>
        <w:tc>
          <w:tcPr>
            <w:tcW w:w="771" w:type="dxa"/>
            <w:vMerge/>
            <w:tcBorders>
              <w:top w:val="single" w:sz="4" w:space="0" w:color="auto"/>
              <w:left w:val="single" w:sz="4" w:space="0" w:color="auto"/>
              <w:bottom w:val="single" w:sz="4" w:space="0" w:color="000000"/>
              <w:right w:val="single" w:sz="4" w:space="0" w:color="auto"/>
            </w:tcBorders>
            <w:vAlign w:val="center"/>
            <w:hideMark/>
          </w:tcPr>
          <w:p w14:paraId="4B3CC41A" w14:textId="77777777" w:rsidR="0040414E" w:rsidRPr="0040414E" w:rsidRDefault="0040414E" w:rsidP="0040414E">
            <w:pPr>
              <w:rPr>
                <w:rFonts w:ascii="Arial" w:eastAsia="Times New Roman" w:hAnsi="Arial" w:cs="Arial"/>
                <w:b/>
                <w:bCs/>
                <w:color w:val="000000"/>
                <w:sz w:val="14"/>
                <w:szCs w:val="14"/>
                <w:lang w:val="cs-CZ" w:eastAsia="cs-CZ"/>
              </w:rPr>
            </w:pPr>
          </w:p>
        </w:tc>
        <w:tc>
          <w:tcPr>
            <w:tcW w:w="5943" w:type="dxa"/>
            <w:gridSpan w:val="10"/>
            <w:tcBorders>
              <w:top w:val="single" w:sz="4" w:space="0" w:color="auto"/>
              <w:left w:val="nil"/>
              <w:bottom w:val="single" w:sz="4" w:space="0" w:color="auto"/>
              <w:right w:val="single" w:sz="4" w:space="0" w:color="000000"/>
            </w:tcBorders>
            <w:shd w:val="clear" w:color="000000" w:fill="FFFFFF"/>
            <w:vAlign w:val="center"/>
            <w:hideMark/>
          </w:tcPr>
          <w:p w14:paraId="753C0617"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Roční hodnota</w:t>
            </w:r>
          </w:p>
        </w:tc>
        <w:tc>
          <w:tcPr>
            <w:tcW w:w="873" w:type="dxa"/>
            <w:tcBorders>
              <w:top w:val="nil"/>
              <w:left w:val="nil"/>
              <w:bottom w:val="single" w:sz="4" w:space="0" w:color="auto"/>
              <w:right w:val="single" w:sz="4" w:space="0" w:color="auto"/>
            </w:tcBorders>
            <w:shd w:val="clear" w:color="000000" w:fill="FFFFFF"/>
            <w:vAlign w:val="center"/>
            <w:hideMark/>
          </w:tcPr>
          <w:p w14:paraId="1AC288BC"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Celkem</w:t>
            </w:r>
          </w:p>
        </w:tc>
        <w:tc>
          <w:tcPr>
            <w:tcW w:w="731" w:type="dxa"/>
            <w:vMerge/>
            <w:tcBorders>
              <w:top w:val="single" w:sz="4" w:space="0" w:color="auto"/>
              <w:left w:val="single" w:sz="4" w:space="0" w:color="auto"/>
              <w:bottom w:val="single" w:sz="4" w:space="0" w:color="000000"/>
              <w:right w:val="single" w:sz="4" w:space="0" w:color="auto"/>
            </w:tcBorders>
            <w:vAlign w:val="center"/>
            <w:hideMark/>
          </w:tcPr>
          <w:p w14:paraId="340448D3" w14:textId="77777777" w:rsidR="0040414E" w:rsidRPr="0040414E" w:rsidRDefault="0040414E" w:rsidP="0040414E">
            <w:pPr>
              <w:rPr>
                <w:rFonts w:ascii="Arial" w:eastAsia="Times New Roman" w:hAnsi="Arial" w:cs="Arial"/>
                <w:b/>
                <w:bCs/>
                <w:color w:val="000000"/>
                <w:sz w:val="14"/>
                <w:szCs w:val="14"/>
                <w:lang w:val="cs-CZ" w:eastAsia="cs-CZ"/>
              </w:rPr>
            </w:pPr>
          </w:p>
        </w:tc>
      </w:tr>
      <w:tr w:rsidR="0040414E" w:rsidRPr="0040414E" w14:paraId="06000228" w14:textId="77777777" w:rsidTr="001B767A">
        <w:trPr>
          <w:trHeight w:val="20"/>
          <w:tblHeader/>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48C1DFCE" w14:textId="77777777" w:rsidR="0040414E" w:rsidRPr="0040414E" w:rsidRDefault="0040414E" w:rsidP="0040414E">
            <w:pPr>
              <w:rPr>
                <w:rFonts w:ascii="Arial" w:eastAsia="Times New Roman" w:hAnsi="Arial" w:cs="Arial"/>
                <w:b/>
                <w:bCs/>
                <w:color w:val="000000"/>
                <w:sz w:val="14"/>
                <w:szCs w:val="14"/>
                <w:lang w:val="cs-CZ" w:eastAsia="cs-CZ"/>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50B3B54E" w14:textId="77777777" w:rsidR="0040414E" w:rsidRPr="0040414E" w:rsidRDefault="0040414E" w:rsidP="0040414E">
            <w:pPr>
              <w:rPr>
                <w:rFonts w:ascii="Arial" w:eastAsia="Times New Roman" w:hAnsi="Arial" w:cs="Arial"/>
                <w:b/>
                <w:bCs/>
                <w:color w:val="000000"/>
                <w:sz w:val="14"/>
                <w:szCs w:val="14"/>
                <w:lang w:val="cs-CZ" w:eastAsia="cs-CZ"/>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14:paraId="193F5884" w14:textId="77777777" w:rsidR="0040414E" w:rsidRPr="0040414E" w:rsidRDefault="0040414E" w:rsidP="0040414E">
            <w:pPr>
              <w:rPr>
                <w:rFonts w:ascii="Arial" w:eastAsia="Times New Roman" w:hAnsi="Arial" w:cs="Arial"/>
                <w:b/>
                <w:bCs/>
                <w:color w:val="000000"/>
                <w:sz w:val="14"/>
                <w:szCs w:val="14"/>
                <w:lang w:val="cs-CZ" w:eastAsia="cs-CZ"/>
              </w:rPr>
            </w:pPr>
          </w:p>
        </w:tc>
        <w:tc>
          <w:tcPr>
            <w:tcW w:w="2857" w:type="dxa"/>
            <w:vMerge/>
            <w:tcBorders>
              <w:top w:val="single" w:sz="4" w:space="0" w:color="auto"/>
              <w:left w:val="single" w:sz="4" w:space="0" w:color="auto"/>
              <w:bottom w:val="single" w:sz="4" w:space="0" w:color="000000"/>
              <w:right w:val="single" w:sz="4" w:space="0" w:color="auto"/>
            </w:tcBorders>
            <w:vAlign w:val="center"/>
            <w:hideMark/>
          </w:tcPr>
          <w:p w14:paraId="2E337800" w14:textId="77777777" w:rsidR="0040414E" w:rsidRPr="0040414E" w:rsidRDefault="0040414E" w:rsidP="0040414E">
            <w:pPr>
              <w:rPr>
                <w:rFonts w:ascii="Arial" w:eastAsia="Times New Roman" w:hAnsi="Arial" w:cs="Arial"/>
                <w:b/>
                <w:bCs/>
                <w:color w:val="000000"/>
                <w:sz w:val="14"/>
                <w:szCs w:val="14"/>
                <w:lang w:val="cs-CZ" w:eastAsia="cs-CZ"/>
              </w:rPr>
            </w:pPr>
          </w:p>
        </w:tc>
        <w:tc>
          <w:tcPr>
            <w:tcW w:w="814" w:type="dxa"/>
            <w:vMerge/>
            <w:tcBorders>
              <w:top w:val="single" w:sz="4" w:space="0" w:color="auto"/>
              <w:left w:val="single" w:sz="4" w:space="0" w:color="auto"/>
              <w:bottom w:val="single" w:sz="4" w:space="0" w:color="000000"/>
              <w:right w:val="single" w:sz="4" w:space="0" w:color="auto"/>
            </w:tcBorders>
            <w:vAlign w:val="center"/>
            <w:hideMark/>
          </w:tcPr>
          <w:p w14:paraId="078F6CBF" w14:textId="77777777" w:rsidR="0040414E" w:rsidRPr="0040414E" w:rsidRDefault="0040414E" w:rsidP="0040414E">
            <w:pPr>
              <w:rPr>
                <w:rFonts w:ascii="Arial" w:eastAsia="Times New Roman" w:hAnsi="Arial" w:cs="Arial"/>
                <w:b/>
                <w:bCs/>
                <w:color w:val="000000"/>
                <w:sz w:val="14"/>
                <w:szCs w:val="14"/>
                <w:lang w:val="cs-CZ" w:eastAsia="cs-CZ"/>
              </w:rPr>
            </w:pPr>
          </w:p>
        </w:tc>
        <w:tc>
          <w:tcPr>
            <w:tcW w:w="771" w:type="dxa"/>
            <w:vMerge/>
            <w:tcBorders>
              <w:top w:val="single" w:sz="4" w:space="0" w:color="auto"/>
              <w:left w:val="single" w:sz="4" w:space="0" w:color="auto"/>
              <w:bottom w:val="single" w:sz="4" w:space="0" w:color="000000"/>
              <w:right w:val="single" w:sz="4" w:space="0" w:color="auto"/>
            </w:tcBorders>
            <w:vAlign w:val="center"/>
            <w:hideMark/>
          </w:tcPr>
          <w:p w14:paraId="244B9F93" w14:textId="77777777" w:rsidR="0040414E" w:rsidRPr="0040414E" w:rsidRDefault="0040414E" w:rsidP="0040414E">
            <w:pPr>
              <w:rPr>
                <w:rFonts w:ascii="Arial" w:eastAsia="Times New Roman" w:hAnsi="Arial" w:cs="Arial"/>
                <w:b/>
                <w:bCs/>
                <w:color w:val="000000"/>
                <w:sz w:val="14"/>
                <w:szCs w:val="14"/>
                <w:lang w:val="cs-CZ" w:eastAsia="cs-CZ"/>
              </w:rPr>
            </w:pPr>
          </w:p>
        </w:tc>
        <w:tc>
          <w:tcPr>
            <w:tcW w:w="589" w:type="dxa"/>
            <w:tcBorders>
              <w:top w:val="nil"/>
              <w:left w:val="nil"/>
              <w:bottom w:val="single" w:sz="4" w:space="0" w:color="auto"/>
              <w:right w:val="single" w:sz="4" w:space="0" w:color="auto"/>
            </w:tcBorders>
            <w:shd w:val="clear" w:color="000000" w:fill="FFFFFF"/>
            <w:vAlign w:val="center"/>
            <w:hideMark/>
          </w:tcPr>
          <w:p w14:paraId="0435891F"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589" w:type="dxa"/>
            <w:tcBorders>
              <w:top w:val="nil"/>
              <w:left w:val="nil"/>
              <w:bottom w:val="single" w:sz="4" w:space="0" w:color="auto"/>
              <w:right w:val="single" w:sz="4" w:space="0" w:color="auto"/>
            </w:tcBorders>
            <w:shd w:val="clear" w:color="000000" w:fill="FFFFFF"/>
            <w:vAlign w:val="center"/>
            <w:hideMark/>
          </w:tcPr>
          <w:p w14:paraId="14DA1F04"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589" w:type="dxa"/>
            <w:tcBorders>
              <w:top w:val="nil"/>
              <w:left w:val="nil"/>
              <w:bottom w:val="single" w:sz="4" w:space="0" w:color="auto"/>
              <w:right w:val="single" w:sz="4" w:space="0" w:color="auto"/>
            </w:tcBorders>
            <w:shd w:val="clear" w:color="000000" w:fill="FFFFFF"/>
            <w:vAlign w:val="center"/>
            <w:hideMark/>
          </w:tcPr>
          <w:p w14:paraId="0EE48B23"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590" w:type="dxa"/>
            <w:tcBorders>
              <w:top w:val="nil"/>
              <w:left w:val="nil"/>
              <w:bottom w:val="single" w:sz="4" w:space="0" w:color="auto"/>
              <w:right w:val="single" w:sz="4" w:space="0" w:color="auto"/>
            </w:tcBorders>
            <w:shd w:val="clear" w:color="000000" w:fill="FFFFFF"/>
            <w:vAlign w:val="center"/>
            <w:hideMark/>
          </w:tcPr>
          <w:p w14:paraId="70BA7768"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590" w:type="dxa"/>
            <w:tcBorders>
              <w:top w:val="nil"/>
              <w:left w:val="nil"/>
              <w:bottom w:val="single" w:sz="4" w:space="0" w:color="auto"/>
              <w:right w:val="single" w:sz="4" w:space="0" w:color="auto"/>
            </w:tcBorders>
            <w:shd w:val="clear" w:color="000000" w:fill="FFFFFF"/>
            <w:vAlign w:val="center"/>
            <w:hideMark/>
          </w:tcPr>
          <w:p w14:paraId="3C83CBBD"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642" w:type="dxa"/>
            <w:tcBorders>
              <w:top w:val="nil"/>
              <w:left w:val="nil"/>
              <w:bottom w:val="single" w:sz="4" w:space="0" w:color="auto"/>
              <w:right w:val="single" w:sz="4" w:space="0" w:color="auto"/>
            </w:tcBorders>
            <w:shd w:val="clear" w:color="000000" w:fill="FFFFFF"/>
            <w:vAlign w:val="center"/>
            <w:hideMark/>
          </w:tcPr>
          <w:p w14:paraId="272BEE59"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588" w:type="dxa"/>
            <w:tcBorders>
              <w:top w:val="nil"/>
              <w:left w:val="nil"/>
              <w:bottom w:val="single" w:sz="4" w:space="0" w:color="auto"/>
              <w:right w:val="single" w:sz="4" w:space="0" w:color="auto"/>
            </w:tcBorders>
            <w:shd w:val="clear" w:color="000000" w:fill="FFFFFF"/>
            <w:vAlign w:val="center"/>
            <w:hideMark/>
          </w:tcPr>
          <w:p w14:paraId="5B639A42"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588" w:type="dxa"/>
            <w:tcBorders>
              <w:top w:val="nil"/>
              <w:left w:val="nil"/>
              <w:bottom w:val="single" w:sz="4" w:space="0" w:color="auto"/>
              <w:right w:val="single" w:sz="4" w:space="0" w:color="auto"/>
            </w:tcBorders>
            <w:shd w:val="clear" w:color="000000" w:fill="FFFFFF"/>
            <w:vAlign w:val="center"/>
            <w:hideMark/>
          </w:tcPr>
          <w:p w14:paraId="1721AC39"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588" w:type="dxa"/>
            <w:tcBorders>
              <w:top w:val="nil"/>
              <w:left w:val="nil"/>
              <w:bottom w:val="single" w:sz="4" w:space="0" w:color="auto"/>
              <w:right w:val="single" w:sz="4" w:space="0" w:color="auto"/>
            </w:tcBorders>
            <w:shd w:val="clear" w:color="000000" w:fill="FFFFFF"/>
            <w:vAlign w:val="center"/>
            <w:hideMark/>
          </w:tcPr>
          <w:p w14:paraId="01D8BCCF"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588" w:type="dxa"/>
            <w:tcBorders>
              <w:top w:val="nil"/>
              <w:left w:val="nil"/>
              <w:bottom w:val="single" w:sz="4" w:space="0" w:color="auto"/>
              <w:right w:val="single" w:sz="4" w:space="0" w:color="auto"/>
            </w:tcBorders>
            <w:shd w:val="clear" w:color="000000" w:fill="FFFFFF"/>
            <w:vAlign w:val="center"/>
            <w:hideMark/>
          </w:tcPr>
          <w:p w14:paraId="72D00A38"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873" w:type="dxa"/>
            <w:tcBorders>
              <w:top w:val="nil"/>
              <w:left w:val="nil"/>
              <w:bottom w:val="single" w:sz="4" w:space="0" w:color="auto"/>
              <w:right w:val="single" w:sz="4" w:space="0" w:color="auto"/>
            </w:tcBorders>
            <w:shd w:val="clear" w:color="000000" w:fill="FFFFFF"/>
            <w:vAlign w:val="center"/>
            <w:hideMark/>
          </w:tcPr>
          <w:p w14:paraId="3224E8F4"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M</w:t>
            </w:r>
          </w:p>
        </w:tc>
        <w:tc>
          <w:tcPr>
            <w:tcW w:w="731" w:type="dxa"/>
            <w:vMerge/>
            <w:tcBorders>
              <w:top w:val="single" w:sz="4" w:space="0" w:color="auto"/>
              <w:left w:val="single" w:sz="4" w:space="0" w:color="auto"/>
              <w:bottom w:val="single" w:sz="4" w:space="0" w:color="000000"/>
              <w:right w:val="single" w:sz="4" w:space="0" w:color="auto"/>
            </w:tcBorders>
            <w:vAlign w:val="center"/>
            <w:hideMark/>
          </w:tcPr>
          <w:p w14:paraId="4D09A4B1" w14:textId="77777777" w:rsidR="0040414E" w:rsidRPr="0040414E" w:rsidRDefault="0040414E" w:rsidP="0040414E">
            <w:pPr>
              <w:rPr>
                <w:rFonts w:ascii="Arial" w:eastAsia="Times New Roman" w:hAnsi="Arial" w:cs="Arial"/>
                <w:b/>
                <w:bCs/>
                <w:color w:val="000000"/>
                <w:sz w:val="14"/>
                <w:szCs w:val="14"/>
                <w:lang w:val="cs-CZ" w:eastAsia="cs-CZ"/>
              </w:rPr>
            </w:pPr>
          </w:p>
        </w:tc>
      </w:tr>
      <w:tr w:rsidR="0040414E" w:rsidRPr="0040414E" w14:paraId="34E85145" w14:textId="77777777" w:rsidTr="001B767A">
        <w:trPr>
          <w:trHeight w:val="20"/>
          <w:tblHeader/>
        </w:trPr>
        <w:tc>
          <w:tcPr>
            <w:tcW w:w="538" w:type="dxa"/>
            <w:vMerge/>
            <w:tcBorders>
              <w:top w:val="single" w:sz="4" w:space="0" w:color="auto"/>
              <w:left w:val="single" w:sz="4" w:space="0" w:color="auto"/>
              <w:bottom w:val="single" w:sz="4" w:space="0" w:color="000000"/>
              <w:right w:val="single" w:sz="4" w:space="0" w:color="auto"/>
            </w:tcBorders>
            <w:vAlign w:val="center"/>
            <w:hideMark/>
          </w:tcPr>
          <w:p w14:paraId="495F6291" w14:textId="77777777" w:rsidR="0040414E" w:rsidRPr="0040414E" w:rsidRDefault="0040414E" w:rsidP="0040414E">
            <w:pPr>
              <w:rPr>
                <w:rFonts w:ascii="Arial" w:eastAsia="Times New Roman" w:hAnsi="Arial" w:cs="Arial"/>
                <w:b/>
                <w:bCs/>
                <w:color w:val="000000"/>
                <w:sz w:val="14"/>
                <w:szCs w:val="14"/>
                <w:lang w:val="cs-CZ" w:eastAsia="cs-CZ"/>
              </w:rPr>
            </w:pPr>
          </w:p>
        </w:tc>
        <w:tc>
          <w:tcPr>
            <w:tcW w:w="2320" w:type="dxa"/>
            <w:vMerge/>
            <w:tcBorders>
              <w:top w:val="single" w:sz="4" w:space="0" w:color="auto"/>
              <w:left w:val="single" w:sz="4" w:space="0" w:color="auto"/>
              <w:bottom w:val="single" w:sz="4" w:space="0" w:color="000000"/>
              <w:right w:val="single" w:sz="4" w:space="0" w:color="auto"/>
            </w:tcBorders>
            <w:vAlign w:val="center"/>
            <w:hideMark/>
          </w:tcPr>
          <w:p w14:paraId="6B552AB1" w14:textId="77777777" w:rsidR="0040414E" w:rsidRPr="0040414E" w:rsidRDefault="0040414E" w:rsidP="0040414E">
            <w:pPr>
              <w:rPr>
                <w:rFonts w:ascii="Arial" w:eastAsia="Times New Roman" w:hAnsi="Arial" w:cs="Arial"/>
                <w:b/>
                <w:bCs/>
                <w:color w:val="000000"/>
                <w:sz w:val="14"/>
                <w:szCs w:val="14"/>
                <w:lang w:val="cs-CZ" w:eastAsia="cs-CZ"/>
              </w:rPr>
            </w:pPr>
          </w:p>
        </w:tc>
        <w:tc>
          <w:tcPr>
            <w:tcW w:w="1106" w:type="dxa"/>
            <w:vMerge/>
            <w:tcBorders>
              <w:top w:val="single" w:sz="4" w:space="0" w:color="auto"/>
              <w:left w:val="single" w:sz="4" w:space="0" w:color="auto"/>
              <w:bottom w:val="single" w:sz="4" w:space="0" w:color="000000"/>
              <w:right w:val="single" w:sz="4" w:space="0" w:color="auto"/>
            </w:tcBorders>
            <w:vAlign w:val="center"/>
            <w:hideMark/>
          </w:tcPr>
          <w:p w14:paraId="3D53B639" w14:textId="77777777" w:rsidR="0040414E" w:rsidRPr="0040414E" w:rsidRDefault="0040414E" w:rsidP="0040414E">
            <w:pPr>
              <w:rPr>
                <w:rFonts w:ascii="Arial" w:eastAsia="Times New Roman" w:hAnsi="Arial" w:cs="Arial"/>
                <w:b/>
                <w:bCs/>
                <w:color w:val="000000"/>
                <w:sz w:val="14"/>
                <w:szCs w:val="14"/>
                <w:lang w:val="cs-CZ" w:eastAsia="cs-CZ"/>
              </w:rPr>
            </w:pPr>
          </w:p>
        </w:tc>
        <w:tc>
          <w:tcPr>
            <w:tcW w:w="2857" w:type="dxa"/>
            <w:vMerge/>
            <w:tcBorders>
              <w:top w:val="single" w:sz="4" w:space="0" w:color="auto"/>
              <w:left w:val="single" w:sz="4" w:space="0" w:color="auto"/>
              <w:bottom w:val="single" w:sz="4" w:space="0" w:color="000000"/>
              <w:right w:val="single" w:sz="4" w:space="0" w:color="auto"/>
            </w:tcBorders>
            <w:vAlign w:val="center"/>
            <w:hideMark/>
          </w:tcPr>
          <w:p w14:paraId="4F826E2A" w14:textId="77777777" w:rsidR="0040414E" w:rsidRPr="0040414E" w:rsidRDefault="0040414E" w:rsidP="0040414E">
            <w:pPr>
              <w:rPr>
                <w:rFonts w:ascii="Arial" w:eastAsia="Times New Roman" w:hAnsi="Arial" w:cs="Arial"/>
                <w:b/>
                <w:bCs/>
                <w:color w:val="000000"/>
                <w:sz w:val="14"/>
                <w:szCs w:val="14"/>
                <w:lang w:val="cs-CZ" w:eastAsia="cs-CZ"/>
              </w:rPr>
            </w:pPr>
          </w:p>
        </w:tc>
        <w:tc>
          <w:tcPr>
            <w:tcW w:w="814" w:type="dxa"/>
            <w:vMerge/>
            <w:tcBorders>
              <w:top w:val="single" w:sz="4" w:space="0" w:color="auto"/>
              <w:left w:val="single" w:sz="4" w:space="0" w:color="auto"/>
              <w:bottom w:val="single" w:sz="4" w:space="0" w:color="000000"/>
              <w:right w:val="single" w:sz="4" w:space="0" w:color="auto"/>
            </w:tcBorders>
            <w:vAlign w:val="center"/>
            <w:hideMark/>
          </w:tcPr>
          <w:p w14:paraId="59C929B5" w14:textId="77777777" w:rsidR="0040414E" w:rsidRPr="0040414E" w:rsidRDefault="0040414E" w:rsidP="0040414E">
            <w:pPr>
              <w:rPr>
                <w:rFonts w:ascii="Arial" w:eastAsia="Times New Roman" w:hAnsi="Arial" w:cs="Arial"/>
                <w:b/>
                <w:bCs/>
                <w:color w:val="000000"/>
                <w:sz w:val="14"/>
                <w:szCs w:val="14"/>
                <w:lang w:val="cs-CZ" w:eastAsia="cs-CZ"/>
              </w:rPr>
            </w:pPr>
          </w:p>
        </w:tc>
        <w:tc>
          <w:tcPr>
            <w:tcW w:w="771" w:type="dxa"/>
            <w:vMerge/>
            <w:tcBorders>
              <w:top w:val="single" w:sz="4" w:space="0" w:color="auto"/>
              <w:left w:val="single" w:sz="4" w:space="0" w:color="auto"/>
              <w:bottom w:val="single" w:sz="4" w:space="0" w:color="000000"/>
              <w:right w:val="single" w:sz="4" w:space="0" w:color="auto"/>
            </w:tcBorders>
            <w:vAlign w:val="center"/>
            <w:hideMark/>
          </w:tcPr>
          <w:p w14:paraId="1551E68A" w14:textId="77777777" w:rsidR="0040414E" w:rsidRPr="0040414E" w:rsidRDefault="0040414E" w:rsidP="0040414E">
            <w:pPr>
              <w:rPr>
                <w:rFonts w:ascii="Arial" w:eastAsia="Times New Roman" w:hAnsi="Arial" w:cs="Arial"/>
                <w:b/>
                <w:bCs/>
                <w:color w:val="000000"/>
                <w:sz w:val="14"/>
                <w:szCs w:val="14"/>
                <w:lang w:val="cs-CZ" w:eastAsia="cs-CZ"/>
              </w:rPr>
            </w:pPr>
          </w:p>
        </w:tc>
        <w:tc>
          <w:tcPr>
            <w:tcW w:w="589" w:type="dxa"/>
            <w:tcBorders>
              <w:top w:val="nil"/>
              <w:left w:val="nil"/>
              <w:bottom w:val="single" w:sz="4" w:space="0" w:color="auto"/>
              <w:right w:val="single" w:sz="4" w:space="0" w:color="auto"/>
            </w:tcBorders>
            <w:shd w:val="clear" w:color="000000" w:fill="FFFFFF"/>
            <w:vAlign w:val="center"/>
            <w:hideMark/>
          </w:tcPr>
          <w:p w14:paraId="0205F130"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589" w:type="dxa"/>
            <w:tcBorders>
              <w:top w:val="nil"/>
              <w:left w:val="nil"/>
              <w:bottom w:val="single" w:sz="4" w:space="0" w:color="auto"/>
              <w:right w:val="single" w:sz="4" w:space="0" w:color="auto"/>
            </w:tcBorders>
            <w:shd w:val="clear" w:color="000000" w:fill="FFFFFF"/>
            <w:vAlign w:val="center"/>
            <w:hideMark/>
          </w:tcPr>
          <w:p w14:paraId="390262A1"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589" w:type="dxa"/>
            <w:tcBorders>
              <w:top w:val="nil"/>
              <w:left w:val="nil"/>
              <w:bottom w:val="single" w:sz="4" w:space="0" w:color="auto"/>
              <w:right w:val="single" w:sz="4" w:space="0" w:color="auto"/>
            </w:tcBorders>
            <w:shd w:val="clear" w:color="000000" w:fill="FFFFFF"/>
            <w:vAlign w:val="center"/>
            <w:hideMark/>
          </w:tcPr>
          <w:p w14:paraId="2B8E8A11"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590" w:type="dxa"/>
            <w:tcBorders>
              <w:top w:val="nil"/>
              <w:left w:val="nil"/>
              <w:bottom w:val="single" w:sz="4" w:space="0" w:color="auto"/>
              <w:right w:val="single" w:sz="4" w:space="0" w:color="auto"/>
            </w:tcBorders>
            <w:shd w:val="clear" w:color="000000" w:fill="FFFFFF"/>
            <w:vAlign w:val="center"/>
            <w:hideMark/>
          </w:tcPr>
          <w:p w14:paraId="165374E9"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590" w:type="dxa"/>
            <w:tcBorders>
              <w:top w:val="nil"/>
              <w:left w:val="nil"/>
              <w:bottom w:val="single" w:sz="4" w:space="0" w:color="auto"/>
              <w:right w:val="single" w:sz="4" w:space="0" w:color="auto"/>
            </w:tcBorders>
            <w:shd w:val="clear" w:color="000000" w:fill="FFFFFF"/>
            <w:vAlign w:val="center"/>
            <w:hideMark/>
          </w:tcPr>
          <w:p w14:paraId="1AB8D41B"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642" w:type="dxa"/>
            <w:tcBorders>
              <w:top w:val="nil"/>
              <w:left w:val="nil"/>
              <w:bottom w:val="single" w:sz="4" w:space="0" w:color="auto"/>
              <w:right w:val="single" w:sz="4" w:space="0" w:color="auto"/>
            </w:tcBorders>
            <w:shd w:val="clear" w:color="000000" w:fill="FFFFFF"/>
            <w:vAlign w:val="center"/>
            <w:hideMark/>
          </w:tcPr>
          <w:p w14:paraId="3FADD1E5"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588" w:type="dxa"/>
            <w:tcBorders>
              <w:top w:val="nil"/>
              <w:left w:val="nil"/>
              <w:bottom w:val="single" w:sz="4" w:space="0" w:color="auto"/>
              <w:right w:val="single" w:sz="4" w:space="0" w:color="auto"/>
            </w:tcBorders>
            <w:shd w:val="clear" w:color="000000" w:fill="FFFFFF"/>
            <w:vAlign w:val="center"/>
            <w:hideMark/>
          </w:tcPr>
          <w:p w14:paraId="0A5A1FFA"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588" w:type="dxa"/>
            <w:tcBorders>
              <w:top w:val="nil"/>
              <w:left w:val="nil"/>
              <w:bottom w:val="single" w:sz="4" w:space="0" w:color="auto"/>
              <w:right w:val="single" w:sz="4" w:space="0" w:color="auto"/>
            </w:tcBorders>
            <w:shd w:val="clear" w:color="000000" w:fill="FFFFFF"/>
            <w:vAlign w:val="center"/>
            <w:hideMark/>
          </w:tcPr>
          <w:p w14:paraId="3E896EDF"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588" w:type="dxa"/>
            <w:tcBorders>
              <w:top w:val="nil"/>
              <w:left w:val="nil"/>
              <w:bottom w:val="single" w:sz="4" w:space="0" w:color="auto"/>
              <w:right w:val="single" w:sz="4" w:space="0" w:color="auto"/>
            </w:tcBorders>
            <w:shd w:val="clear" w:color="000000" w:fill="FFFFFF"/>
            <w:vAlign w:val="center"/>
            <w:hideMark/>
          </w:tcPr>
          <w:p w14:paraId="396F2B91"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588" w:type="dxa"/>
            <w:tcBorders>
              <w:top w:val="nil"/>
              <w:left w:val="nil"/>
              <w:bottom w:val="single" w:sz="4" w:space="0" w:color="auto"/>
              <w:right w:val="single" w:sz="4" w:space="0" w:color="auto"/>
            </w:tcBorders>
            <w:shd w:val="clear" w:color="000000" w:fill="FFFFFF"/>
            <w:vAlign w:val="center"/>
            <w:hideMark/>
          </w:tcPr>
          <w:p w14:paraId="78E7293F"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873" w:type="dxa"/>
            <w:tcBorders>
              <w:top w:val="nil"/>
              <w:left w:val="nil"/>
              <w:bottom w:val="single" w:sz="4" w:space="0" w:color="auto"/>
              <w:right w:val="single" w:sz="4" w:space="0" w:color="auto"/>
            </w:tcBorders>
            <w:shd w:val="clear" w:color="000000" w:fill="FFFFFF"/>
            <w:vAlign w:val="center"/>
            <w:hideMark/>
          </w:tcPr>
          <w:p w14:paraId="57265257" w14:textId="77777777" w:rsidR="0040414E" w:rsidRPr="0040414E" w:rsidRDefault="0040414E" w:rsidP="0040414E">
            <w:pPr>
              <w:jc w:val="center"/>
              <w:rPr>
                <w:rFonts w:ascii="Arial" w:eastAsia="Times New Roman" w:hAnsi="Arial" w:cs="Arial"/>
                <w:b/>
                <w:bCs/>
                <w:color w:val="000000"/>
                <w:sz w:val="14"/>
                <w:szCs w:val="14"/>
                <w:lang w:val="cs-CZ" w:eastAsia="cs-CZ"/>
              </w:rPr>
            </w:pPr>
            <w:r w:rsidRPr="0040414E">
              <w:rPr>
                <w:rFonts w:ascii="Arial" w:eastAsia="Times New Roman" w:hAnsi="Arial" w:cs="Arial"/>
                <w:b/>
                <w:bCs/>
                <w:color w:val="000000"/>
                <w:sz w:val="14"/>
                <w:szCs w:val="14"/>
                <w:lang w:val="cs-CZ" w:eastAsia="cs-CZ"/>
              </w:rPr>
              <w:t>Ž</w:t>
            </w:r>
          </w:p>
        </w:tc>
        <w:tc>
          <w:tcPr>
            <w:tcW w:w="731" w:type="dxa"/>
            <w:vMerge/>
            <w:tcBorders>
              <w:top w:val="single" w:sz="4" w:space="0" w:color="auto"/>
              <w:left w:val="single" w:sz="4" w:space="0" w:color="auto"/>
              <w:bottom w:val="single" w:sz="4" w:space="0" w:color="000000"/>
              <w:right w:val="single" w:sz="4" w:space="0" w:color="auto"/>
            </w:tcBorders>
            <w:vAlign w:val="center"/>
            <w:hideMark/>
          </w:tcPr>
          <w:p w14:paraId="7431C891" w14:textId="77777777" w:rsidR="0040414E" w:rsidRPr="0040414E" w:rsidRDefault="0040414E" w:rsidP="0040414E">
            <w:pPr>
              <w:rPr>
                <w:rFonts w:ascii="Arial" w:eastAsia="Times New Roman" w:hAnsi="Arial" w:cs="Arial"/>
                <w:b/>
                <w:bCs/>
                <w:color w:val="000000"/>
                <w:sz w:val="14"/>
                <w:szCs w:val="14"/>
                <w:lang w:val="cs-CZ" w:eastAsia="cs-CZ"/>
              </w:rPr>
            </w:pPr>
          </w:p>
        </w:tc>
      </w:tr>
      <w:tr w:rsidR="0040414E" w:rsidRPr="0040414E" w14:paraId="3644B7AE" w14:textId="77777777" w:rsidTr="001B767A">
        <w:trPr>
          <w:trHeight w:val="20"/>
        </w:trPr>
        <w:tc>
          <w:tcPr>
            <w:tcW w:w="53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82A1CD"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62600</w:t>
            </w:r>
            <w:r w:rsidRPr="0040414E">
              <w:rPr>
                <w:rFonts w:ascii="Arial" w:eastAsia="Times New Roman" w:hAnsi="Arial" w:cs="Arial"/>
                <w:color w:val="000000"/>
                <w:sz w:val="14"/>
                <w:szCs w:val="14"/>
                <w:lang w:val="cs-CZ" w:eastAsia="cs-CZ"/>
              </w:rPr>
              <w:br/>
              <w:t>CR03</w:t>
            </w:r>
          </w:p>
        </w:tc>
        <w:tc>
          <w:tcPr>
            <w:tcW w:w="23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86183A"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Účastníci, kteří získali kvalifikaci po ukončení své účasti</w:t>
            </w:r>
          </w:p>
        </w:tc>
        <w:tc>
          <w:tcPr>
            <w:tcW w:w="11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5C5258"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Méně rozvinuté regiony</w:t>
            </w:r>
          </w:p>
        </w:tc>
        <w:tc>
          <w:tcPr>
            <w:tcW w:w="28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CFDBAD"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81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2B504A"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Osoby</w:t>
            </w:r>
          </w:p>
        </w:tc>
        <w:tc>
          <w:tcPr>
            <w:tcW w:w="7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B41BEB"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15 085,000</w:t>
            </w:r>
          </w:p>
        </w:tc>
        <w:tc>
          <w:tcPr>
            <w:tcW w:w="5943" w:type="dxa"/>
            <w:gridSpan w:val="10"/>
            <w:tcBorders>
              <w:top w:val="single" w:sz="4" w:space="0" w:color="auto"/>
              <w:left w:val="nil"/>
              <w:bottom w:val="single" w:sz="4" w:space="0" w:color="auto"/>
              <w:right w:val="single" w:sz="4" w:space="0" w:color="000000"/>
            </w:tcBorders>
            <w:shd w:val="clear" w:color="000000" w:fill="FFFFFF"/>
            <w:vAlign w:val="center"/>
            <w:hideMark/>
          </w:tcPr>
          <w:p w14:paraId="799FFBEE" w14:textId="77777777" w:rsidR="0040414E" w:rsidRPr="0040414E" w:rsidRDefault="0040414E" w:rsidP="0040414E">
            <w:pPr>
              <w:jc w:val="cente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873" w:type="dxa"/>
            <w:tcBorders>
              <w:top w:val="nil"/>
              <w:left w:val="nil"/>
              <w:bottom w:val="single" w:sz="4" w:space="0" w:color="auto"/>
              <w:right w:val="single" w:sz="4" w:space="0" w:color="auto"/>
            </w:tcBorders>
            <w:shd w:val="clear" w:color="000000" w:fill="FFFFFF"/>
            <w:vAlign w:val="center"/>
            <w:hideMark/>
          </w:tcPr>
          <w:p w14:paraId="0990D971"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5 385,000</w:t>
            </w:r>
          </w:p>
        </w:tc>
        <w:tc>
          <w:tcPr>
            <w:tcW w:w="73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F280D2" w14:textId="77777777" w:rsidR="0040414E" w:rsidRPr="0040414E" w:rsidRDefault="0040414E" w:rsidP="0040414E">
            <w:pPr>
              <w:jc w:val="cente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35,698%</w:t>
            </w:r>
          </w:p>
        </w:tc>
      </w:tr>
      <w:tr w:rsidR="0040414E" w:rsidRPr="0040414E" w14:paraId="47759432" w14:textId="77777777" w:rsidTr="001B767A">
        <w:trPr>
          <w:trHeight w:val="20"/>
        </w:trPr>
        <w:tc>
          <w:tcPr>
            <w:tcW w:w="538" w:type="dxa"/>
            <w:vMerge/>
            <w:tcBorders>
              <w:top w:val="nil"/>
              <w:left w:val="single" w:sz="4" w:space="0" w:color="auto"/>
              <w:bottom w:val="single" w:sz="4" w:space="0" w:color="auto"/>
              <w:right w:val="single" w:sz="4" w:space="0" w:color="auto"/>
            </w:tcBorders>
            <w:vAlign w:val="center"/>
            <w:hideMark/>
          </w:tcPr>
          <w:p w14:paraId="05475B51" w14:textId="77777777" w:rsidR="0040414E" w:rsidRPr="0040414E" w:rsidRDefault="0040414E" w:rsidP="0040414E">
            <w:pPr>
              <w:rPr>
                <w:rFonts w:ascii="Arial" w:eastAsia="Times New Roman" w:hAnsi="Arial" w:cs="Arial"/>
                <w:color w:val="000000"/>
                <w:sz w:val="14"/>
                <w:szCs w:val="14"/>
                <w:lang w:val="cs-CZ" w:eastAsia="cs-CZ"/>
              </w:rPr>
            </w:pPr>
          </w:p>
        </w:tc>
        <w:tc>
          <w:tcPr>
            <w:tcW w:w="2320" w:type="dxa"/>
            <w:vMerge/>
            <w:tcBorders>
              <w:top w:val="nil"/>
              <w:left w:val="single" w:sz="4" w:space="0" w:color="auto"/>
              <w:bottom w:val="single" w:sz="4" w:space="0" w:color="auto"/>
              <w:right w:val="single" w:sz="4" w:space="0" w:color="auto"/>
            </w:tcBorders>
            <w:vAlign w:val="center"/>
            <w:hideMark/>
          </w:tcPr>
          <w:p w14:paraId="1D86E262" w14:textId="77777777" w:rsidR="0040414E" w:rsidRPr="0040414E" w:rsidRDefault="0040414E" w:rsidP="0040414E">
            <w:pPr>
              <w:rPr>
                <w:rFonts w:ascii="Arial" w:eastAsia="Times New Roman" w:hAnsi="Arial" w:cs="Arial"/>
                <w:color w:val="000000"/>
                <w:sz w:val="14"/>
                <w:szCs w:val="14"/>
                <w:lang w:val="cs-CZ" w:eastAsia="cs-CZ"/>
              </w:rPr>
            </w:pPr>
          </w:p>
        </w:tc>
        <w:tc>
          <w:tcPr>
            <w:tcW w:w="1106" w:type="dxa"/>
            <w:vMerge/>
            <w:tcBorders>
              <w:top w:val="nil"/>
              <w:left w:val="single" w:sz="4" w:space="0" w:color="auto"/>
              <w:bottom w:val="single" w:sz="4" w:space="0" w:color="auto"/>
              <w:right w:val="single" w:sz="4" w:space="0" w:color="auto"/>
            </w:tcBorders>
            <w:vAlign w:val="center"/>
            <w:hideMark/>
          </w:tcPr>
          <w:p w14:paraId="5AA786AB" w14:textId="77777777" w:rsidR="0040414E" w:rsidRPr="0040414E" w:rsidRDefault="0040414E" w:rsidP="0040414E">
            <w:pPr>
              <w:rPr>
                <w:rFonts w:ascii="Arial" w:eastAsia="Times New Roman" w:hAnsi="Arial" w:cs="Arial"/>
                <w:color w:val="000000"/>
                <w:sz w:val="14"/>
                <w:szCs w:val="14"/>
                <w:lang w:val="cs-CZ" w:eastAsia="cs-CZ"/>
              </w:rPr>
            </w:pPr>
          </w:p>
        </w:tc>
        <w:tc>
          <w:tcPr>
            <w:tcW w:w="2857" w:type="dxa"/>
            <w:vMerge/>
            <w:tcBorders>
              <w:top w:val="nil"/>
              <w:left w:val="single" w:sz="4" w:space="0" w:color="auto"/>
              <w:bottom w:val="single" w:sz="4" w:space="0" w:color="auto"/>
              <w:right w:val="single" w:sz="4" w:space="0" w:color="auto"/>
            </w:tcBorders>
            <w:vAlign w:val="center"/>
            <w:hideMark/>
          </w:tcPr>
          <w:p w14:paraId="67E62962" w14:textId="77777777" w:rsidR="0040414E" w:rsidRPr="0040414E" w:rsidRDefault="0040414E" w:rsidP="0040414E">
            <w:pPr>
              <w:rPr>
                <w:rFonts w:ascii="Arial" w:eastAsia="Times New Roman" w:hAnsi="Arial" w:cs="Arial"/>
                <w:color w:val="000000"/>
                <w:sz w:val="14"/>
                <w:szCs w:val="14"/>
                <w:lang w:val="cs-CZ" w:eastAsia="cs-CZ"/>
              </w:rPr>
            </w:pPr>
          </w:p>
        </w:tc>
        <w:tc>
          <w:tcPr>
            <w:tcW w:w="814" w:type="dxa"/>
            <w:vMerge/>
            <w:tcBorders>
              <w:top w:val="nil"/>
              <w:left w:val="single" w:sz="4" w:space="0" w:color="auto"/>
              <w:bottom w:val="single" w:sz="4" w:space="0" w:color="auto"/>
              <w:right w:val="single" w:sz="4" w:space="0" w:color="auto"/>
            </w:tcBorders>
            <w:vAlign w:val="center"/>
            <w:hideMark/>
          </w:tcPr>
          <w:p w14:paraId="03CE7796" w14:textId="77777777" w:rsidR="0040414E" w:rsidRPr="0040414E" w:rsidRDefault="0040414E" w:rsidP="0040414E">
            <w:pPr>
              <w:rPr>
                <w:rFonts w:ascii="Arial" w:eastAsia="Times New Roman" w:hAnsi="Arial" w:cs="Arial"/>
                <w:color w:val="000000"/>
                <w:sz w:val="14"/>
                <w:szCs w:val="14"/>
                <w:lang w:val="cs-CZ" w:eastAsia="cs-CZ"/>
              </w:rPr>
            </w:pPr>
          </w:p>
        </w:tc>
        <w:tc>
          <w:tcPr>
            <w:tcW w:w="771" w:type="dxa"/>
            <w:vMerge/>
            <w:tcBorders>
              <w:top w:val="nil"/>
              <w:left w:val="single" w:sz="4" w:space="0" w:color="auto"/>
              <w:bottom w:val="single" w:sz="4" w:space="0" w:color="auto"/>
              <w:right w:val="single" w:sz="4" w:space="0" w:color="auto"/>
            </w:tcBorders>
            <w:vAlign w:val="center"/>
            <w:hideMark/>
          </w:tcPr>
          <w:p w14:paraId="22CE66F2" w14:textId="77777777" w:rsidR="0040414E" w:rsidRPr="0040414E" w:rsidRDefault="0040414E" w:rsidP="0040414E">
            <w:pPr>
              <w:rPr>
                <w:rFonts w:ascii="Arial" w:eastAsia="Times New Roman" w:hAnsi="Arial" w:cs="Arial"/>
                <w:color w:val="000000"/>
                <w:sz w:val="14"/>
                <w:szCs w:val="14"/>
                <w:lang w:val="cs-CZ" w:eastAsia="cs-CZ"/>
              </w:rPr>
            </w:pPr>
          </w:p>
        </w:tc>
        <w:tc>
          <w:tcPr>
            <w:tcW w:w="589" w:type="dxa"/>
            <w:tcBorders>
              <w:top w:val="nil"/>
              <w:left w:val="nil"/>
              <w:bottom w:val="single" w:sz="4" w:space="0" w:color="auto"/>
              <w:right w:val="single" w:sz="4" w:space="0" w:color="auto"/>
            </w:tcBorders>
            <w:shd w:val="clear" w:color="000000" w:fill="FFFFFF"/>
            <w:vAlign w:val="center"/>
            <w:hideMark/>
          </w:tcPr>
          <w:p w14:paraId="63502741"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89" w:type="dxa"/>
            <w:tcBorders>
              <w:top w:val="nil"/>
              <w:left w:val="nil"/>
              <w:bottom w:val="single" w:sz="4" w:space="0" w:color="auto"/>
              <w:right w:val="single" w:sz="4" w:space="0" w:color="auto"/>
            </w:tcBorders>
            <w:shd w:val="clear" w:color="000000" w:fill="FFFFFF"/>
            <w:vAlign w:val="center"/>
            <w:hideMark/>
          </w:tcPr>
          <w:p w14:paraId="14FEE48C"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89" w:type="dxa"/>
            <w:tcBorders>
              <w:top w:val="nil"/>
              <w:left w:val="nil"/>
              <w:bottom w:val="single" w:sz="4" w:space="0" w:color="auto"/>
              <w:right w:val="single" w:sz="4" w:space="0" w:color="auto"/>
            </w:tcBorders>
            <w:shd w:val="clear" w:color="000000" w:fill="FFFFFF"/>
            <w:vAlign w:val="center"/>
            <w:hideMark/>
          </w:tcPr>
          <w:p w14:paraId="119292F9"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90" w:type="dxa"/>
            <w:tcBorders>
              <w:top w:val="nil"/>
              <w:left w:val="nil"/>
              <w:bottom w:val="single" w:sz="4" w:space="0" w:color="auto"/>
              <w:right w:val="single" w:sz="4" w:space="0" w:color="auto"/>
            </w:tcBorders>
            <w:shd w:val="clear" w:color="000000" w:fill="FFFFFF"/>
            <w:vAlign w:val="center"/>
            <w:hideMark/>
          </w:tcPr>
          <w:p w14:paraId="3F1D1234"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17,000</w:t>
            </w:r>
          </w:p>
        </w:tc>
        <w:tc>
          <w:tcPr>
            <w:tcW w:w="590" w:type="dxa"/>
            <w:tcBorders>
              <w:top w:val="nil"/>
              <w:left w:val="nil"/>
              <w:bottom w:val="single" w:sz="4" w:space="0" w:color="auto"/>
              <w:right w:val="single" w:sz="4" w:space="0" w:color="auto"/>
            </w:tcBorders>
            <w:shd w:val="clear" w:color="000000" w:fill="FFFFFF"/>
            <w:vAlign w:val="center"/>
            <w:hideMark/>
          </w:tcPr>
          <w:p w14:paraId="59503420"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378,000</w:t>
            </w:r>
          </w:p>
        </w:tc>
        <w:tc>
          <w:tcPr>
            <w:tcW w:w="642" w:type="dxa"/>
            <w:tcBorders>
              <w:top w:val="nil"/>
              <w:left w:val="nil"/>
              <w:bottom w:val="single" w:sz="4" w:space="0" w:color="auto"/>
              <w:right w:val="single" w:sz="4" w:space="0" w:color="auto"/>
            </w:tcBorders>
            <w:shd w:val="clear" w:color="000000" w:fill="FFFFFF"/>
            <w:vAlign w:val="center"/>
            <w:hideMark/>
          </w:tcPr>
          <w:p w14:paraId="74EC844B"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2 268,000</w:t>
            </w:r>
          </w:p>
        </w:tc>
        <w:tc>
          <w:tcPr>
            <w:tcW w:w="588" w:type="dxa"/>
            <w:tcBorders>
              <w:top w:val="nil"/>
              <w:left w:val="nil"/>
              <w:bottom w:val="single" w:sz="4" w:space="0" w:color="auto"/>
              <w:right w:val="single" w:sz="4" w:space="0" w:color="auto"/>
            </w:tcBorders>
            <w:shd w:val="clear" w:color="000000" w:fill="FFFFFF"/>
            <w:vAlign w:val="center"/>
            <w:hideMark/>
          </w:tcPr>
          <w:p w14:paraId="309C14D4"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6ED7CBED"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67B724CD"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780BC747"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873" w:type="dxa"/>
            <w:tcBorders>
              <w:top w:val="nil"/>
              <w:left w:val="nil"/>
              <w:bottom w:val="single" w:sz="4" w:space="0" w:color="auto"/>
              <w:right w:val="single" w:sz="4" w:space="0" w:color="auto"/>
            </w:tcBorders>
            <w:shd w:val="clear" w:color="000000" w:fill="FFFFFF"/>
            <w:vAlign w:val="center"/>
            <w:hideMark/>
          </w:tcPr>
          <w:p w14:paraId="76E8E3D4"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2 663,000</w:t>
            </w:r>
          </w:p>
        </w:tc>
        <w:tc>
          <w:tcPr>
            <w:tcW w:w="731" w:type="dxa"/>
            <w:vMerge/>
            <w:tcBorders>
              <w:top w:val="nil"/>
              <w:left w:val="single" w:sz="4" w:space="0" w:color="auto"/>
              <w:bottom w:val="single" w:sz="4" w:space="0" w:color="000000"/>
              <w:right w:val="single" w:sz="4" w:space="0" w:color="auto"/>
            </w:tcBorders>
            <w:vAlign w:val="center"/>
            <w:hideMark/>
          </w:tcPr>
          <w:p w14:paraId="5F7931BA" w14:textId="77777777" w:rsidR="0040414E" w:rsidRPr="0040414E" w:rsidRDefault="0040414E" w:rsidP="0040414E">
            <w:pPr>
              <w:rPr>
                <w:rFonts w:ascii="Arial" w:eastAsia="Times New Roman" w:hAnsi="Arial" w:cs="Arial"/>
                <w:color w:val="000000"/>
                <w:sz w:val="14"/>
                <w:szCs w:val="14"/>
                <w:lang w:val="cs-CZ" w:eastAsia="cs-CZ"/>
              </w:rPr>
            </w:pPr>
          </w:p>
        </w:tc>
      </w:tr>
      <w:tr w:rsidR="0040414E" w:rsidRPr="0040414E" w14:paraId="5A78DF9E" w14:textId="77777777" w:rsidTr="001B767A">
        <w:trPr>
          <w:trHeight w:val="20"/>
        </w:trPr>
        <w:tc>
          <w:tcPr>
            <w:tcW w:w="538" w:type="dxa"/>
            <w:vMerge/>
            <w:tcBorders>
              <w:top w:val="nil"/>
              <w:left w:val="single" w:sz="4" w:space="0" w:color="auto"/>
              <w:bottom w:val="single" w:sz="4" w:space="0" w:color="auto"/>
              <w:right w:val="single" w:sz="4" w:space="0" w:color="auto"/>
            </w:tcBorders>
            <w:vAlign w:val="center"/>
            <w:hideMark/>
          </w:tcPr>
          <w:p w14:paraId="04C32406" w14:textId="77777777" w:rsidR="0040414E" w:rsidRPr="0040414E" w:rsidRDefault="0040414E" w:rsidP="0040414E">
            <w:pPr>
              <w:rPr>
                <w:rFonts w:ascii="Arial" w:eastAsia="Times New Roman" w:hAnsi="Arial" w:cs="Arial"/>
                <w:color w:val="000000"/>
                <w:sz w:val="14"/>
                <w:szCs w:val="14"/>
                <w:lang w:val="cs-CZ" w:eastAsia="cs-CZ"/>
              </w:rPr>
            </w:pPr>
          </w:p>
        </w:tc>
        <w:tc>
          <w:tcPr>
            <w:tcW w:w="2320" w:type="dxa"/>
            <w:vMerge/>
            <w:tcBorders>
              <w:top w:val="nil"/>
              <w:left w:val="single" w:sz="4" w:space="0" w:color="auto"/>
              <w:bottom w:val="single" w:sz="4" w:space="0" w:color="auto"/>
              <w:right w:val="single" w:sz="4" w:space="0" w:color="auto"/>
            </w:tcBorders>
            <w:vAlign w:val="center"/>
            <w:hideMark/>
          </w:tcPr>
          <w:p w14:paraId="4D49B632" w14:textId="77777777" w:rsidR="0040414E" w:rsidRPr="0040414E" w:rsidRDefault="0040414E" w:rsidP="0040414E">
            <w:pPr>
              <w:rPr>
                <w:rFonts w:ascii="Arial" w:eastAsia="Times New Roman" w:hAnsi="Arial" w:cs="Arial"/>
                <w:color w:val="000000"/>
                <w:sz w:val="14"/>
                <w:szCs w:val="14"/>
                <w:lang w:val="cs-CZ" w:eastAsia="cs-CZ"/>
              </w:rPr>
            </w:pPr>
          </w:p>
        </w:tc>
        <w:tc>
          <w:tcPr>
            <w:tcW w:w="1106" w:type="dxa"/>
            <w:vMerge/>
            <w:tcBorders>
              <w:top w:val="nil"/>
              <w:left w:val="single" w:sz="4" w:space="0" w:color="auto"/>
              <w:bottom w:val="single" w:sz="4" w:space="0" w:color="auto"/>
              <w:right w:val="single" w:sz="4" w:space="0" w:color="auto"/>
            </w:tcBorders>
            <w:vAlign w:val="center"/>
            <w:hideMark/>
          </w:tcPr>
          <w:p w14:paraId="1FDF88F6" w14:textId="77777777" w:rsidR="0040414E" w:rsidRPr="0040414E" w:rsidRDefault="0040414E" w:rsidP="0040414E">
            <w:pPr>
              <w:rPr>
                <w:rFonts w:ascii="Arial" w:eastAsia="Times New Roman" w:hAnsi="Arial" w:cs="Arial"/>
                <w:color w:val="000000"/>
                <w:sz w:val="14"/>
                <w:szCs w:val="14"/>
                <w:lang w:val="cs-CZ" w:eastAsia="cs-CZ"/>
              </w:rPr>
            </w:pPr>
          </w:p>
        </w:tc>
        <w:tc>
          <w:tcPr>
            <w:tcW w:w="2857" w:type="dxa"/>
            <w:vMerge/>
            <w:tcBorders>
              <w:top w:val="nil"/>
              <w:left w:val="single" w:sz="4" w:space="0" w:color="auto"/>
              <w:bottom w:val="single" w:sz="4" w:space="0" w:color="auto"/>
              <w:right w:val="single" w:sz="4" w:space="0" w:color="auto"/>
            </w:tcBorders>
            <w:vAlign w:val="center"/>
            <w:hideMark/>
          </w:tcPr>
          <w:p w14:paraId="5D961550" w14:textId="77777777" w:rsidR="0040414E" w:rsidRPr="0040414E" w:rsidRDefault="0040414E" w:rsidP="0040414E">
            <w:pPr>
              <w:rPr>
                <w:rFonts w:ascii="Arial" w:eastAsia="Times New Roman" w:hAnsi="Arial" w:cs="Arial"/>
                <w:color w:val="000000"/>
                <w:sz w:val="14"/>
                <w:szCs w:val="14"/>
                <w:lang w:val="cs-CZ" w:eastAsia="cs-CZ"/>
              </w:rPr>
            </w:pPr>
          </w:p>
        </w:tc>
        <w:tc>
          <w:tcPr>
            <w:tcW w:w="814" w:type="dxa"/>
            <w:vMerge/>
            <w:tcBorders>
              <w:top w:val="nil"/>
              <w:left w:val="single" w:sz="4" w:space="0" w:color="auto"/>
              <w:bottom w:val="single" w:sz="4" w:space="0" w:color="auto"/>
              <w:right w:val="single" w:sz="4" w:space="0" w:color="auto"/>
            </w:tcBorders>
            <w:vAlign w:val="center"/>
            <w:hideMark/>
          </w:tcPr>
          <w:p w14:paraId="61BC96FF" w14:textId="77777777" w:rsidR="0040414E" w:rsidRPr="0040414E" w:rsidRDefault="0040414E" w:rsidP="0040414E">
            <w:pPr>
              <w:rPr>
                <w:rFonts w:ascii="Arial" w:eastAsia="Times New Roman" w:hAnsi="Arial" w:cs="Arial"/>
                <w:color w:val="000000"/>
                <w:sz w:val="14"/>
                <w:szCs w:val="14"/>
                <w:lang w:val="cs-CZ" w:eastAsia="cs-CZ"/>
              </w:rPr>
            </w:pPr>
          </w:p>
        </w:tc>
        <w:tc>
          <w:tcPr>
            <w:tcW w:w="771" w:type="dxa"/>
            <w:vMerge/>
            <w:tcBorders>
              <w:top w:val="nil"/>
              <w:left w:val="single" w:sz="4" w:space="0" w:color="auto"/>
              <w:bottom w:val="single" w:sz="4" w:space="0" w:color="auto"/>
              <w:right w:val="single" w:sz="4" w:space="0" w:color="auto"/>
            </w:tcBorders>
            <w:vAlign w:val="center"/>
            <w:hideMark/>
          </w:tcPr>
          <w:p w14:paraId="1AF994EC" w14:textId="77777777" w:rsidR="0040414E" w:rsidRPr="0040414E" w:rsidRDefault="0040414E" w:rsidP="0040414E">
            <w:pPr>
              <w:rPr>
                <w:rFonts w:ascii="Arial" w:eastAsia="Times New Roman" w:hAnsi="Arial" w:cs="Arial"/>
                <w:color w:val="000000"/>
                <w:sz w:val="14"/>
                <w:szCs w:val="14"/>
                <w:lang w:val="cs-CZ" w:eastAsia="cs-CZ"/>
              </w:rPr>
            </w:pPr>
          </w:p>
        </w:tc>
        <w:tc>
          <w:tcPr>
            <w:tcW w:w="589" w:type="dxa"/>
            <w:tcBorders>
              <w:top w:val="nil"/>
              <w:left w:val="nil"/>
              <w:bottom w:val="single" w:sz="4" w:space="0" w:color="auto"/>
              <w:right w:val="single" w:sz="4" w:space="0" w:color="auto"/>
            </w:tcBorders>
            <w:shd w:val="clear" w:color="000000" w:fill="FFFFFF"/>
            <w:vAlign w:val="center"/>
            <w:hideMark/>
          </w:tcPr>
          <w:p w14:paraId="73D2E4DE"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89" w:type="dxa"/>
            <w:tcBorders>
              <w:top w:val="nil"/>
              <w:left w:val="nil"/>
              <w:bottom w:val="single" w:sz="4" w:space="0" w:color="auto"/>
              <w:right w:val="single" w:sz="4" w:space="0" w:color="auto"/>
            </w:tcBorders>
            <w:shd w:val="clear" w:color="000000" w:fill="FFFFFF"/>
            <w:vAlign w:val="center"/>
            <w:hideMark/>
          </w:tcPr>
          <w:p w14:paraId="7CA30F42"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89" w:type="dxa"/>
            <w:tcBorders>
              <w:top w:val="nil"/>
              <w:left w:val="nil"/>
              <w:bottom w:val="single" w:sz="4" w:space="0" w:color="auto"/>
              <w:right w:val="single" w:sz="4" w:space="0" w:color="auto"/>
            </w:tcBorders>
            <w:shd w:val="clear" w:color="000000" w:fill="FFFFFF"/>
            <w:vAlign w:val="center"/>
            <w:hideMark/>
          </w:tcPr>
          <w:p w14:paraId="168D4580"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90" w:type="dxa"/>
            <w:tcBorders>
              <w:top w:val="nil"/>
              <w:left w:val="nil"/>
              <w:bottom w:val="single" w:sz="4" w:space="0" w:color="auto"/>
              <w:right w:val="single" w:sz="4" w:space="0" w:color="auto"/>
            </w:tcBorders>
            <w:shd w:val="clear" w:color="000000" w:fill="FFFFFF"/>
            <w:vAlign w:val="center"/>
            <w:hideMark/>
          </w:tcPr>
          <w:p w14:paraId="44AFEFFB"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21,000</w:t>
            </w:r>
          </w:p>
        </w:tc>
        <w:tc>
          <w:tcPr>
            <w:tcW w:w="590" w:type="dxa"/>
            <w:tcBorders>
              <w:top w:val="nil"/>
              <w:left w:val="nil"/>
              <w:bottom w:val="single" w:sz="4" w:space="0" w:color="auto"/>
              <w:right w:val="single" w:sz="4" w:space="0" w:color="auto"/>
            </w:tcBorders>
            <w:shd w:val="clear" w:color="000000" w:fill="FFFFFF"/>
            <w:vAlign w:val="center"/>
            <w:hideMark/>
          </w:tcPr>
          <w:p w14:paraId="2C9637AB"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612,000</w:t>
            </w:r>
          </w:p>
        </w:tc>
        <w:tc>
          <w:tcPr>
            <w:tcW w:w="642" w:type="dxa"/>
            <w:tcBorders>
              <w:top w:val="nil"/>
              <w:left w:val="nil"/>
              <w:bottom w:val="single" w:sz="4" w:space="0" w:color="auto"/>
              <w:right w:val="single" w:sz="4" w:space="0" w:color="auto"/>
            </w:tcBorders>
            <w:shd w:val="clear" w:color="000000" w:fill="FFFFFF"/>
            <w:vAlign w:val="center"/>
            <w:hideMark/>
          </w:tcPr>
          <w:p w14:paraId="19E2598A"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2 089,000</w:t>
            </w:r>
          </w:p>
        </w:tc>
        <w:tc>
          <w:tcPr>
            <w:tcW w:w="588" w:type="dxa"/>
            <w:tcBorders>
              <w:top w:val="nil"/>
              <w:left w:val="nil"/>
              <w:bottom w:val="single" w:sz="4" w:space="0" w:color="auto"/>
              <w:right w:val="single" w:sz="4" w:space="0" w:color="auto"/>
            </w:tcBorders>
            <w:shd w:val="clear" w:color="000000" w:fill="FFFFFF"/>
            <w:vAlign w:val="center"/>
            <w:hideMark/>
          </w:tcPr>
          <w:p w14:paraId="1B91C260"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41DA9C0A"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7AA10A30"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0F10DC7C"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873" w:type="dxa"/>
            <w:tcBorders>
              <w:top w:val="nil"/>
              <w:left w:val="nil"/>
              <w:bottom w:val="single" w:sz="4" w:space="0" w:color="auto"/>
              <w:right w:val="single" w:sz="4" w:space="0" w:color="auto"/>
            </w:tcBorders>
            <w:shd w:val="clear" w:color="000000" w:fill="FFFFFF"/>
            <w:vAlign w:val="center"/>
            <w:hideMark/>
          </w:tcPr>
          <w:p w14:paraId="14E73D11"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2 722,000</w:t>
            </w:r>
          </w:p>
        </w:tc>
        <w:tc>
          <w:tcPr>
            <w:tcW w:w="731" w:type="dxa"/>
            <w:vMerge/>
            <w:tcBorders>
              <w:top w:val="nil"/>
              <w:left w:val="single" w:sz="4" w:space="0" w:color="auto"/>
              <w:bottom w:val="single" w:sz="4" w:space="0" w:color="000000"/>
              <w:right w:val="single" w:sz="4" w:space="0" w:color="auto"/>
            </w:tcBorders>
            <w:vAlign w:val="center"/>
            <w:hideMark/>
          </w:tcPr>
          <w:p w14:paraId="061E7B9D" w14:textId="77777777" w:rsidR="0040414E" w:rsidRPr="0040414E" w:rsidRDefault="0040414E" w:rsidP="0040414E">
            <w:pPr>
              <w:rPr>
                <w:rFonts w:ascii="Arial" w:eastAsia="Times New Roman" w:hAnsi="Arial" w:cs="Arial"/>
                <w:color w:val="000000"/>
                <w:sz w:val="14"/>
                <w:szCs w:val="14"/>
                <w:lang w:val="cs-CZ" w:eastAsia="cs-CZ"/>
              </w:rPr>
            </w:pPr>
          </w:p>
        </w:tc>
      </w:tr>
      <w:tr w:rsidR="0040414E" w:rsidRPr="0040414E" w14:paraId="7DC473CF" w14:textId="77777777" w:rsidTr="001B767A">
        <w:trPr>
          <w:trHeight w:val="20"/>
        </w:trPr>
        <w:tc>
          <w:tcPr>
            <w:tcW w:w="53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27A955"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62600</w:t>
            </w:r>
            <w:r w:rsidRPr="0040414E">
              <w:rPr>
                <w:rFonts w:ascii="Arial" w:eastAsia="Times New Roman" w:hAnsi="Arial" w:cs="Arial"/>
                <w:color w:val="000000"/>
                <w:sz w:val="14"/>
                <w:szCs w:val="14"/>
                <w:lang w:val="cs-CZ" w:eastAsia="cs-CZ"/>
              </w:rPr>
              <w:br/>
              <w:t>CR03</w:t>
            </w:r>
          </w:p>
        </w:tc>
        <w:tc>
          <w:tcPr>
            <w:tcW w:w="23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98022A"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Účastníci, kteří získali kvalifikaci po ukončení své účasti</w:t>
            </w:r>
          </w:p>
        </w:tc>
        <w:tc>
          <w:tcPr>
            <w:tcW w:w="11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97C864"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Více rozvinuté regiony</w:t>
            </w:r>
          </w:p>
        </w:tc>
        <w:tc>
          <w:tcPr>
            <w:tcW w:w="28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EF9AF0"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60100 Nezaměstnaní účastníci, včetně dlouhodobě nezaměstnaných, 60500 Zaměstnaní, včetně OSVČ</w:t>
            </w:r>
          </w:p>
        </w:tc>
        <w:tc>
          <w:tcPr>
            <w:tcW w:w="81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17D7B6"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Osoby</w:t>
            </w:r>
          </w:p>
        </w:tc>
        <w:tc>
          <w:tcPr>
            <w:tcW w:w="77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BB1198"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1 515,000</w:t>
            </w:r>
          </w:p>
        </w:tc>
        <w:tc>
          <w:tcPr>
            <w:tcW w:w="5943" w:type="dxa"/>
            <w:gridSpan w:val="10"/>
            <w:tcBorders>
              <w:top w:val="single" w:sz="4" w:space="0" w:color="auto"/>
              <w:left w:val="nil"/>
              <w:bottom w:val="single" w:sz="4" w:space="0" w:color="auto"/>
              <w:right w:val="single" w:sz="4" w:space="0" w:color="000000"/>
            </w:tcBorders>
            <w:shd w:val="clear" w:color="000000" w:fill="FFFFFF"/>
            <w:vAlign w:val="center"/>
            <w:hideMark/>
          </w:tcPr>
          <w:p w14:paraId="0C9EE211" w14:textId="77777777" w:rsidR="0040414E" w:rsidRPr="0040414E" w:rsidRDefault="0040414E" w:rsidP="0040414E">
            <w:pPr>
              <w:jc w:val="cente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873" w:type="dxa"/>
            <w:tcBorders>
              <w:top w:val="nil"/>
              <w:left w:val="nil"/>
              <w:bottom w:val="single" w:sz="4" w:space="0" w:color="auto"/>
              <w:right w:val="single" w:sz="4" w:space="0" w:color="auto"/>
            </w:tcBorders>
            <w:shd w:val="clear" w:color="000000" w:fill="FFFFFF"/>
            <w:vAlign w:val="center"/>
            <w:hideMark/>
          </w:tcPr>
          <w:p w14:paraId="465364BE"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610,000</w:t>
            </w:r>
          </w:p>
        </w:tc>
        <w:tc>
          <w:tcPr>
            <w:tcW w:w="73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4C9A34" w14:textId="77777777" w:rsidR="0040414E" w:rsidRPr="0040414E" w:rsidRDefault="0040414E" w:rsidP="0040414E">
            <w:pPr>
              <w:jc w:val="cente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40,264%</w:t>
            </w:r>
          </w:p>
        </w:tc>
      </w:tr>
      <w:tr w:rsidR="0040414E" w:rsidRPr="0040414E" w14:paraId="323642B8" w14:textId="77777777" w:rsidTr="001B767A">
        <w:trPr>
          <w:trHeight w:val="20"/>
        </w:trPr>
        <w:tc>
          <w:tcPr>
            <w:tcW w:w="538" w:type="dxa"/>
            <w:vMerge/>
            <w:tcBorders>
              <w:top w:val="nil"/>
              <w:left w:val="single" w:sz="4" w:space="0" w:color="auto"/>
              <w:bottom w:val="single" w:sz="4" w:space="0" w:color="auto"/>
              <w:right w:val="single" w:sz="4" w:space="0" w:color="auto"/>
            </w:tcBorders>
            <w:vAlign w:val="center"/>
            <w:hideMark/>
          </w:tcPr>
          <w:p w14:paraId="749BD1DE" w14:textId="77777777" w:rsidR="0040414E" w:rsidRPr="0040414E" w:rsidRDefault="0040414E" w:rsidP="0040414E">
            <w:pPr>
              <w:rPr>
                <w:rFonts w:ascii="Arial" w:eastAsia="Times New Roman" w:hAnsi="Arial" w:cs="Arial"/>
                <w:color w:val="000000"/>
                <w:sz w:val="14"/>
                <w:szCs w:val="14"/>
                <w:lang w:val="cs-CZ" w:eastAsia="cs-CZ"/>
              </w:rPr>
            </w:pPr>
          </w:p>
        </w:tc>
        <w:tc>
          <w:tcPr>
            <w:tcW w:w="2320" w:type="dxa"/>
            <w:vMerge/>
            <w:tcBorders>
              <w:top w:val="nil"/>
              <w:left w:val="single" w:sz="4" w:space="0" w:color="auto"/>
              <w:bottom w:val="single" w:sz="4" w:space="0" w:color="auto"/>
              <w:right w:val="single" w:sz="4" w:space="0" w:color="auto"/>
            </w:tcBorders>
            <w:vAlign w:val="center"/>
            <w:hideMark/>
          </w:tcPr>
          <w:p w14:paraId="18CF33A7" w14:textId="77777777" w:rsidR="0040414E" w:rsidRPr="0040414E" w:rsidRDefault="0040414E" w:rsidP="0040414E">
            <w:pPr>
              <w:rPr>
                <w:rFonts w:ascii="Arial" w:eastAsia="Times New Roman" w:hAnsi="Arial" w:cs="Arial"/>
                <w:color w:val="000000"/>
                <w:sz w:val="14"/>
                <w:szCs w:val="14"/>
                <w:lang w:val="cs-CZ" w:eastAsia="cs-CZ"/>
              </w:rPr>
            </w:pPr>
          </w:p>
        </w:tc>
        <w:tc>
          <w:tcPr>
            <w:tcW w:w="1106" w:type="dxa"/>
            <w:vMerge/>
            <w:tcBorders>
              <w:top w:val="nil"/>
              <w:left w:val="single" w:sz="4" w:space="0" w:color="auto"/>
              <w:bottom w:val="single" w:sz="4" w:space="0" w:color="auto"/>
              <w:right w:val="single" w:sz="4" w:space="0" w:color="auto"/>
            </w:tcBorders>
            <w:vAlign w:val="center"/>
            <w:hideMark/>
          </w:tcPr>
          <w:p w14:paraId="5FFD46D6" w14:textId="77777777" w:rsidR="0040414E" w:rsidRPr="0040414E" w:rsidRDefault="0040414E" w:rsidP="0040414E">
            <w:pPr>
              <w:rPr>
                <w:rFonts w:ascii="Arial" w:eastAsia="Times New Roman" w:hAnsi="Arial" w:cs="Arial"/>
                <w:color w:val="000000"/>
                <w:sz w:val="14"/>
                <w:szCs w:val="14"/>
                <w:lang w:val="cs-CZ" w:eastAsia="cs-CZ"/>
              </w:rPr>
            </w:pPr>
          </w:p>
        </w:tc>
        <w:tc>
          <w:tcPr>
            <w:tcW w:w="2857" w:type="dxa"/>
            <w:vMerge/>
            <w:tcBorders>
              <w:top w:val="nil"/>
              <w:left w:val="single" w:sz="4" w:space="0" w:color="auto"/>
              <w:bottom w:val="single" w:sz="4" w:space="0" w:color="auto"/>
              <w:right w:val="single" w:sz="4" w:space="0" w:color="auto"/>
            </w:tcBorders>
            <w:vAlign w:val="center"/>
            <w:hideMark/>
          </w:tcPr>
          <w:p w14:paraId="1293704A" w14:textId="77777777" w:rsidR="0040414E" w:rsidRPr="0040414E" w:rsidRDefault="0040414E" w:rsidP="0040414E">
            <w:pPr>
              <w:rPr>
                <w:rFonts w:ascii="Arial" w:eastAsia="Times New Roman" w:hAnsi="Arial" w:cs="Arial"/>
                <w:color w:val="000000"/>
                <w:sz w:val="14"/>
                <w:szCs w:val="14"/>
                <w:lang w:val="cs-CZ" w:eastAsia="cs-CZ"/>
              </w:rPr>
            </w:pPr>
          </w:p>
        </w:tc>
        <w:tc>
          <w:tcPr>
            <w:tcW w:w="814" w:type="dxa"/>
            <w:vMerge/>
            <w:tcBorders>
              <w:top w:val="nil"/>
              <w:left w:val="single" w:sz="4" w:space="0" w:color="auto"/>
              <w:bottom w:val="single" w:sz="4" w:space="0" w:color="auto"/>
              <w:right w:val="single" w:sz="4" w:space="0" w:color="auto"/>
            </w:tcBorders>
            <w:vAlign w:val="center"/>
            <w:hideMark/>
          </w:tcPr>
          <w:p w14:paraId="3D47739E" w14:textId="77777777" w:rsidR="0040414E" w:rsidRPr="0040414E" w:rsidRDefault="0040414E" w:rsidP="0040414E">
            <w:pPr>
              <w:rPr>
                <w:rFonts w:ascii="Arial" w:eastAsia="Times New Roman" w:hAnsi="Arial" w:cs="Arial"/>
                <w:color w:val="000000"/>
                <w:sz w:val="14"/>
                <w:szCs w:val="14"/>
                <w:lang w:val="cs-CZ" w:eastAsia="cs-CZ"/>
              </w:rPr>
            </w:pPr>
          </w:p>
        </w:tc>
        <w:tc>
          <w:tcPr>
            <w:tcW w:w="771" w:type="dxa"/>
            <w:vMerge/>
            <w:tcBorders>
              <w:top w:val="nil"/>
              <w:left w:val="single" w:sz="4" w:space="0" w:color="auto"/>
              <w:bottom w:val="single" w:sz="4" w:space="0" w:color="auto"/>
              <w:right w:val="single" w:sz="4" w:space="0" w:color="auto"/>
            </w:tcBorders>
            <w:vAlign w:val="center"/>
            <w:hideMark/>
          </w:tcPr>
          <w:p w14:paraId="792B38BB" w14:textId="77777777" w:rsidR="0040414E" w:rsidRPr="0040414E" w:rsidRDefault="0040414E" w:rsidP="0040414E">
            <w:pPr>
              <w:rPr>
                <w:rFonts w:ascii="Arial" w:eastAsia="Times New Roman" w:hAnsi="Arial" w:cs="Arial"/>
                <w:color w:val="000000"/>
                <w:sz w:val="14"/>
                <w:szCs w:val="14"/>
                <w:lang w:val="cs-CZ" w:eastAsia="cs-CZ"/>
              </w:rPr>
            </w:pPr>
          </w:p>
        </w:tc>
        <w:tc>
          <w:tcPr>
            <w:tcW w:w="589" w:type="dxa"/>
            <w:tcBorders>
              <w:top w:val="nil"/>
              <w:left w:val="nil"/>
              <w:bottom w:val="single" w:sz="4" w:space="0" w:color="auto"/>
              <w:right w:val="single" w:sz="4" w:space="0" w:color="auto"/>
            </w:tcBorders>
            <w:shd w:val="clear" w:color="000000" w:fill="FFFFFF"/>
            <w:vAlign w:val="center"/>
            <w:hideMark/>
          </w:tcPr>
          <w:p w14:paraId="0A2C50F4"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89" w:type="dxa"/>
            <w:tcBorders>
              <w:top w:val="nil"/>
              <w:left w:val="nil"/>
              <w:bottom w:val="single" w:sz="4" w:space="0" w:color="auto"/>
              <w:right w:val="single" w:sz="4" w:space="0" w:color="auto"/>
            </w:tcBorders>
            <w:shd w:val="clear" w:color="000000" w:fill="FFFFFF"/>
            <w:vAlign w:val="center"/>
            <w:hideMark/>
          </w:tcPr>
          <w:p w14:paraId="612A4D39"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89" w:type="dxa"/>
            <w:tcBorders>
              <w:top w:val="nil"/>
              <w:left w:val="nil"/>
              <w:bottom w:val="single" w:sz="4" w:space="0" w:color="auto"/>
              <w:right w:val="single" w:sz="4" w:space="0" w:color="auto"/>
            </w:tcBorders>
            <w:shd w:val="clear" w:color="000000" w:fill="FFFFFF"/>
            <w:vAlign w:val="center"/>
            <w:hideMark/>
          </w:tcPr>
          <w:p w14:paraId="2EE16078"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90" w:type="dxa"/>
            <w:tcBorders>
              <w:top w:val="nil"/>
              <w:left w:val="nil"/>
              <w:bottom w:val="single" w:sz="4" w:space="0" w:color="auto"/>
              <w:right w:val="single" w:sz="4" w:space="0" w:color="auto"/>
            </w:tcBorders>
            <w:shd w:val="clear" w:color="000000" w:fill="FFFFFF"/>
            <w:vAlign w:val="center"/>
            <w:hideMark/>
          </w:tcPr>
          <w:p w14:paraId="173EB07E"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90" w:type="dxa"/>
            <w:tcBorders>
              <w:top w:val="nil"/>
              <w:left w:val="nil"/>
              <w:bottom w:val="single" w:sz="4" w:space="0" w:color="auto"/>
              <w:right w:val="single" w:sz="4" w:space="0" w:color="auto"/>
            </w:tcBorders>
            <w:shd w:val="clear" w:color="000000" w:fill="FFFFFF"/>
            <w:vAlign w:val="center"/>
            <w:hideMark/>
          </w:tcPr>
          <w:p w14:paraId="5B057D88"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46,000</w:t>
            </w:r>
          </w:p>
        </w:tc>
        <w:tc>
          <w:tcPr>
            <w:tcW w:w="642" w:type="dxa"/>
            <w:tcBorders>
              <w:top w:val="nil"/>
              <w:left w:val="nil"/>
              <w:bottom w:val="single" w:sz="4" w:space="0" w:color="auto"/>
              <w:right w:val="single" w:sz="4" w:space="0" w:color="auto"/>
            </w:tcBorders>
            <w:shd w:val="clear" w:color="000000" w:fill="FFFFFF"/>
            <w:vAlign w:val="center"/>
            <w:hideMark/>
          </w:tcPr>
          <w:p w14:paraId="7CADA73D"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122,000</w:t>
            </w:r>
          </w:p>
        </w:tc>
        <w:tc>
          <w:tcPr>
            <w:tcW w:w="588" w:type="dxa"/>
            <w:tcBorders>
              <w:top w:val="nil"/>
              <w:left w:val="nil"/>
              <w:bottom w:val="single" w:sz="4" w:space="0" w:color="auto"/>
              <w:right w:val="single" w:sz="4" w:space="0" w:color="auto"/>
            </w:tcBorders>
            <w:shd w:val="clear" w:color="000000" w:fill="FFFFFF"/>
            <w:vAlign w:val="center"/>
            <w:hideMark/>
          </w:tcPr>
          <w:p w14:paraId="2CF5D163"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6D6E911D"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45C1F0AF"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3C3B39D3"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873" w:type="dxa"/>
            <w:tcBorders>
              <w:top w:val="nil"/>
              <w:left w:val="nil"/>
              <w:bottom w:val="single" w:sz="4" w:space="0" w:color="auto"/>
              <w:right w:val="single" w:sz="4" w:space="0" w:color="auto"/>
            </w:tcBorders>
            <w:shd w:val="clear" w:color="000000" w:fill="FFFFFF"/>
            <w:vAlign w:val="center"/>
            <w:hideMark/>
          </w:tcPr>
          <w:p w14:paraId="47261BBC"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168,000</w:t>
            </w:r>
          </w:p>
        </w:tc>
        <w:tc>
          <w:tcPr>
            <w:tcW w:w="731" w:type="dxa"/>
            <w:vMerge/>
            <w:tcBorders>
              <w:top w:val="nil"/>
              <w:left w:val="single" w:sz="4" w:space="0" w:color="auto"/>
              <w:bottom w:val="single" w:sz="4" w:space="0" w:color="000000"/>
              <w:right w:val="single" w:sz="4" w:space="0" w:color="auto"/>
            </w:tcBorders>
            <w:vAlign w:val="center"/>
            <w:hideMark/>
          </w:tcPr>
          <w:p w14:paraId="1C02CB19" w14:textId="77777777" w:rsidR="0040414E" w:rsidRPr="0040414E" w:rsidRDefault="0040414E" w:rsidP="0040414E">
            <w:pPr>
              <w:rPr>
                <w:rFonts w:ascii="Arial" w:eastAsia="Times New Roman" w:hAnsi="Arial" w:cs="Arial"/>
                <w:color w:val="000000"/>
                <w:sz w:val="14"/>
                <w:szCs w:val="14"/>
                <w:lang w:val="cs-CZ" w:eastAsia="cs-CZ"/>
              </w:rPr>
            </w:pPr>
          </w:p>
        </w:tc>
      </w:tr>
      <w:tr w:rsidR="0040414E" w:rsidRPr="0040414E" w14:paraId="55E6B8D5" w14:textId="77777777" w:rsidTr="001B767A">
        <w:trPr>
          <w:trHeight w:val="20"/>
        </w:trPr>
        <w:tc>
          <w:tcPr>
            <w:tcW w:w="538" w:type="dxa"/>
            <w:vMerge/>
            <w:tcBorders>
              <w:top w:val="nil"/>
              <w:left w:val="single" w:sz="4" w:space="0" w:color="auto"/>
              <w:bottom w:val="single" w:sz="4" w:space="0" w:color="auto"/>
              <w:right w:val="single" w:sz="4" w:space="0" w:color="auto"/>
            </w:tcBorders>
            <w:vAlign w:val="center"/>
            <w:hideMark/>
          </w:tcPr>
          <w:p w14:paraId="66AA4F01" w14:textId="77777777" w:rsidR="0040414E" w:rsidRPr="0040414E" w:rsidRDefault="0040414E" w:rsidP="0040414E">
            <w:pPr>
              <w:rPr>
                <w:rFonts w:ascii="Arial" w:eastAsia="Times New Roman" w:hAnsi="Arial" w:cs="Arial"/>
                <w:color w:val="000000"/>
                <w:sz w:val="14"/>
                <w:szCs w:val="14"/>
                <w:lang w:val="cs-CZ" w:eastAsia="cs-CZ"/>
              </w:rPr>
            </w:pPr>
          </w:p>
        </w:tc>
        <w:tc>
          <w:tcPr>
            <w:tcW w:w="2320" w:type="dxa"/>
            <w:vMerge/>
            <w:tcBorders>
              <w:top w:val="nil"/>
              <w:left w:val="single" w:sz="4" w:space="0" w:color="auto"/>
              <w:bottom w:val="single" w:sz="4" w:space="0" w:color="auto"/>
              <w:right w:val="single" w:sz="4" w:space="0" w:color="auto"/>
            </w:tcBorders>
            <w:vAlign w:val="center"/>
            <w:hideMark/>
          </w:tcPr>
          <w:p w14:paraId="2EA5C21D" w14:textId="77777777" w:rsidR="0040414E" w:rsidRPr="0040414E" w:rsidRDefault="0040414E" w:rsidP="0040414E">
            <w:pPr>
              <w:rPr>
                <w:rFonts w:ascii="Arial" w:eastAsia="Times New Roman" w:hAnsi="Arial" w:cs="Arial"/>
                <w:color w:val="000000"/>
                <w:sz w:val="14"/>
                <w:szCs w:val="14"/>
                <w:lang w:val="cs-CZ" w:eastAsia="cs-CZ"/>
              </w:rPr>
            </w:pPr>
          </w:p>
        </w:tc>
        <w:tc>
          <w:tcPr>
            <w:tcW w:w="1106" w:type="dxa"/>
            <w:vMerge/>
            <w:tcBorders>
              <w:top w:val="nil"/>
              <w:left w:val="single" w:sz="4" w:space="0" w:color="auto"/>
              <w:bottom w:val="single" w:sz="4" w:space="0" w:color="auto"/>
              <w:right w:val="single" w:sz="4" w:space="0" w:color="auto"/>
            </w:tcBorders>
            <w:vAlign w:val="center"/>
            <w:hideMark/>
          </w:tcPr>
          <w:p w14:paraId="2814A9D4" w14:textId="77777777" w:rsidR="0040414E" w:rsidRPr="0040414E" w:rsidRDefault="0040414E" w:rsidP="0040414E">
            <w:pPr>
              <w:rPr>
                <w:rFonts w:ascii="Arial" w:eastAsia="Times New Roman" w:hAnsi="Arial" w:cs="Arial"/>
                <w:color w:val="000000"/>
                <w:sz w:val="14"/>
                <w:szCs w:val="14"/>
                <w:lang w:val="cs-CZ" w:eastAsia="cs-CZ"/>
              </w:rPr>
            </w:pPr>
          </w:p>
        </w:tc>
        <w:tc>
          <w:tcPr>
            <w:tcW w:w="2857" w:type="dxa"/>
            <w:vMerge/>
            <w:tcBorders>
              <w:top w:val="nil"/>
              <w:left w:val="single" w:sz="4" w:space="0" w:color="auto"/>
              <w:bottom w:val="single" w:sz="4" w:space="0" w:color="auto"/>
              <w:right w:val="single" w:sz="4" w:space="0" w:color="auto"/>
            </w:tcBorders>
            <w:vAlign w:val="center"/>
            <w:hideMark/>
          </w:tcPr>
          <w:p w14:paraId="3BC3F4F2" w14:textId="77777777" w:rsidR="0040414E" w:rsidRPr="0040414E" w:rsidRDefault="0040414E" w:rsidP="0040414E">
            <w:pPr>
              <w:rPr>
                <w:rFonts w:ascii="Arial" w:eastAsia="Times New Roman" w:hAnsi="Arial" w:cs="Arial"/>
                <w:color w:val="000000"/>
                <w:sz w:val="14"/>
                <w:szCs w:val="14"/>
                <w:lang w:val="cs-CZ" w:eastAsia="cs-CZ"/>
              </w:rPr>
            </w:pPr>
          </w:p>
        </w:tc>
        <w:tc>
          <w:tcPr>
            <w:tcW w:w="814" w:type="dxa"/>
            <w:vMerge/>
            <w:tcBorders>
              <w:top w:val="nil"/>
              <w:left w:val="single" w:sz="4" w:space="0" w:color="auto"/>
              <w:bottom w:val="single" w:sz="4" w:space="0" w:color="auto"/>
              <w:right w:val="single" w:sz="4" w:space="0" w:color="auto"/>
            </w:tcBorders>
            <w:vAlign w:val="center"/>
            <w:hideMark/>
          </w:tcPr>
          <w:p w14:paraId="6798B3F7" w14:textId="77777777" w:rsidR="0040414E" w:rsidRPr="0040414E" w:rsidRDefault="0040414E" w:rsidP="0040414E">
            <w:pPr>
              <w:rPr>
                <w:rFonts w:ascii="Arial" w:eastAsia="Times New Roman" w:hAnsi="Arial" w:cs="Arial"/>
                <w:color w:val="000000"/>
                <w:sz w:val="14"/>
                <w:szCs w:val="14"/>
                <w:lang w:val="cs-CZ" w:eastAsia="cs-CZ"/>
              </w:rPr>
            </w:pPr>
          </w:p>
        </w:tc>
        <w:tc>
          <w:tcPr>
            <w:tcW w:w="771" w:type="dxa"/>
            <w:vMerge/>
            <w:tcBorders>
              <w:top w:val="nil"/>
              <w:left w:val="single" w:sz="4" w:space="0" w:color="auto"/>
              <w:bottom w:val="single" w:sz="4" w:space="0" w:color="auto"/>
              <w:right w:val="single" w:sz="4" w:space="0" w:color="auto"/>
            </w:tcBorders>
            <w:vAlign w:val="center"/>
            <w:hideMark/>
          </w:tcPr>
          <w:p w14:paraId="683CF294" w14:textId="77777777" w:rsidR="0040414E" w:rsidRPr="0040414E" w:rsidRDefault="0040414E" w:rsidP="0040414E">
            <w:pPr>
              <w:rPr>
                <w:rFonts w:ascii="Arial" w:eastAsia="Times New Roman" w:hAnsi="Arial" w:cs="Arial"/>
                <w:color w:val="000000"/>
                <w:sz w:val="14"/>
                <w:szCs w:val="14"/>
                <w:lang w:val="cs-CZ" w:eastAsia="cs-CZ"/>
              </w:rPr>
            </w:pPr>
          </w:p>
        </w:tc>
        <w:tc>
          <w:tcPr>
            <w:tcW w:w="589" w:type="dxa"/>
            <w:tcBorders>
              <w:top w:val="nil"/>
              <w:left w:val="nil"/>
              <w:bottom w:val="single" w:sz="4" w:space="0" w:color="auto"/>
              <w:right w:val="single" w:sz="4" w:space="0" w:color="auto"/>
            </w:tcBorders>
            <w:shd w:val="clear" w:color="000000" w:fill="FFFFFF"/>
            <w:vAlign w:val="center"/>
            <w:hideMark/>
          </w:tcPr>
          <w:p w14:paraId="05330E88"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89" w:type="dxa"/>
            <w:tcBorders>
              <w:top w:val="nil"/>
              <w:left w:val="nil"/>
              <w:bottom w:val="single" w:sz="4" w:space="0" w:color="auto"/>
              <w:right w:val="single" w:sz="4" w:space="0" w:color="auto"/>
            </w:tcBorders>
            <w:shd w:val="clear" w:color="000000" w:fill="FFFFFF"/>
            <w:vAlign w:val="center"/>
            <w:hideMark/>
          </w:tcPr>
          <w:p w14:paraId="12C12710"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89" w:type="dxa"/>
            <w:tcBorders>
              <w:top w:val="nil"/>
              <w:left w:val="nil"/>
              <w:bottom w:val="single" w:sz="4" w:space="0" w:color="auto"/>
              <w:right w:val="single" w:sz="4" w:space="0" w:color="auto"/>
            </w:tcBorders>
            <w:shd w:val="clear" w:color="000000" w:fill="FFFFFF"/>
            <w:vAlign w:val="center"/>
            <w:hideMark/>
          </w:tcPr>
          <w:p w14:paraId="1704585F"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0,000</w:t>
            </w:r>
          </w:p>
        </w:tc>
        <w:tc>
          <w:tcPr>
            <w:tcW w:w="590" w:type="dxa"/>
            <w:tcBorders>
              <w:top w:val="nil"/>
              <w:left w:val="nil"/>
              <w:bottom w:val="single" w:sz="4" w:space="0" w:color="auto"/>
              <w:right w:val="single" w:sz="4" w:space="0" w:color="auto"/>
            </w:tcBorders>
            <w:shd w:val="clear" w:color="000000" w:fill="FFFFFF"/>
            <w:vAlign w:val="center"/>
            <w:hideMark/>
          </w:tcPr>
          <w:p w14:paraId="1CBEF9E6"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3,000</w:t>
            </w:r>
          </w:p>
        </w:tc>
        <w:tc>
          <w:tcPr>
            <w:tcW w:w="590" w:type="dxa"/>
            <w:tcBorders>
              <w:top w:val="nil"/>
              <w:left w:val="nil"/>
              <w:bottom w:val="single" w:sz="4" w:space="0" w:color="auto"/>
              <w:right w:val="single" w:sz="4" w:space="0" w:color="auto"/>
            </w:tcBorders>
            <w:shd w:val="clear" w:color="000000" w:fill="FFFFFF"/>
            <w:vAlign w:val="center"/>
            <w:hideMark/>
          </w:tcPr>
          <w:p w14:paraId="6585A7AC"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71,000</w:t>
            </w:r>
          </w:p>
        </w:tc>
        <w:tc>
          <w:tcPr>
            <w:tcW w:w="642" w:type="dxa"/>
            <w:tcBorders>
              <w:top w:val="nil"/>
              <w:left w:val="nil"/>
              <w:bottom w:val="single" w:sz="4" w:space="0" w:color="auto"/>
              <w:right w:val="single" w:sz="4" w:space="0" w:color="auto"/>
            </w:tcBorders>
            <w:shd w:val="clear" w:color="000000" w:fill="FFFFFF"/>
            <w:vAlign w:val="center"/>
            <w:hideMark/>
          </w:tcPr>
          <w:p w14:paraId="537E5763" w14:textId="77777777"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368,000</w:t>
            </w:r>
          </w:p>
        </w:tc>
        <w:tc>
          <w:tcPr>
            <w:tcW w:w="588" w:type="dxa"/>
            <w:tcBorders>
              <w:top w:val="nil"/>
              <w:left w:val="nil"/>
              <w:bottom w:val="single" w:sz="4" w:space="0" w:color="auto"/>
              <w:right w:val="single" w:sz="4" w:space="0" w:color="auto"/>
            </w:tcBorders>
            <w:shd w:val="clear" w:color="000000" w:fill="FFFFFF"/>
            <w:vAlign w:val="center"/>
            <w:hideMark/>
          </w:tcPr>
          <w:p w14:paraId="30EB4C01"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4DCF9070"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2EE4FCDE"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588" w:type="dxa"/>
            <w:tcBorders>
              <w:top w:val="nil"/>
              <w:left w:val="nil"/>
              <w:bottom w:val="single" w:sz="4" w:space="0" w:color="auto"/>
              <w:right w:val="single" w:sz="4" w:space="0" w:color="auto"/>
            </w:tcBorders>
            <w:shd w:val="clear" w:color="000000" w:fill="FFFFFF"/>
            <w:vAlign w:val="center"/>
            <w:hideMark/>
          </w:tcPr>
          <w:p w14:paraId="21C5A4DF" w14:textId="77777777" w:rsidR="0040414E" w:rsidRPr="0040414E" w:rsidRDefault="0040414E" w:rsidP="0040414E">
            <w:pPr>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 </w:t>
            </w:r>
          </w:p>
        </w:tc>
        <w:tc>
          <w:tcPr>
            <w:tcW w:w="873" w:type="dxa"/>
            <w:tcBorders>
              <w:top w:val="nil"/>
              <w:left w:val="nil"/>
              <w:bottom w:val="single" w:sz="4" w:space="0" w:color="auto"/>
              <w:right w:val="single" w:sz="4" w:space="0" w:color="auto"/>
            </w:tcBorders>
            <w:shd w:val="clear" w:color="000000" w:fill="FFFFFF"/>
            <w:vAlign w:val="center"/>
            <w:hideMark/>
          </w:tcPr>
          <w:p w14:paraId="3652B8C8" w14:textId="6A83828D" w:rsidR="0040414E" w:rsidRPr="0040414E" w:rsidRDefault="0040414E" w:rsidP="0040414E">
            <w:pPr>
              <w:jc w:val="right"/>
              <w:rPr>
                <w:rFonts w:ascii="Arial" w:eastAsia="Times New Roman" w:hAnsi="Arial" w:cs="Arial"/>
                <w:color w:val="000000"/>
                <w:sz w:val="14"/>
                <w:szCs w:val="14"/>
                <w:lang w:val="cs-CZ" w:eastAsia="cs-CZ"/>
              </w:rPr>
            </w:pPr>
            <w:r w:rsidRPr="0040414E">
              <w:rPr>
                <w:rFonts w:ascii="Arial" w:eastAsia="Times New Roman" w:hAnsi="Arial" w:cs="Arial"/>
                <w:color w:val="000000"/>
                <w:sz w:val="14"/>
                <w:szCs w:val="14"/>
                <w:lang w:val="cs-CZ" w:eastAsia="cs-CZ"/>
              </w:rPr>
              <w:t>442,000</w:t>
            </w:r>
          </w:p>
        </w:tc>
        <w:tc>
          <w:tcPr>
            <w:tcW w:w="731" w:type="dxa"/>
            <w:vMerge/>
            <w:tcBorders>
              <w:top w:val="nil"/>
              <w:left w:val="single" w:sz="4" w:space="0" w:color="auto"/>
              <w:bottom w:val="single" w:sz="4" w:space="0" w:color="000000"/>
              <w:right w:val="single" w:sz="4" w:space="0" w:color="auto"/>
            </w:tcBorders>
            <w:vAlign w:val="center"/>
            <w:hideMark/>
          </w:tcPr>
          <w:p w14:paraId="1E87AC39" w14:textId="77777777" w:rsidR="0040414E" w:rsidRPr="0040414E" w:rsidRDefault="0040414E" w:rsidP="0040414E">
            <w:pPr>
              <w:rPr>
                <w:rFonts w:ascii="Arial" w:eastAsia="Times New Roman" w:hAnsi="Arial" w:cs="Arial"/>
                <w:color w:val="000000"/>
                <w:sz w:val="14"/>
                <w:szCs w:val="14"/>
                <w:lang w:val="cs-CZ" w:eastAsia="cs-CZ"/>
              </w:rPr>
            </w:pPr>
          </w:p>
        </w:tc>
      </w:tr>
    </w:tbl>
    <w:p w14:paraId="6B5F1C44" w14:textId="77777777" w:rsidR="00DA62E2" w:rsidRPr="002F2BE4" w:rsidRDefault="00DA62E2" w:rsidP="00FD35AB">
      <w:pPr>
        <w:keepNext/>
        <w:ind w:left="115" w:right="106"/>
        <w:jc w:val="both"/>
        <w:rPr>
          <w:rFonts w:ascii="Arial" w:eastAsia="Arial" w:hAnsi="Arial" w:cs="Arial"/>
          <w:color w:val="000000"/>
          <w:sz w:val="20"/>
          <w:lang w:val="cs-CZ"/>
        </w:rPr>
      </w:pPr>
    </w:p>
    <w:p w14:paraId="00484EF0"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7108FC64" w14:textId="77777777" w:rsidR="00FD35AB" w:rsidRPr="002F2BE4" w:rsidRDefault="00FD35AB" w:rsidP="001B767A">
      <w:pPr>
        <w:ind w:left="113" w:right="108"/>
        <w:jc w:val="both"/>
        <w:rPr>
          <w:rFonts w:ascii="Arial" w:eastAsia="Arial" w:hAnsi="Arial" w:cs="Arial"/>
          <w:color w:val="000000"/>
          <w:sz w:val="20"/>
          <w:lang w:val="cs-CZ"/>
        </w:rPr>
      </w:pPr>
    </w:p>
    <w:p w14:paraId="1BBA42FD" w14:textId="79C78B35" w:rsidR="00DA62E2" w:rsidRPr="002F2BE4" w:rsidRDefault="00FD35AB" w:rsidP="00DA62E2">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03.5.125 Technická pomoc</w:t>
      </w:r>
    </w:p>
    <w:tbl>
      <w:tblPr>
        <w:tblW w:w="15923" w:type="dxa"/>
        <w:tblInd w:w="58" w:type="dxa"/>
        <w:tblLayout w:type="fixed"/>
        <w:tblCellMar>
          <w:left w:w="0" w:type="dxa"/>
          <w:right w:w="0" w:type="dxa"/>
        </w:tblCellMar>
        <w:tblLook w:val="04A0" w:firstRow="1" w:lastRow="0" w:firstColumn="1" w:lastColumn="0" w:noHBand="0" w:noVBand="1"/>
      </w:tblPr>
      <w:tblGrid>
        <w:gridCol w:w="479"/>
        <w:gridCol w:w="1001"/>
        <w:gridCol w:w="858"/>
        <w:gridCol w:w="1183"/>
        <w:gridCol w:w="722"/>
        <w:gridCol w:w="929"/>
        <w:gridCol w:w="809"/>
        <w:gridCol w:w="870"/>
        <w:gridCol w:w="870"/>
        <w:gridCol w:w="871"/>
        <w:gridCol w:w="874"/>
        <w:gridCol w:w="870"/>
        <w:gridCol w:w="871"/>
        <w:gridCol w:w="870"/>
        <w:gridCol w:w="870"/>
        <w:gridCol w:w="877"/>
        <w:gridCol w:w="1195"/>
        <w:gridCol w:w="904"/>
      </w:tblGrid>
      <w:tr w:rsidR="00FD35AB" w:rsidRPr="002F2BE4" w14:paraId="56EFB99C" w14:textId="77777777" w:rsidTr="00B329E7">
        <w:trPr>
          <w:cantSplit/>
          <w:trHeight w:val="671"/>
          <w:tblHeader/>
        </w:trPr>
        <w:tc>
          <w:tcPr>
            <w:tcW w:w="47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E8C0F0A"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ID</w:t>
            </w:r>
          </w:p>
        </w:tc>
        <w:tc>
          <w:tcPr>
            <w:tcW w:w="10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E29FA67"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Indikátor</w:t>
            </w:r>
          </w:p>
        </w:tc>
        <w:tc>
          <w:tcPr>
            <w:tcW w:w="8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B782BE5"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Kategorie regionu</w:t>
            </w:r>
          </w:p>
        </w:tc>
        <w:tc>
          <w:tcPr>
            <w:tcW w:w="118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C38A7F1"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Společný indikátor výstupů použitý jako základ pro stanovení cíle</w:t>
            </w:r>
          </w:p>
        </w:tc>
        <w:tc>
          <w:tcPr>
            <w:tcW w:w="72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48F816C"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Měrná jednotka pro výchozí hodnotu a cíl</w:t>
            </w:r>
          </w:p>
        </w:tc>
        <w:tc>
          <w:tcPr>
            <w:tcW w:w="92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064E0E7"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Cílová hodnota (2023)</w:t>
            </w:r>
          </w:p>
          <w:p w14:paraId="4914E17F"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(Rozdělení podle pohlaví je pro cíl nepovinné)</w:t>
            </w:r>
          </w:p>
        </w:tc>
        <w:tc>
          <w:tcPr>
            <w:tcW w:w="8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1BAE56"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5DFBF3FB"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2014</w:t>
            </w:r>
          </w:p>
          <w:p w14:paraId="25CBBCC0"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14E00E"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7FE42571"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2015</w:t>
            </w:r>
          </w:p>
          <w:p w14:paraId="6E7D4E45"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308E66"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59D3B718"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2016</w:t>
            </w:r>
          </w:p>
          <w:p w14:paraId="2A23FDF8"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D2DC4D"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515A3B35"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2017</w:t>
            </w:r>
          </w:p>
          <w:p w14:paraId="0D9E33CD"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360742"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78C122E6"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2018</w:t>
            </w:r>
          </w:p>
          <w:p w14:paraId="2464CD0A"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1AB94C"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7E436914"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2019</w:t>
            </w:r>
          </w:p>
          <w:p w14:paraId="7B23279D"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B39BEA"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1B710673"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2020</w:t>
            </w:r>
          </w:p>
          <w:p w14:paraId="5A112438"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76C42"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57F0F9BD"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2021</w:t>
            </w:r>
          </w:p>
          <w:p w14:paraId="52A9B8BA"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09514"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0104147C"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2022</w:t>
            </w:r>
          </w:p>
          <w:p w14:paraId="149281F6"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8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907496"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67D58900"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2023</w:t>
            </w:r>
          </w:p>
          <w:p w14:paraId="05F5B9BE"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11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E3615A"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Kumulativní hodnota</w:t>
            </w:r>
          </w:p>
          <w:p w14:paraId="341A7D6E"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(vypočítána automaticky)</w:t>
            </w:r>
          </w:p>
        </w:tc>
        <w:tc>
          <w:tcPr>
            <w:tcW w:w="90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74AC697" w14:textId="77777777" w:rsidR="00FD35AB" w:rsidRPr="002F2BE4" w:rsidRDefault="00FD35AB" w:rsidP="00487A54">
            <w:pPr>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Míra splnění</w:t>
            </w:r>
          </w:p>
          <w:p w14:paraId="0AB182B3" w14:textId="77777777" w:rsidR="00FD35AB" w:rsidRPr="002F2BE4" w:rsidRDefault="00FD35AB" w:rsidP="00487A54">
            <w:pPr>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Rozdělení podle pohlaví je nepovinné</w:t>
            </w:r>
          </w:p>
        </w:tc>
      </w:tr>
      <w:tr w:rsidR="00FD35AB" w:rsidRPr="002F2BE4" w14:paraId="5EA6E363" w14:textId="77777777" w:rsidTr="00B329E7">
        <w:trPr>
          <w:cantSplit/>
          <w:trHeight w:val="526"/>
          <w:tblHeader/>
        </w:trPr>
        <w:tc>
          <w:tcPr>
            <w:tcW w:w="4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5B0726F" w14:textId="77777777" w:rsidR="00FD35AB" w:rsidRPr="002F2BE4" w:rsidRDefault="00FD35AB" w:rsidP="00487A54">
            <w:pPr>
              <w:rPr>
                <w:lang w:val="cs-CZ"/>
              </w:rPr>
            </w:pPr>
          </w:p>
        </w:tc>
        <w:tc>
          <w:tcPr>
            <w:tcW w:w="10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22E138" w14:textId="77777777" w:rsidR="00FD35AB" w:rsidRPr="002F2BE4" w:rsidRDefault="00FD35AB" w:rsidP="00487A54">
            <w:pPr>
              <w:rPr>
                <w:lang w:val="cs-CZ"/>
              </w:rPr>
            </w:pPr>
          </w:p>
        </w:tc>
        <w:tc>
          <w:tcPr>
            <w:tcW w:w="85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E26F377" w14:textId="77777777" w:rsidR="00FD35AB" w:rsidRPr="002F2BE4" w:rsidRDefault="00FD35AB" w:rsidP="00487A54">
            <w:pPr>
              <w:rPr>
                <w:lang w:val="cs-CZ"/>
              </w:rPr>
            </w:pPr>
          </w:p>
        </w:tc>
        <w:tc>
          <w:tcPr>
            <w:tcW w:w="118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56F912" w14:textId="77777777" w:rsidR="00FD35AB" w:rsidRPr="002F2BE4" w:rsidRDefault="00FD35AB" w:rsidP="00487A54">
            <w:pPr>
              <w:rPr>
                <w:lang w:val="cs-CZ"/>
              </w:rPr>
            </w:pPr>
          </w:p>
        </w:tc>
        <w:tc>
          <w:tcPr>
            <w:tcW w:w="7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E9DDD09" w14:textId="77777777" w:rsidR="00FD35AB" w:rsidRPr="002F2BE4" w:rsidRDefault="00FD35AB" w:rsidP="00487A54">
            <w:pPr>
              <w:rPr>
                <w:lang w:val="cs-CZ"/>
              </w:rPr>
            </w:pPr>
          </w:p>
        </w:tc>
        <w:tc>
          <w:tcPr>
            <w:tcW w:w="92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93596A3" w14:textId="77777777" w:rsidR="00FD35AB" w:rsidRPr="002F2BE4" w:rsidRDefault="00FD35AB" w:rsidP="00487A54">
            <w:pPr>
              <w:rPr>
                <w:lang w:val="cs-CZ"/>
              </w:rPr>
            </w:pPr>
          </w:p>
        </w:tc>
        <w:tc>
          <w:tcPr>
            <w:tcW w:w="8652"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14:paraId="67E0A223"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2FB8F806"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Roční hodnota</w:t>
            </w:r>
          </w:p>
          <w:p w14:paraId="660FD9D1"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11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40663" w14:textId="77777777" w:rsidR="00FD35AB" w:rsidRPr="002F2BE4" w:rsidRDefault="00FD35AB" w:rsidP="00487A54">
            <w:pPr>
              <w:keepNext/>
              <w:keepLines/>
              <w:ind w:left="57" w:right="57"/>
              <w:jc w:val="center"/>
              <w:rPr>
                <w:rFonts w:ascii="Arial" w:eastAsia="Arial" w:hAnsi="Arial" w:cs="Arial"/>
                <w:color w:val="000000"/>
                <w:sz w:val="14"/>
                <w:lang w:val="cs-CZ"/>
              </w:rPr>
            </w:pPr>
          </w:p>
          <w:p w14:paraId="4615C72D"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Celkem</w:t>
            </w:r>
          </w:p>
          <w:p w14:paraId="4C86E090" w14:textId="77777777" w:rsidR="00FD35AB" w:rsidRPr="002F2BE4" w:rsidRDefault="00FD35AB" w:rsidP="00487A54">
            <w:pPr>
              <w:keepNext/>
              <w:keepLines/>
              <w:ind w:left="57" w:right="57"/>
              <w:jc w:val="center"/>
              <w:rPr>
                <w:rFonts w:ascii="Arial" w:eastAsia="Arial" w:hAnsi="Arial" w:cs="Arial"/>
                <w:color w:val="000000"/>
                <w:sz w:val="14"/>
                <w:lang w:val="cs-CZ"/>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61DEA2" w14:textId="77777777" w:rsidR="00FD35AB" w:rsidRPr="002F2BE4" w:rsidRDefault="00FD35AB" w:rsidP="00487A54">
            <w:pPr>
              <w:rPr>
                <w:lang w:val="cs-CZ"/>
              </w:rPr>
            </w:pPr>
          </w:p>
        </w:tc>
      </w:tr>
      <w:tr w:rsidR="00FD35AB" w:rsidRPr="002F2BE4" w14:paraId="009CE8BB" w14:textId="77777777" w:rsidTr="00B329E7">
        <w:trPr>
          <w:cantSplit/>
          <w:trHeight w:val="171"/>
          <w:tblHeader/>
        </w:trPr>
        <w:tc>
          <w:tcPr>
            <w:tcW w:w="4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6E3497" w14:textId="77777777" w:rsidR="00FD35AB" w:rsidRPr="002F2BE4" w:rsidRDefault="00FD35AB" w:rsidP="00487A54">
            <w:pPr>
              <w:rPr>
                <w:lang w:val="cs-CZ"/>
              </w:rPr>
            </w:pPr>
          </w:p>
        </w:tc>
        <w:tc>
          <w:tcPr>
            <w:tcW w:w="10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5E466B5" w14:textId="77777777" w:rsidR="00FD35AB" w:rsidRPr="002F2BE4" w:rsidRDefault="00FD35AB" w:rsidP="00487A54">
            <w:pPr>
              <w:rPr>
                <w:lang w:val="cs-CZ"/>
              </w:rPr>
            </w:pPr>
          </w:p>
        </w:tc>
        <w:tc>
          <w:tcPr>
            <w:tcW w:w="85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645367F" w14:textId="77777777" w:rsidR="00FD35AB" w:rsidRPr="002F2BE4" w:rsidRDefault="00FD35AB" w:rsidP="00487A54">
            <w:pPr>
              <w:rPr>
                <w:lang w:val="cs-CZ"/>
              </w:rPr>
            </w:pPr>
          </w:p>
        </w:tc>
        <w:tc>
          <w:tcPr>
            <w:tcW w:w="118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8489302" w14:textId="77777777" w:rsidR="00FD35AB" w:rsidRPr="002F2BE4" w:rsidRDefault="00FD35AB" w:rsidP="00487A54">
            <w:pPr>
              <w:rPr>
                <w:lang w:val="cs-CZ"/>
              </w:rPr>
            </w:pPr>
          </w:p>
        </w:tc>
        <w:tc>
          <w:tcPr>
            <w:tcW w:w="7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33C8AA4" w14:textId="77777777" w:rsidR="00FD35AB" w:rsidRPr="002F2BE4" w:rsidRDefault="00FD35AB" w:rsidP="00487A54">
            <w:pPr>
              <w:rPr>
                <w:lang w:val="cs-CZ"/>
              </w:rPr>
            </w:pPr>
          </w:p>
        </w:tc>
        <w:tc>
          <w:tcPr>
            <w:tcW w:w="92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49FAA64" w14:textId="77777777" w:rsidR="00FD35AB" w:rsidRPr="002F2BE4" w:rsidRDefault="00FD35AB" w:rsidP="00487A54">
            <w:pPr>
              <w:rPr>
                <w:lang w:val="cs-CZ"/>
              </w:rPr>
            </w:pPr>
          </w:p>
        </w:tc>
        <w:tc>
          <w:tcPr>
            <w:tcW w:w="8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589EFD"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D80F86"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D869B1"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B4EE4"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EE6562"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B4484D"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69ACB"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D6272"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A67D44"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8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2068FB"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11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81F67"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M</w:t>
            </w:r>
          </w:p>
        </w:tc>
        <w:tc>
          <w:tcPr>
            <w:tcW w:w="9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889916D" w14:textId="77777777" w:rsidR="00FD35AB" w:rsidRPr="002F2BE4" w:rsidRDefault="00FD35AB" w:rsidP="00487A54">
            <w:pPr>
              <w:rPr>
                <w:lang w:val="cs-CZ"/>
              </w:rPr>
            </w:pPr>
          </w:p>
        </w:tc>
      </w:tr>
      <w:tr w:rsidR="00FD35AB" w:rsidRPr="002F2BE4" w14:paraId="7E6B0CD3" w14:textId="77777777" w:rsidTr="00B329E7">
        <w:trPr>
          <w:cantSplit/>
          <w:trHeight w:val="183"/>
          <w:tblHeader/>
        </w:trPr>
        <w:tc>
          <w:tcPr>
            <w:tcW w:w="4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98F127" w14:textId="77777777" w:rsidR="00FD35AB" w:rsidRPr="002F2BE4" w:rsidRDefault="00FD35AB" w:rsidP="00487A54">
            <w:pPr>
              <w:rPr>
                <w:lang w:val="cs-CZ"/>
              </w:rPr>
            </w:pPr>
          </w:p>
        </w:tc>
        <w:tc>
          <w:tcPr>
            <w:tcW w:w="10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6826E1" w14:textId="77777777" w:rsidR="00FD35AB" w:rsidRPr="002F2BE4" w:rsidRDefault="00FD35AB" w:rsidP="00487A54">
            <w:pPr>
              <w:rPr>
                <w:lang w:val="cs-CZ"/>
              </w:rPr>
            </w:pPr>
          </w:p>
        </w:tc>
        <w:tc>
          <w:tcPr>
            <w:tcW w:w="85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2A8768A" w14:textId="77777777" w:rsidR="00FD35AB" w:rsidRPr="002F2BE4" w:rsidRDefault="00FD35AB" w:rsidP="00487A54">
            <w:pPr>
              <w:rPr>
                <w:lang w:val="cs-CZ"/>
              </w:rPr>
            </w:pPr>
          </w:p>
        </w:tc>
        <w:tc>
          <w:tcPr>
            <w:tcW w:w="118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D88AD6" w14:textId="77777777" w:rsidR="00FD35AB" w:rsidRPr="002F2BE4" w:rsidRDefault="00FD35AB" w:rsidP="00487A54">
            <w:pPr>
              <w:rPr>
                <w:lang w:val="cs-CZ"/>
              </w:rPr>
            </w:pPr>
          </w:p>
        </w:tc>
        <w:tc>
          <w:tcPr>
            <w:tcW w:w="7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5531393" w14:textId="77777777" w:rsidR="00FD35AB" w:rsidRPr="002F2BE4" w:rsidRDefault="00FD35AB" w:rsidP="00487A54">
            <w:pPr>
              <w:rPr>
                <w:lang w:val="cs-CZ"/>
              </w:rPr>
            </w:pPr>
          </w:p>
        </w:tc>
        <w:tc>
          <w:tcPr>
            <w:tcW w:w="92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22D474" w14:textId="77777777" w:rsidR="00FD35AB" w:rsidRPr="002F2BE4" w:rsidRDefault="00FD35AB" w:rsidP="00487A54">
            <w:pPr>
              <w:rPr>
                <w:lang w:val="cs-CZ"/>
              </w:rPr>
            </w:pPr>
          </w:p>
        </w:tc>
        <w:tc>
          <w:tcPr>
            <w:tcW w:w="8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3D4F1E" w14:textId="77777777" w:rsidR="00FD35AB" w:rsidRPr="002F2BE4" w:rsidRDefault="00FD35AB" w:rsidP="00487A54">
            <w:pPr>
              <w:keepNext/>
              <w:keepLines/>
              <w:tabs>
                <w:tab w:val="left" w:pos="828"/>
              </w:tab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10F7BB"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FCA5DD"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73DC76"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D7827"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574F7A"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0D6F6"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935477"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1C1C72"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8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7BF244"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11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0A0507" w14:textId="77777777" w:rsidR="00FD35AB" w:rsidRPr="002F2BE4" w:rsidRDefault="00FD35AB" w:rsidP="00487A54">
            <w:pPr>
              <w:keepNext/>
              <w:keepLines/>
              <w:ind w:left="57" w:right="57"/>
              <w:jc w:val="center"/>
              <w:rPr>
                <w:rFonts w:ascii="Arial" w:eastAsia="Arial" w:hAnsi="Arial" w:cs="Arial"/>
                <w:b/>
                <w:bCs/>
                <w:color w:val="000000"/>
                <w:sz w:val="14"/>
                <w:lang w:val="cs-CZ"/>
              </w:rPr>
            </w:pPr>
            <w:r w:rsidRPr="002F2BE4">
              <w:rPr>
                <w:rFonts w:ascii="Arial" w:eastAsia="Arial" w:hAnsi="Arial" w:cs="Arial"/>
                <w:b/>
                <w:bCs/>
                <w:color w:val="000000"/>
                <w:sz w:val="14"/>
                <w:lang w:val="cs-CZ"/>
              </w:rPr>
              <w:t>Ž</w:t>
            </w:r>
          </w:p>
        </w:tc>
        <w:tc>
          <w:tcPr>
            <w:tcW w:w="90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36FADCA" w14:textId="77777777" w:rsidR="00FD35AB" w:rsidRPr="002F2BE4" w:rsidRDefault="00FD35AB" w:rsidP="00487A54">
            <w:pPr>
              <w:rPr>
                <w:lang w:val="cs-CZ"/>
              </w:rPr>
            </w:pPr>
          </w:p>
        </w:tc>
      </w:tr>
    </w:tbl>
    <w:p w14:paraId="6BD7F0D0" w14:textId="77777777" w:rsidR="00FD35AB" w:rsidRPr="002F2BE4" w:rsidRDefault="00FD35AB" w:rsidP="00FD35AB">
      <w:pPr>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5BD83723" w14:textId="77777777" w:rsidR="00FD35AB" w:rsidRPr="002F2BE4" w:rsidRDefault="00FD35AB" w:rsidP="00DA62E2">
      <w:pPr>
        <w:keepNext/>
        <w:tabs>
          <w:tab w:val="left" w:pos="1675"/>
        </w:tabs>
        <w:ind w:right="106"/>
        <w:rPr>
          <w:rFonts w:ascii="Arial" w:eastAsia="Arial" w:hAnsi="Arial" w:cs="Arial"/>
          <w:color w:val="000000"/>
          <w:sz w:val="20"/>
          <w:lang w:val="cs-CZ"/>
        </w:rPr>
      </w:pPr>
    </w:p>
    <w:p w14:paraId="10C827DD" w14:textId="77777777" w:rsidR="00FD35AB" w:rsidRPr="002F2BE4" w:rsidRDefault="00FD35AB" w:rsidP="00FD35AB">
      <w:pPr>
        <w:keepNext/>
        <w:tabs>
          <w:tab w:val="left" w:pos="1675"/>
        </w:tabs>
        <w:ind w:left="115" w:right="106"/>
        <w:rPr>
          <w:rFonts w:ascii="Arial" w:eastAsia="Arial" w:hAnsi="Arial" w:cs="Arial"/>
          <w:color w:val="000000"/>
          <w:sz w:val="16"/>
          <w:lang w:val="cs-CZ"/>
        </w:rPr>
      </w:pPr>
      <w:r w:rsidRPr="002F2BE4">
        <w:rPr>
          <w:rFonts w:ascii="Arial" w:eastAsia="Arial" w:hAnsi="Arial" w:cs="Arial"/>
          <w:color w:val="000000"/>
          <w:sz w:val="16"/>
          <w:lang w:val="cs-CZ"/>
        </w:rPr>
        <w:t>----------------------------------------------------</w:t>
      </w:r>
    </w:p>
    <w:p w14:paraId="69ADFD35" w14:textId="77777777" w:rsidR="00FD35AB" w:rsidRPr="002F2BE4" w:rsidRDefault="00FD35AB" w:rsidP="00FD35AB">
      <w:pPr>
        <w:keepNext/>
        <w:tabs>
          <w:tab w:val="left" w:pos="1675"/>
        </w:tabs>
        <w:ind w:left="115" w:right="529"/>
        <w:rPr>
          <w:rFonts w:ascii="Arial" w:eastAsia="Arial" w:hAnsi="Arial" w:cs="Arial"/>
          <w:color w:val="000000"/>
          <w:sz w:val="16"/>
          <w:lang w:val="cs-CZ"/>
        </w:rPr>
      </w:pPr>
      <w:r w:rsidRPr="002F2BE4">
        <w:rPr>
          <w:rFonts w:ascii="Arial" w:eastAsia="Arial" w:hAnsi="Arial" w:cs="Arial"/>
          <w:color w:val="000000"/>
          <w:sz w:val="16"/>
          <w:lang w:val="cs-CZ"/>
        </w:rPr>
        <w:t>4 - Strukturované údaje požadované pro zprávu o YEI, která má být předložena v dubnu 2015 v souladu s čl. 19 odst. 3 a přílohou II nařízení (EU) č. 1304/2013. Pokud investiční priorita obsahuje cíl pro společný ukazatel výsledků ESF, je nutno pro příslušný ukazatel výsledků poskytnout údaje o vybrané cílově skupině (tj. společný ukazatel výstupů použitý jako referenční hodnota) a rovněž údaje pro celkový počet účastníků, kteří v období provádění dosáhli příslušného výsledku.</w:t>
      </w:r>
    </w:p>
    <w:p w14:paraId="52D7D5BC" w14:textId="77777777" w:rsidR="00FD35AB" w:rsidRPr="002F2BE4" w:rsidRDefault="00FD35AB" w:rsidP="00FD35AB">
      <w:pPr>
        <w:spacing w:line="312" w:lineRule="auto"/>
        <w:ind w:left="115" w:right="670"/>
        <w:jc w:val="both"/>
        <w:rPr>
          <w:rFonts w:ascii="Arial" w:eastAsia="Arial" w:hAnsi="Arial" w:cs="Arial"/>
          <w:color w:val="000000"/>
          <w:sz w:val="16"/>
          <w:lang w:val="cs-CZ"/>
        </w:rPr>
      </w:pPr>
    </w:p>
    <w:p w14:paraId="51B72B1C" w14:textId="4AB789DC" w:rsidR="00FD35AB" w:rsidRPr="00DA62E2" w:rsidRDefault="00FD35AB" w:rsidP="00DA62E2">
      <w:pPr>
        <w:rPr>
          <w:lang w:val="cs-CZ"/>
        </w:rPr>
      </w:pPr>
      <w:r w:rsidRPr="002F2BE4">
        <w:rPr>
          <w:lang w:val="cs-CZ"/>
        </w:rPr>
        <w:br w:type="page"/>
      </w:r>
      <w:r w:rsidRPr="002F2BE4">
        <w:rPr>
          <w:rFonts w:ascii="Arial" w:eastAsia="Arial" w:hAnsi="Arial" w:cs="Arial"/>
          <w:b/>
          <w:bCs/>
          <w:i/>
          <w:iCs/>
          <w:color w:val="000000"/>
          <w:sz w:val="20"/>
          <w:lang w:val="cs-CZ"/>
        </w:rPr>
        <w:lastRenderedPageBreak/>
        <w:t xml:space="preserve">Tabulka 2B: Indikátory výsledků pro Iniciativu na podporu zaměstnanosti mladých lidí (YEI) podle prioritních os nebo v části prioritní osy (čl. 19 odst. 3, příloha I a II nařízení o ESF) </w:t>
      </w:r>
      <w:r w:rsidRPr="002F2BE4">
        <w:rPr>
          <w:rFonts w:ascii="Arial" w:eastAsia="Arial" w:hAnsi="Arial" w:cs="Arial"/>
          <w:b/>
          <w:bCs/>
          <w:i/>
          <w:iCs/>
          <w:color w:val="000000"/>
          <w:sz w:val="16"/>
          <w:lang w:val="cs-CZ"/>
        </w:rPr>
        <w:t>(5)</w:t>
      </w:r>
    </w:p>
    <w:p w14:paraId="7AFDBAF8" w14:textId="77777777" w:rsidR="00FD35AB" w:rsidRDefault="00FD35AB" w:rsidP="001B2CC5">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03.1.49 Trvalé začlenění mladých lidí na trh práce, mimo jiné pomocí “záruky pro mladé lidi”, a to zejména těch, kteří nejsou ve vzdělávání, v zaměstnání nebo v profesní přípravě, včetně těch mladých lidí, kterým hrozí sociální vyloučení, a mladých lidí z marginalizovaných komunit</w:t>
      </w:r>
    </w:p>
    <w:tbl>
      <w:tblPr>
        <w:tblW w:w="15775" w:type="dxa"/>
        <w:tblInd w:w="75" w:type="dxa"/>
        <w:tblCellMar>
          <w:left w:w="70" w:type="dxa"/>
          <w:right w:w="70" w:type="dxa"/>
        </w:tblCellMar>
        <w:tblLook w:val="04A0" w:firstRow="1" w:lastRow="0" w:firstColumn="1" w:lastColumn="0" w:noHBand="0" w:noVBand="1"/>
      </w:tblPr>
      <w:tblGrid>
        <w:gridCol w:w="606"/>
        <w:gridCol w:w="4194"/>
        <w:gridCol w:w="1047"/>
        <w:gridCol w:w="993"/>
        <w:gridCol w:w="647"/>
        <w:gridCol w:w="646"/>
        <w:gridCol w:w="646"/>
        <w:gridCol w:w="723"/>
        <w:gridCol w:w="804"/>
        <w:gridCol w:w="825"/>
        <w:gridCol w:w="645"/>
        <w:gridCol w:w="645"/>
        <w:gridCol w:w="645"/>
        <w:gridCol w:w="645"/>
        <w:gridCol w:w="7"/>
        <w:gridCol w:w="1116"/>
        <w:gridCol w:w="7"/>
        <w:gridCol w:w="934"/>
      </w:tblGrid>
      <w:tr w:rsidR="00D95D25" w:rsidRPr="00D95D25" w14:paraId="0B66F6F7" w14:textId="77777777" w:rsidTr="00C94C8C">
        <w:trPr>
          <w:trHeight w:val="20"/>
          <w:tblHeader/>
        </w:trPr>
        <w:tc>
          <w:tcPr>
            <w:tcW w:w="6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08AF9E"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ID</w:t>
            </w:r>
          </w:p>
        </w:tc>
        <w:tc>
          <w:tcPr>
            <w:tcW w:w="41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F461C90"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Indikátor</w:t>
            </w:r>
          </w:p>
        </w:tc>
        <w:tc>
          <w:tcPr>
            <w:tcW w:w="10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FC283D2"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Měrná jednotka</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4480261"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Cílová hodnota (2023) (Rozdělení podle pohlaví je pro cíl nepovinné)</w:t>
            </w:r>
          </w:p>
        </w:tc>
        <w:tc>
          <w:tcPr>
            <w:tcW w:w="646" w:type="dxa"/>
            <w:tcBorders>
              <w:top w:val="single" w:sz="4" w:space="0" w:color="auto"/>
              <w:left w:val="nil"/>
              <w:bottom w:val="single" w:sz="4" w:space="0" w:color="auto"/>
              <w:right w:val="single" w:sz="4" w:space="0" w:color="auto"/>
            </w:tcBorders>
            <w:shd w:val="clear" w:color="auto" w:fill="auto"/>
            <w:vAlign w:val="center"/>
            <w:hideMark/>
          </w:tcPr>
          <w:p w14:paraId="39901D14"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2014</w:t>
            </w:r>
          </w:p>
        </w:tc>
        <w:tc>
          <w:tcPr>
            <w:tcW w:w="646" w:type="dxa"/>
            <w:tcBorders>
              <w:top w:val="single" w:sz="4" w:space="0" w:color="auto"/>
              <w:left w:val="nil"/>
              <w:bottom w:val="single" w:sz="4" w:space="0" w:color="auto"/>
              <w:right w:val="single" w:sz="4" w:space="0" w:color="auto"/>
            </w:tcBorders>
            <w:shd w:val="clear" w:color="auto" w:fill="auto"/>
            <w:vAlign w:val="center"/>
            <w:hideMark/>
          </w:tcPr>
          <w:p w14:paraId="68B859EF"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2015</w:t>
            </w:r>
          </w:p>
        </w:tc>
        <w:tc>
          <w:tcPr>
            <w:tcW w:w="646" w:type="dxa"/>
            <w:tcBorders>
              <w:top w:val="single" w:sz="4" w:space="0" w:color="auto"/>
              <w:left w:val="nil"/>
              <w:bottom w:val="single" w:sz="4" w:space="0" w:color="auto"/>
              <w:right w:val="single" w:sz="4" w:space="0" w:color="auto"/>
            </w:tcBorders>
            <w:shd w:val="clear" w:color="auto" w:fill="auto"/>
            <w:vAlign w:val="center"/>
            <w:hideMark/>
          </w:tcPr>
          <w:p w14:paraId="035F2595"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2016</w:t>
            </w:r>
          </w:p>
        </w:tc>
        <w:tc>
          <w:tcPr>
            <w:tcW w:w="723" w:type="dxa"/>
            <w:tcBorders>
              <w:top w:val="single" w:sz="4" w:space="0" w:color="auto"/>
              <w:left w:val="nil"/>
              <w:bottom w:val="single" w:sz="4" w:space="0" w:color="auto"/>
              <w:right w:val="single" w:sz="4" w:space="0" w:color="auto"/>
            </w:tcBorders>
            <w:shd w:val="clear" w:color="auto" w:fill="auto"/>
            <w:vAlign w:val="center"/>
            <w:hideMark/>
          </w:tcPr>
          <w:p w14:paraId="74316CFD"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2017</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272F1807"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2018</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54B99098"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2019</w:t>
            </w:r>
          </w:p>
        </w:tc>
        <w:tc>
          <w:tcPr>
            <w:tcW w:w="645" w:type="dxa"/>
            <w:tcBorders>
              <w:top w:val="single" w:sz="4" w:space="0" w:color="auto"/>
              <w:left w:val="nil"/>
              <w:bottom w:val="single" w:sz="4" w:space="0" w:color="auto"/>
              <w:right w:val="single" w:sz="4" w:space="0" w:color="auto"/>
            </w:tcBorders>
            <w:shd w:val="clear" w:color="auto" w:fill="auto"/>
            <w:vAlign w:val="center"/>
            <w:hideMark/>
          </w:tcPr>
          <w:p w14:paraId="6DECFF11"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2020</w:t>
            </w:r>
          </w:p>
        </w:tc>
        <w:tc>
          <w:tcPr>
            <w:tcW w:w="645" w:type="dxa"/>
            <w:tcBorders>
              <w:top w:val="single" w:sz="4" w:space="0" w:color="auto"/>
              <w:left w:val="nil"/>
              <w:bottom w:val="single" w:sz="4" w:space="0" w:color="auto"/>
              <w:right w:val="single" w:sz="4" w:space="0" w:color="auto"/>
            </w:tcBorders>
            <w:shd w:val="clear" w:color="auto" w:fill="auto"/>
            <w:vAlign w:val="center"/>
            <w:hideMark/>
          </w:tcPr>
          <w:p w14:paraId="380225F0"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2021</w:t>
            </w:r>
          </w:p>
        </w:tc>
        <w:tc>
          <w:tcPr>
            <w:tcW w:w="645" w:type="dxa"/>
            <w:tcBorders>
              <w:top w:val="single" w:sz="4" w:space="0" w:color="auto"/>
              <w:left w:val="nil"/>
              <w:bottom w:val="single" w:sz="4" w:space="0" w:color="auto"/>
              <w:right w:val="single" w:sz="4" w:space="0" w:color="auto"/>
            </w:tcBorders>
            <w:shd w:val="clear" w:color="auto" w:fill="auto"/>
            <w:vAlign w:val="center"/>
            <w:hideMark/>
          </w:tcPr>
          <w:p w14:paraId="45763E48"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2022</w:t>
            </w:r>
          </w:p>
        </w:tc>
        <w:tc>
          <w:tcPr>
            <w:tcW w:w="645" w:type="dxa"/>
            <w:tcBorders>
              <w:top w:val="single" w:sz="4" w:space="0" w:color="auto"/>
              <w:left w:val="nil"/>
              <w:bottom w:val="single" w:sz="4" w:space="0" w:color="auto"/>
              <w:right w:val="single" w:sz="4" w:space="0" w:color="auto"/>
            </w:tcBorders>
            <w:shd w:val="clear" w:color="auto" w:fill="auto"/>
            <w:vAlign w:val="center"/>
            <w:hideMark/>
          </w:tcPr>
          <w:p w14:paraId="64401EAE"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2023</w:t>
            </w:r>
          </w:p>
        </w:tc>
        <w:tc>
          <w:tcPr>
            <w:tcW w:w="1123" w:type="dxa"/>
            <w:gridSpan w:val="2"/>
            <w:tcBorders>
              <w:top w:val="single" w:sz="4" w:space="0" w:color="auto"/>
              <w:left w:val="nil"/>
              <w:bottom w:val="single" w:sz="4" w:space="0" w:color="auto"/>
              <w:right w:val="single" w:sz="4" w:space="0" w:color="auto"/>
            </w:tcBorders>
            <w:shd w:val="clear" w:color="auto" w:fill="auto"/>
            <w:vAlign w:val="center"/>
            <w:hideMark/>
          </w:tcPr>
          <w:p w14:paraId="0AE5E0D7"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Kumulativní hodnota (vypočítána automaticky)</w:t>
            </w:r>
          </w:p>
        </w:tc>
        <w:tc>
          <w:tcPr>
            <w:tcW w:w="941"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FEF539A"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Míra splnění Rozdělení podle pohlaví je nepovinné</w:t>
            </w:r>
          </w:p>
        </w:tc>
      </w:tr>
      <w:tr w:rsidR="00D95D25" w:rsidRPr="00D95D25" w14:paraId="43DC2B4C" w14:textId="77777777" w:rsidTr="00C94C8C">
        <w:trPr>
          <w:trHeight w:val="20"/>
          <w:tblHeader/>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081D282B" w14:textId="77777777" w:rsidR="00D95D25" w:rsidRPr="00D95D25" w:rsidRDefault="00D95D25" w:rsidP="00D95D25">
            <w:pPr>
              <w:rPr>
                <w:rFonts w:ascii="Arial" w:eastAsia="Times New Roman" w:hAnsi="Arial" w:cs="Arial"/>
                <w:b/>
                <w:bCs/>
                <w:color w:val="000000"/>
                <w:sz w:val="14"/>
                <w:szCs w:val="14"/>
                <w:lang w:val="cs-CZ" w:eastAsia="cs-CZ"/>
              </w:rPr>
            </w:pPr>
          </w:p>
        </w:tc>
        <w:tc>
          <w:tcPr>
            <w:tcW w:w="4191" w:type="dxa"/>
            <w:vMerge/>
            <w:tcBorders>
              <w:top w:val="single" w:sz="4" w:space="0" w:color="auto"/>
              <w:left w:val="single" w:sz="4" w:space="0" w:color="auto"/>
              <w:bottom w:val="single" w:sz="4" w:space="0" w:color="auto"/>
              <w:right w:val="single" w:sz="4" w:space="0" w:color="auto"/>
            </w:tcBorders>
            <w:vAlign w:val="center"/>
            <w:hideMark/>
          </w:tcPr>
          <w:p w14:paraId="619AA334" w14:textId="77777777" w:rsidR="00D95D25" w:rsidRPr="00D95D25" w:rsidRDefault="00D95D25" w:rsidP="00D95D25">
            <w:pPr>
              <w:rPr>
                <w:rFonts w:ascii="Arial" w:eastAsia="Times New Roman" w:hAnsi="Arial" w:cs="Arial"/>
                <w:b/>
                <w:bCs/>
                <w:color w:val="000000"/>
                <w:sz w:val="14"/>
                <w:szCs w:val="14"/>
                <w:lang w:val="cs-CZ" w:eastAsia="cs-CZ"/>
              </w:rPr>
            </w:pPr>
          </w:p>
        </w:tc>
        <w:tc>
          <w:tcPr>
            <w:tcW w:w="1046" w:type="dxa"/>
            <w:vMerge/>
            <w:tcBorders>
              <w:top w:val="single" w:sz="4" w:space="0" w:color="auto"/>
              <w:left w:val="single" w:sz="4" w:space="0" w:color="auto"/>
              <w:bottom w:val="single" w:sz="4" w:space="0" w:color="auto"/>
              <w:right w:val="single" w:sz="4" w:space="0" w:color="auto"/>
            </w:tcBorders>
            <w:vAlign w:val="center"/>
            <w:hideMark/>
          </w:tcPr>
          <w:p w14:paraId="0473FAD4" w14:textId="77777777" w:rsidR="00D95D25" w:rsidRPr="00D95D25" w:rsidRDefault="00D95D25" w:rsidP="00D95D25">
            <w:pPr>
              <w:rPr>
                <w:rFonts w:ascii="Arial" w:eastAsia="Times New Roman" w:hAnsi="Arial" w:cs="Arial"/>
                <w:b/>
                <w:bCs/>
                <w:color w:val="000000"/>
                <w:sz w:val="14"/>
                <w:szCs w:val="14"/>
                <w:lang w:val="cs-CZ" w:eastAsia="cs-CZ"/>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06A50EF" w14:textId="77777777" w:rsidR="00D95D25" w:rsidRPr="00D95D25" w:rsidRDefault="00D95D25" w:rsidP="00D95D25">
            <w:pPr>
              <w:rPr>
                <w:rFonts w:ascii="Arial" w:eastAsia="Times New Roman" w:hAnsi="Arial" w:cs="Arial"/>
                <w:b/>
                <w:bCs/>
                <w:color w:val="000000"/>
                <w:sz w:val="14"/>
                <w:szCs w:val="14"/>
                <w:lang w:val="cs-CZ" w:eastAsia="cs-CZ"/>
              </w:rPr>
            </w:pPr>
          </w:p>
        </w:tc>
        <w:tc>
          <w:tcPr>
            <w:tcW w:w="6877" w:type="dxa"/>
            <w:gridSpan w:val="11"/>
            <w:tcBorders>
              <w:top w:val="single" w:sz="4" w:space="0" w:color="auto"/>
              <w:left w:val="nil"/>
              <w:bottom w:val="single" w:sz="4" w:space="0" w:color="auto"/>
              <w:right w:val="single" w:sz="4" w:space="0" w:color="auto"/>
            </w:tcBorders>
            <w:shd w:val="clear" w:color="auto" w:fill="auto"/>
            <w:vAlign w:val="center"/>
            <w:hideMark/>
          </w:tcPr>
          <w:p w14:paraId="39AFCA53"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Roční hodnota</w:t>
            </w:r>
          </w:p>
        </w:tc>
        <w:tc>
          <w:tcPr>
            <w:tcW w:w="1123" w:type="dxa"/>
            <w:gridSpan w:val="2"/>
            <w:tcBorders>
              <w:top w:val="nil"/>
              <w:left w:val="nil"/>
              <w:bottom w:val="single" w:sz="4" w:space="0" w:color="auto"/>
              <w:right w:val="single" w:sz="4" w:space="0" w:color="auto"/>
            </w:tcBorders>
            <w:shd w:val="clear" w:color="auto" w:fill="auto"/>
            <w:vAlign w:val="center"/>
            <w:hideMark/>
          </w:tcPr>
          <w:p w14:paraId="27F1A267"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Celkem</w:t>
            </w:r>
          </w:p>
        </w:tc>
        <w:tc>
          <w:tcPr>
            <w:tcW w:w="941" w:type="dxa"/>
            <w:vMerge/>
            <w:tcBorders>
              <w:top w:val="single" w:sz="4" w:space="0" w:color="auto"/>
              <w:left w:val="single" w:sz="4" w:space="0" w:color="auto"/>
              <w:bottom w:val="single" w:sz="4" w:space="0" w:color="000000"/>
              <w:right w:val="single" w:sz="4" w:space="0" w:color="auto"/>
            </w:tcBorders>
            <w:vAlign w:val="center"/>
            <w:hideMark/>
          </w:tcPr>
          <w:p w14:paraId="7BF0117F" w14:textId="77777777" w:rsidR="00D95D25" w:rsidRPr="00D95D25" w:rsidRDefault="00D95D25" w:rsidP="00D95D25">
            <w:pPr>
              <w:rPr>
                <w:rFonts w:ascii="Arial" w:eastAsia="Times New Roman" w:hAnsi="Arial" w:cs="Arial"/>
                <w:b/>
                <w:bCs/>
                <w:color w:val="000000"/>
                <w:sz w:val="14"/>
                <w:szCs w:val="14"/>
                <w:lang w:val="cs-CZ" w:eastAsia="cs-CZ"/>
              </w:rPr>
            </w:pPr>
          </w:p>
        </w:tc>
      </w:tr>
      <w:tr w:rsidR="00D95D25" w:rsidRPr="00D95D25" w14:paraId="4DAB7B98" w14:textId="77777777" w:rsidTr="00C94C8C">
        <w:trPr>
          <w:trHeight w:val="20"/>
          <w:tblHeader/>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7075EDAE" w14:textId="77777777" w:rsidR="00D95D25" w:rsidRPr="00D95D25" w:rsidRDefault="00D95D25" w:rsidP="00D95D25">
            <w:pPr>
              <w:rPr>
                <w:rFonts w:ascii="Arial" w:eastAsia="Times New Roman" w:hAnsi="Arial" w:cs="Arial"/>
                <w:b/>
                <w:bCs/>
                <w:color w:val="000000"/>
                <w:sz w:val="14"/>
                <w:szCs w:val="14"/>
                <w:lang w:val="cs-CZ" w:eastAsia="cs-CZ"/>
              </w:rPr>
            </w:pPr>
          </w:p>
        </w:tc>
        <w:tc>
          <w:tcPr>
            <w:tcW w:w="4191" w:type="dxa"/>
            <w:vMerge/>
            <w:tcBorders>
              <w:top w:val="single" w:sz="4" w:space="0" w:color="auto"/>
              <w:left w:val="single" w:sz="4" w:space="0" w:color="auto"/>
              <w:bottom w:val="single" w:sz="4" w:space="0" w:color="auto"/>
              <w:right w:val="single" w:sz="4" w:space="0" w:color="auto"/>
            </w:tcBorders>
            <w:vAlign w:val="center"/>
            <w:hideMark/>
          </w:tcPr>
          <w:p w14:paraId="772C1BB4" w14:textId="77777777" w:rsidR="00D95D25" w:rsidRPr="00D95D25" w:rsidRDefault="00D95D25" w:rsidP="00D95D25">
            <w:pPr>
              <w:rPr>
                <w:rFonts w:ascii="Arial" w:eastAsia="Times New Roman" w:hAnsi="Arial" w:cs="Arial"/>
                <w:b/>
                <w:bCs/>
                <w:color w:val="000000"/>
                <w:sz w:val="14"/>
                <w:szCs w:val="14"/>
                <w:lang w:val="cs-CZ" w:eastAsia="cs-CZ"/>
              </w:rPr>
            </w:pPr>
          </w:p>
        </w:tc>
        <w:tc>
          <w:tcPr>
            <w:tcW w:w="1046" w:type="dxa"/>
            <w:vMerge/>
            <w:tcBorders>
              <w:top w:val="single" w:sz="4" w:space="0" w:color="auto"/>
              <w:left w:val="single" w:sz="4" w:space="0" w:color="auto"/>
              <w:bottom w:val="single" w:sz="4" w:space="0" w:color="auto"/>
              <w:right w:val="single" w:sz="4" w:space="0" w:color="auto"/>
            </w:tcBorders>
            <w:vAlign w:val="center"/>
            <w:hideMark/>
          </w:tcPr>
          <w:p w14:paraId="722FAD04" w14:textId="77777777" w:rsidR="00D95D25" w:rsidRPr="00D95D25" w:rsidRDefault="00D95D25" w:rsidP="00D95D25">
            <w:pPr>
              <w:rPr>
                <w:rFonts w:ascii="Arial" w:eastAsia="Times New Roman" w:hAnsi="Arial" w:cs="Arial"/>
                <w:b/>
                <w:bCs/>
                <w:color w:val="000000"/>
                <w:sz w:val="14"/>
                <w:szCs w:val="14"/>
                <w:lang w:val="cs-CZ" w:eastAsia="cs-CZ"/>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A0D708F" w14:textId="77777777" w:rsidR="00D95D25" w:rsidRPr="00D95D25" w:rsidRDefault="00D95D25" w:rsidP="00D95D25">
            <w:pPr>
              <w:rPr>
                <w:rFonts w:ascii="Arial" w:eastAsia="Times New Roman" w:hAnsi="Arial" w:cs="Arial"/>
                <w:b/>
                <w:bCs/>
                <w:color w:val="000000"/>
                <w:sz w:val="14"/>
                <w:szCs w:val="14"/>
                <w:lang w:val="cs-CZ" w:eastAsia="cs-CZ"/>
              </w:rPr>
            </w:pPr>
          </w:p>
        </w:tc>
        <w:tc>
          <w:tcPr>
            <w:tcW w:w="646" w:type="dxa"/>
            <w:tcBorders>
              <w:top w:val="nil"/>
              <w:left w:val="nil"/>
              <w:bottom w:val="single" w:sz="4" w:space="0" w:color="auto"/>
              <w:right w:val="single" w:sz="4" w:space="0" w:color="auto"/>
            </w:tcBorders>
            <w:shd w:val="clear" w:color="auto" w:fill="auto"/>
            <w:vAlign w:val="center"/>
            <w:hideMark/>
          </w:tcPr>
          <w:p w14:paraId="60A3EC66"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646" w:type="dxa"/>
            <w:tcBorders>
              <w:top w:val="nil"/>
              <w:left w:val="nil"/>
              <w:bottom w:val="single" w:sz="4" w:space="0" w:color="auto"/>
              <w:right w:val="single" w:sz="4" w:space="0" w:color="auto"/>
            </w:tcBorders>
            <w:shd w:val="clear" w:color="auto" w:fill="auto"/>
            <w:vAlign w:val="center"/>
            <w:hideMark/>
          </w:tcPr>
          <w:p w14:paraId="0BB0E5B7"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646" w:type="dxa"/>
            <w:tcBorders>
              <w:top w:val="nil"/>
              <w:left w:val="nil"/>
              <w:bottom w:val="single" w:sz="4" w:space="0" w:color="auto"/>
              <w:right w:val="single" w:sz="4" w:space="0" w:color="auto"/>
            </w:tcBorders>
            <w:shd w:val="clear" w:color="auto" w:fill="auto"/>
            <w:vAlign w:val="center"/>
            <w:hideMark/>
          </w:tcPr>
          <w:p w14:paraId="1C695D19"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723" w:type="dxa"/>
            <w:tcBorders>
              <w:top w:val="nil"/>
              <w:left w:val="nil"/>
              <w:bottom w:val="single" w:sz="4" w:space="0" w:color="auto"/>
              <w:right w:val="single" w:sz="4" w:space="0" w:color="auto"/>
            </w:tcBorders>
            <w:shd w:val="clear" w:color="auto" w:fill="auto"/>
            <w:vAlign w:val="center"/>
            <w:hideMark/>
          </w:tcPr>
          <w:p w14:paraId="112543BA"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auto" w:fill="auto"/>
            <w:vAlign w:val="center"/>
            <w:hideMark/>
          </w:tcPr>
          <w:p w14:paraId="5DA40086"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825" w:type="dxa"/>
            <w:tcBorders>
              <w:top w:val="nil"/>
              <w:left w:val="nil"/>
              <w:bottom w:val="single" w:sz="4" w:space="0" w:color="auto"/>
              <w:right w:val="single" w:sz="4" w:space="0" w:color="auto"/>
            </w:tcBorders>
            <w:shd w:val="clear" w:color="auto" w:fill="auto"/>
            <w:vAlign w:val="center"/>
            <w:hideMark/>
          </w:tcPr>
          <w:p w14:paraId="77B4F93B"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645" w:type="dxa"/>
            <w:tcBorders>
              <w:top w:val="nil"/>
              <w:left w:val="nil"/>
              <w:bottom w:val="single" w:sz="4" w:space="0" w:color="auto"/>
              <w:right w:val="single" w:sz="4" w:space="0" w:color="auto"/>
            </w:tcBorders>
            <w:shd w:val="clear" w:color="auto" w:fill="auto"/>
            <w:vAlign w:val="center"/>
            <w:hideMark/>
          </w:tcPr>
          <w:p w14:paraId="74CA437E"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645" w:type="dxa"/>
            <w:tcBorders>
              <w:top w:val="nil"/>
              <w:left w:val="nil"/>
              <w:bottom w:val="single" w:sz="4" w:space="0" w:color="auto"/>
              <w:right w:val="single" w:sz="4" w:space="0" w:color="auto"/>
            </w:tcBorders>
            <w:shd w:val="clear" w:color="auto" w:fill="auto"/>
            <w:vAlign w:val="center"/>
            <w:hideMark/>
          </w:tcPr>
          <w:p w14:paraId="0E8C2ABE"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645" w:type="dxa"/>
            <w:tcBorders>
              <w:top w:val="nil"/>
              <w:left w:val="nil"/>
              <w:bottom w:val="single" w:sz="4" w:space="0" w:color="auto"/>
              <w:right w:val="single" w:sz="4" w:space="0" w:color="auto"/>
            </w:tcBorders>
            <w:shd w:val="clear" w:color="auto" w:fill="auto"/>
            <w:vAlign w:val="center"/>
            <w:hideMark/>
          </w:tcPr>
          <w:p w14:paraId="32507924"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645" w:type="dxa"/>
            <w:tcBorders>
              <w:top w:val="nil"/>
              <w:left w:val="nil"/>
              <w:bottom w:val="single" w:sz="4" w:space="0" w:color="auto"/>
              <w:right w:val="single" w:sz="4" w:space="0" w:color="auto"/>
            </w:tcBorders>
            <w:shd w:val="clear" w:color="auto" w:fill="auto"/>
            <w:vAlign w:val="center"/>
            <w:hideMark/>
          </w:tcPr>
          <w:p w14:paraId="544423CF"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1123" w:type="dxa"/>
            <w:gridSpan w:val="2"/>
            <w:tcBorders>
              <w:top w:val="nil"/>
              <w:left w:val="nil"/>
              <w:bottom w:val="single" w:sz="4" w:space="0" w:color="auto"/>
              <w:right w:val="single" w:sz="4" w:space="0" w:color="auto"/>
            </w:tcBorders>
            <w:shd w:val="clear" w:color="auto" w:fill="auto"/>
            <w:vAlign w:val="center"/>
            <w:hideMark/>
          </w:tcPr>
          <w:p w14:paraId="551E8BD9"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M</w:t>
            </w:r>
          </w:p>
        </w:tc>
        <w:tc>
          <w:tcPr>
            <w:tcW w:w="941" w:type="dxa"/>
            <w:gridSpan w:val="2"/>
            <w:vMerge/>
            <w:tcBorders>
              <w:top w:val="single" w:sz="4" w:space="0" w:color="auto"/>
              <w:left w:val="single" w:sz="4" w:space="0" w:color="auto"/>
              <w:bottom w:val="single" w:sz="4" w:space="0" w:color="000000"/>
              <w:right w:val="single" w:sz="4" w:space="0" w:color="auto"/>
            </w:tcBorders>
            <w:vAlign w:val="center"/>
            <w:hideMark/>
          </w:tcPr>
          <w:p w14:paraId="0FE7E0E5" w14:textId="77777777" w:rsidR="00D95D25" w:rsidRPr="00D95D25" w:rsidRDefault="00D95D25" w:rsidP="00D95D25">
            <w:pPr>
              <w:rPr>
                <w:rFonts w:ascii="Arial" w:eastAsia="Times New Roman" w:hAnsi="Arial" w:cs="Arial"/>
                <w:b/>
                <w:bCs/>
                <w:color w:val="000000"/>
                <w:sz w:val="14"/>
                <w:szCs w:val="14"/>
                <w:lang w:val="cs-CZ" w:eastAsia="cs-CZ"/>
              </w:rPr>
            </w:pPr>
          </w:p>
        </w:tc>
      </w:tr>
      <w:tr w:rsidR="00D95D25" w:rsidRPr="00D95D25" w14:paraId="57EB67B7" w14:textId="77777777" w:rsidTr="00C94C8C">
        <w:trPr>
          <w:trHeight w:val="20"/>
          <w:tblHeader/>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46B15E38" w14:textId="77777777" w:rsidR="00D95D25" w:rsidRPr="00D95D25" w:rsidRDefault="00D95D25" w:rsidP="00D95D25">
            <w:pPr>
              <w:rPr>
                <w:rFonts w:ascii="Arial" w:eastAsia="Times New Roman" w:hAnsi="Arial" w:cs="Arial"/>
                <w:b/>
                <w:bCs/>
                <w:color w:val="000000"/>
                <w:sz w:val="14"/>
                <w:szCs w:val="14"/>
                <w:lang w:val="cs-CZ" w:eastAsia="cs-CZ"/>
              </w:rPr>
            </w:pPr>
          </w:p>
        </w:tc>
        <w:tc>
          <w:tcPr>
            <w:tcW w:w="4191" w:type="dxa"/>
            <w:vMerge/>
            <w:tcBorders>
              <w:top w:val="single" w:sz="4" w:space="0" w:color="auto"/>
              <w:left w:val="single" w:sz="4" w:space="0" w:color="auto"/>
              <w:bottom w:val="single" w:sz="4" w:space="0" w:color="auto"/>
              <w:right w:val="single" w:sz="4" w:space="0" w:color="auto"/>
            </w:tcBorders>
            <w:vAlign w:val="center"/>
            <w:hideMark/>
          </w:tcPr>
          <w:p w14:paraId="1D7868AE" w14:textId="77777777" w:rsidR="00D95D25" w:rsidRPr="00D95D25" w:rsidRDefault="00D95D25" w:rsidP="00D95D25">
            <w:pPr>
              <w:rPr>
                <w:rFonts w:ascii="Arial" w:eastAsia="Times New Roman" w:hAnsi="Arial" w:cs="Arial"/>
                <w:b/>
                <w:bCs/>
                <w:color w:val="000000"/>
                <w:sz w:val="14"/>
                <w:szCs w:val="14"/>
                <w:lang w:val="cs-CZ" w:eastAsia="cs-CZ"/>
              </w:rPr>
            </w:pPr>
          </w:p>
        </w:tc>
        <w:tc>
          <w:tcPr>
            <w:tcW w:w="1046" w:type="dxa"/>
            <w:vMerge/>
            <w:tcBorders>
              <w:top w:val="single" w:sz="4" w:space="0" w:color="auto"/>
              <w:left w:val="single" w:sz="4" w:space="0" w:color="auto"/>
              <w:bottom w:val="single" w:sz="4" w:space="0" w:color="auto"/>
              <w:right w:val="single" w:sz="4" w:space="0" w:color="auto"/>
            </w:tcBorders>
            <w:vAlign w:val="center"/>
            <w:hideMark/>
          </w:tcPr>
          <w:p w14:paraId="2F54A8FD" w14:textId="77777777" w:rsidR="00D95D25" w:rsidRPr="00D95D25" w:rsidRDefault="00D95D25" w:rsidP="00D95D25">
            <w:pPr>
              <w:rPr>
                <w:rFonts w:ascii="Arial" w:eastAsia="Times New Roman" w:hAnsi="Arial" w:cs="Arial"/>
                <w:b/>
                <w:bCs/>
                <w:color w:val="000000"/>
                <w:sz w:val="14"/>
                <w:szCs w:val="14"/>
                <w:lang w:val="cs-CZ" w:eastAsia="cs-CZ"/>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DE3BA37" w14:textId="77777777" w:rsidR="00D95D25" w:rsidRPr="00D95D25" w:rsidRDefault="00D95D25" w:rsidP="00D95D25">
            <w:pPr>
              <w:rPr>
                <w:rFonts w:ascii="Arial" w:eastAsia="Times New Roman" w:hAnsi="Arial" w:cs="Arial"/>
                <w:b/>
                <w:bCs/>
                <w:color w:val="000000"/>
                <w:sz w:val="14"/>
                <w:szCs w:val="14"/>
                <w:lang w:val="cs-CZ" w:eastAsia="cs-CZ"/>
              </w:rPr>
            </w:pPr>
          </w:p>
        </w:tc>
        <w:tc>
          <w:tcPr>
            <w:tcW w:w="646" w:type="dxa"/>
            <w:tcBorders>
              <w:top w:val="nil"/>
              <w:left w:val="nil"/>
              <w:bottom w:val="single" w:sz="4" w:space="0" w:color="auto"/>
              <w:right w:val="single" w:sz="4" w:space="0" w:color="auto"/>
            </w:tcBorders>
            <w:shd w:val="clear" w:color="auto" w:fill="auto"/>
            <w:vAlign w:val="center"/>
            <w:hideMark/>
          </w:tcPr>
          <w:p w14:paraId="046BB4B0"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646" w:type="dxa"/>
            <w:tcBorders>
              <w:top w:val="nil"/>
              <w:left w:val="nil"/>
              <w:bottom w:val="single" w:sz="4" w:space="0" w:color="auto"/>
              <w:right w:val="single" w:sz="4" w:space="0" w:color="auto"/>
            </w:tcBorders>
            <w:shd w:val="clear" w:color="auto" w:fill="auto"/>
            <w:vAlign w:val="center"/>
            <w:hideMark/>
          </w:tcPr>
          <w:p w14:paraId="32FF7C36"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646" w:type="dxa"/>
            <w:tcBorders>
              <w:top w:val="nil"/>
              <w:left w:val="nil"/>
              <w:bottom w:val="single" w:sz="4" w:space="0" w:color="auto"/>
              <w:right w:val="single" w:sz="4" w:space="0" w:color="auto"/>
            </w:tcBorders>
            <w:shd w:val="clear" w:color="auto" w:fill="auto"/>
            <w:vAlign w:val="center"/>
            <w:hideMark/>
          </w:tcPr>
          <w:p w14:paraId="0E4CE6E8"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723" w:type="dxa"/>
            <w:tcBorders>
              <w:top w:val="nil"/>
              <w:left w:val="nil"/>
              <w:bottom w:val="single" w:sz="4" w:space="0" w:color="auto"/>
              <w:right w:val="single" w:sz="4" w:space="0" w:color="auto"/>
            </w:tcBorders>
            <w:shd w:val="clear" w:color="auto" w:fill="auto"/>
            <w:vAlign w:val="center"/>
            <w:hideMark/>
          </w:tcPr>
          <w:p w14:paraId="37430A1B"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auto" w:fill="auto"/>
            <w:vAlign w:val="center"/>
            <w:hideMark/>
          </w:tcPr>
          <w:p w14:paraId="21E76DA6"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825" w:type="dxa"/>
            <w:tcBorders>
              <w:top w:val="nil"/>
              <w:left w:val="nil"/>
              <w:bottom w:val="single" w:sz="4" w:space="0" w:color="auto"/>
              <w:right w:val="single" w:sz="4" w:space="0" w:color="auto"/>
            </w:tcBorders>
            <w:shd w:val="clear" w:color="auto" w:fill="auto"/>
            <w:vAlign w:val="center"/>
            <w:hideMark/>
          </w:tcPr>
          <w:p w14:paraId="466649DA"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645" w:type="dxa"/>
            <w:tcBorders>
              <w:top w:val="nil"/>
              <w:left w:val="nil"/>
              <w:bottom w:val="single" w:sz="4" w:space="0" w:color="auto"/>
              <w:right w:val="single" w:sz="4" w:space="0" w:color="auto"/>
            </w:tcBorders>
            <w:shd w:val="clear" w:color="auto" w:fill="auto"/>
            <w:vAlign w:val="center"/>
            <w:hideMark/>
          </w:tcPr>
          <w:p w14:paraId="5D2C1426"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645" w:type="dxa"/>
            <w:tcBorders>
              <w:top w:val="nil"/>
              <w:left w:val="nil"/>
              <w:bottom w:val="single" w:sz="4" w:space="0" w:color="auto"/>
              <w:right w:val="single" w:sz="4" w:space="0" w:color="auto"/>
            </w:tcBorders>
            <w:shd w:val="clear" w:color="auto" w:fill="auto"/>
            <w:vAlign w:val="center"/>
            <w:hideMark/>
          </w:tcPr>
          <w:p w14:paraId="7F0DDB7B"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645" w:type="dxa"/>
            <w:tcBorders>
              <w:top w:val="nil"/>
              <w:left w:val="nil"/>
              <w:bottom w:val="single" w:sz="4" w:space="0" w:color="auto"/>
              <w:right w:val="single" w:sz="4" w:space="0" w:color="auto"/>
            </w:tcBorders>
            <w:shd w:val="clear" w:color="auto" w:fill="auto"/>
            <w:vAlign w:val="center"/>
            <w:hideMark/>
          </w:tcPr>
          <w:p w14:paraId="51A9EA2E"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645" w:type="dxa"/>
            <w:tcBorders>
              <w:top w:val="nil"/>
              <w:left w:val="nil"/>
              <w:bottom w:val="single" w:sz="4" w:space="0" w:color="auto"/>
              <w:right w:val="single" w:sz="4" w:space="0" w:color="auto"/>
            </w:tcBorders>
            <w:shd w:val="clear" w:color="auto" w:fill="auto"/>
            <w:vAlign w:val="center"/>
            <w:hideMark/>
          </w:tcPr>
          <w:p w14:paraId="7E89C125"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1123" w:type="dxa"/>
            <w:gridSpan w:val="2"/>
            <w:tcBorders>
              <w:top w:val="nil"/>
              <w:left w:val="nil"/>
              <w:bottom w:val="single" w:sz="4" w:space="0" w:color="auto"/>
              <w:right w:val="single" w:sz="4" w:space="0" w:color="auto"/>
            </w:tcBorders>
            <w:shd w:val="clear" w:color="auto" w:fill="auto"/>
            <w:vAlign w:val="center"/>
            <w:hideMark/>
          </w:tcPr>
          <w:p w14:paraId="05C3B1DD" w14:textId="77777777" w:rsidR="00D95D25" w:rsidRPr="00D95D25" w:rsidRDefault="00D95D25" w:rsidP="00D95D25">
            <w:pPr>
              <w:jc w:val="center"/>
              <w:rPr>
                <w:rFonts w:ascii="Arial" w:eastAsia="Times New Roman" w:hAnsi="Arial" w:cs="Arial"/>
                <w:b/>
                <w:bCs/>
                <w:color w:val="000000"/>
                <w:sz w:val="14"/>
                <w:szCs w:val="14"/>
                <w:lang w:val="cs-CZ" w:eastAsia="cs-CZ"/>
              </w:rPr>
            </w:pPr>
            <w:r w:rsidRPr="00D95D25">
              <w:rPr>
                <w:rFonts w:ascii="Arial" w:eastAsia="Times New Roman" w:hAnsi="Arial" w:cs="Arial"/>
                <w:b/>
                <w:bCs/>
                <w:color w:val="000000"/>
                <w:sz w:val="14"/>
                <w:szCs w:val="14"/>
                <w:lang w:val="cs-CZ" w:eastAsia="cs-CZ"/>
              </w:rPr>
              <w:t>Ž</w:t>
            </w:r>
          </w:p>
        </w:tc>
        <w:tc>
          <w:tcPr>
            <w:tcW w:w="941" w:type="dxa"/>
            <w:gridSpan w:val="2"/>
            <w:vMerge/>
            <w:tcBorders>
              <w:top w:val="single" w:sz="4" w:space="0" w:color="auto"/>
              <w:left w:val="single" w:sz="4" w:space="0" w:color="auto"/>
              <w:bottom w:val="single" w:sz="4" w:space="0" w:color="000000"/>
              <w:right w:val="single" w:sz="4" w:space="0" w:color="auto"/>
            </w:tcBorders>
            <w:vAlign w:val="center"/>
            <w:hideMark/>
          </w:tcPr>
          <w:p w14:paraId="3F8B23DB" w14:textId="77777777" w:rsidR="00D95D25" w:rsidRPr="00D95D25" w:rsidRDefault="00D95D25" w:rsidP="00D95D25">
            <w:pPr>
              <w:rPr>
                <w:rFonts w:ascii="Arial" w:eastAsia="Times New Roman" w:hAnsi="Arial" w:cs="Arial"/>
                <w:b/>
                <w:bCs/>
                <w:color w:val="000000"/>
                <w:sz w:val="14"/>
                <w:szCs w:val="14"/>
                <w:lang w:val="cs-CZ" w:eastAsia="cs-CZ"/>
              </w:rPr>
            </w:pPr>
          </w:p>
        </w:tc>
      </w:tr>
      <w:tr w:rsidR="00D95D25" w:rsidRPr="00D95D25" w14:paraId="11484169"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CF6CB8A"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64100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EB7B3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Nezaměstnaní účastníci, kteří dokončili program podporovaný YEI</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E215FD"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72692D"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2500</w:t>
            </w:r>
          </w:p>
        </w:tc>
        <w:tc>
          <w:tcPr>
            <w:tcW w:w="646" w:type="dxa"/>
            <w:tcBorders>
              <w:top w:val="nil"/>
              <w:left w:val="nil"/>
              <w:bottom w:val="single" w:sz="4" w:space="0" w:color="auto"/>
              <w:right w:val="single" w:sz="4" w:space="0" w:color="auto"/>
            </w:tcBorders>
            <w:shd w:val="clear" w:color="auto" w:fill="auto"/>
            <w:vAlign w:val="center"/>
            <w:hideMark/>
          </w:tcPr>
          <w:p w14:paraId="7A3983CA"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single" w:sz="4" w:space="0" w:color="auto"/>
              <w:right w:val="single" w:sz="4" w:space="0" w:color="auto"/>
            </w:tcBorders>
            <w:shd w:val="clear" w:color="auto" w:fill="auto"/>
            <w:vAlign w:val="center"/>
            <w:hideMark/>
          </w:tcPr>
          <w:p w14:paraId="0B81CF2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single" w:sz="4" w:space="0" w:color="auto"/>
              <w:right w:val="single" w:sz="4" w:space="0" w:color="auto"/>
            </w:tcBorders>
            <w:shd w:val="clear" w:color="auto" w:fill="auto"/>
            <w:vAlign w:val="center"/>
            <w:hideMark/>
          </w:tcPr>
          <w:p w14:paraId="0DF5C66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single" w:sz="4" w:space="0" w:color="auto"/>
              <w:right w:val="single" w:sz="4" w:space="0" w:color="auto"/>
            </w:tcBorders>
            <w:shd w:val="clear" w:color="auto" w:fill="auto"/>
            <w:vAlign w:val="center"/>
            <w:hideMark/>
          </w:tcPr>
          <w:p w14:paraId="28C8CA6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A090C8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single" w:sz="4" w:space="0" w:color="auto"/>
              <w:right w:val="single" w:sz="4" w:space="0" w:color="auto"/>
            </w:tcBorders>
            <w:shd w:val="clear" w:color="auto" w:fill="auto"/>
            <w:vAlign w:val="center"/>
            <w:hideMark/>
          </w:tcPr>
          <w:p w14:paraId="0833A69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4089A94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7C2F966D"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48AAD60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5CE26D57"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75897A6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4 478,000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362A5694"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179,120%</w:t>
            </w:r>
          </w:p>
        </w:tc>
      </w:tr>
      <w:tr w:rsidR="00D95D25" w:rsidRPr="00D95D25" w14:paraId="305EE0AB"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1C02243A"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193478B3"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0D072447"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66076293"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auto" w:fill="auto"/>
            <w:vAlign w:val="center"/>
            <w:hideMark/>
          </w:tcPr>
          <w:p w14:paraId="445D96B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auto" w:fill="auto"/>
            <w:vAlign w:val="center"/>
            <w:hideMark/>
          </w:tcPr>
          <w:p w14:paraId="556CBBB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auto" w:fill="auto"/>
            <w:vAlign w:val="center"/>
            <w:hideMark/>
          </w:tcPr>
          <w:p w14:paraId="476AE46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auto" w:fill="auto"/>
            <w:vAlign w:val="center"/>
            <w:hideMark/>
          </w:tcPr>
          <w:p w14:paraId="6ACA0E3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115,000</w:t>
            </w:r>
          </w:p>
        </w:tc>
        <w:tc>
          <w:tcPr>
            <w:tcW w:w="804" w:type="dxa"/>
            <w:tcBorders>
              <w:top w:val="nil"/>
              <w:left w:val="nil"/>
              <w:bottom w:val="single" w:sz="4" w:space="0" w:color="auto"/>
              <w:right w:val="single" w:sz="4" w:space="0" w:color="auto"/>
            </w:tcBorders>
            <w:shd w:val="clear" w:color="auto" w:fill="auto"/>
            <w:vAlign w:val="center"/>
            <w:hideMark/>
          </w:tcPr>
          <w:p w14:paraId="64909EB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933,000</w:t>
            </w:r>
          </w:p>
        </w:tc>
        <w:tc>
          <w:tcPr>
            <w:tcW w:w="825" w:type="dxa"/>
            <w:tcBorders>
              <w:top w:val="nil"/>
              <w:left w:val="nil"/>
              <w:bottom w:val="single" w:sz="4" w:space="0" w:color="auto"/>
              <w:right w:val="single" w:sz="4" w:space="0" w:color="auto"/>
            </w:tcBorders>
            <w:shd w:val="clear" w:color="auto" w:fill="auto"/>
            <w:vAlign w:val="center"/>
            <w:hideMark/>
          </w:tcPr>
          <w:p w14:paraId="1B26803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1 073,000</w:t>
            </w:r>
          </w:p>
        </w:tc>
        <w:tc>
          <w:tcPr>
            <w:tcW w:w="645" w:type="dxa"/>
            <w:tcBorders>
              <w:top w:val="nil"/>
              <w:left w:val="nil"/>
              <w:bottom w:val="single" w:sz="4" w:space="0" w:color="auto"/>
              <w:right w:val="single" w:sz="4" w:space="0" w:color="auto"/>
            </w:tcBorders>
            <w:shd w:val="clear" w:color="auto" w:fill="auto"/>
            <w:vAlign w:val="center"/>
            <w:hideMark/>
          </w:tcPr>
          <w:p w14:paraId="2F11A9B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53A9260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1B25A6A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0E76232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52FD05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2 121,000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7658310E"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3E5317A5"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42DDE041"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54F0F92D"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3B940BD7"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3996FE70"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auto" w:fill="auto"/>
            <w:vAlign w:val="center"/>
            <w:hideMark/>
          </w:tcPr>
          <w:p w14:paraId="70ABE58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auto" w:fill="auto"/>
            <w:vAlign w:val="center"/>
            <w:hideMark/>
          </w:tcPr>
          <w:p w14:paraId="0D9159E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auto" w:fill="auto"/>
            <w:vAlign w:val="center"/>
            <w:hideMark/>
          </w:tcPr>
          <w:p w14:paraId="1C323E6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auto" w:fill="auto"/>
            <w:vAlign w:val="center"/>
            <w:hideMark/>
          </w:tcPr>
          <w:p w14:paraId="4E9075D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141,000</w:t>
            </w:r>
          </w:p>
        </w:tc>
        <w:tc>
          <w:tcPr>
            <w:tcW w:w="804" w:type="dxa"/>
            <w:tcBorders>
              <w:top w:val="nil"/>
              <w:left w:val="nil"/>
              <w:bottom w:val="single" w:sz="4" w:space="0" w:color="auto"/>
              <w:right w:val="single" w:sz="4" w:space="0" w:color="auto"/>
            </w:tcBorders>
            <w:shd w:val="clear" w:color="auto" w:fill="auto"/>
            <w:vAlign w:val="center"/>
            <w:hideMark/>
          </w:tcPr>
          <w:p w14:paraId="1706A2F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1 008,000</w:t>
            </w:r>
          </w:p>
        </w:tc>
        <w:tc>
          <w:tcPr>
            <w:tcW w:w="825" w:type="dxa"/>
            <w:tcBorders>
              <w:top w:val="nil"/>
              <w:left w:val="nil"/>
              <w:bottom w:val="single" w:sz="4" w:space="0" w:color="auto"/>
              <w:right w:val="single" w:sz="4" w:space="0" w:color="auto"/>
            </w:tcBorders>
            <w:shd w:val="clear" w:color="auto" w:fill="auto"/>
            <w:vAlign w:val="center"/>
            <w:hideMark/>
          </w:tcPr>
          <w:p w14:paraId="74A58A2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1 208,000</w:t>
            </w:r>
          </w:p>
        </w:tc>
        <w:tc>
          <w:tcPr>
            <w:tcW w:w="645" w:type="dxa"/>
            <w:tcBorders>
              <w:top w:val="nil"/>
              <w:left w:val="nil"/>
              <w:bottom w:val="single" w:sz="4" w:space="0" w:color="auto"/>
              <w:right w:val="single" w:sz="4" w:space="0" w:color="auto"/>
            </w:tcBorders>
            <w:shd w:val="clear" w:color="auto" w:fill="auto"/>
            <w:vAlign w:val="center"/>
            <w:hideMark/>
          </w:tcPr>
          <w:p w14:paraId="0DB115F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5DA56A7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2DF1619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auto" w:fill="auto"/>
            <w:vAlign w:val="center"/>
            <w:hideMark/>
          </w:tcPr>
          <w:p w14:paraId="2039D75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60602C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2 357,000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0FA4BF7F"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011FD285"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BEEABD"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64200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40074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Nezaměstnaní účastníci, kteří po ukončení své účasti dostanou nabídku zaměstnání, dalšího vzdělávání, učňovské nebo odborné přípravy po ukončení své účasti</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6559CF"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5333AA1"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1500</w:t>
            </w:r>
          </w:p>
        </w:tc>
        <w:tc>
          <w:tcPr>
            <w:tcW w:w="646" w:type="dxa"/>
            <w:tcBorders>
              <w:top w:val="nil"/>
              <w:left w:val="nil"/>
              <w:bottom w:val="single" w:sz="4" w:space="0" w:color="auto"/>
              <w:right w:val="single" w:sz="4" w:space="0" w:color="auto"/>
            </w:tcBorders>
            <w:shd w:val="clear" w:color="000000" w:fill="FFFFFF"/>
            <w:vAlign w:val="center"/>
            <w:hideMark/>
          </w:tcPr>
          <w:p w14:paraId="795D29E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single" w:sz="4" w:space="0" w:color="auto"/>
              <w:right w:val="single" w:sz="4" w:space="0" w:color="auto"/>
            </w:tcBorders>
            <w:shd w:val="clear" w:color="000000" w:fill="FFFFFF"/>
            <w:vAlign w:val="center"/>
            <w:hideMark/>
          </w:tcPr>
          <w:p w14:paraId="061E311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single" w:sz="4" w:space="0" w:color="auto"/>
              <w:right w:val="single" w:sz="4" w:space="0" w:color="auto"/>
            </w:tcBorders>
            <w:shd w:val="clear" w:color="000000" w:fill="FFFFFF"/>
            <w:vAlign w:val="center"/>
            <w:hideMark/>
          </w:tcPr>
          <w:p w14:paraId="4F4EA1B7"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single" w:sz="4" w:space="0" w:color="auto"/>
              <w:right w:val="single" w:sz="4" w:space="0" w:color="auto"/>
            </w:tcBorders>
            <w:shd w:val="clear" w:color="000000" w:fill="FFFFFF"/>
            <w:vAlign w:val="center"/>
            <w:hideMark/>
          </w:tcPr>
          <w:p w14:paraId="169EB93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233E3E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single" w:sz="4" w:space="0" w:color="auto"/>
              <w:right w:val="single" w:sz="4" w:space="0" w:color="auto"/>
            </w:tcBorders>
            <w:shd w:val="clear" w:color="000000" w:fill="FFFFFF"/>
            <w:vAlign w:val="center"/>
            <w:hideMark/>
          </w:tcPr>
          <w:p w14:paraId="7BBB9B04"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6736D0D4"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3CF62FE7"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4B98976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37F5D04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C44A0B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418,000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1FD673A9"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27,867%</w:t>
            </w:r>
          </w:p>
        </w:tc>
      </w:tr>
      <w:tr w:rsidR="00D95D25" w:rsidRPr="00D95D25" w14:paraId="15A60328"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3CDBEDAA"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5C39792F"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23EAF0FE"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072C0FDA"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4068CDE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0FB0CBA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0C807A6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37E409D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14,000</w:t>
            </w:r>
          </w:p>
        </w:tc>
        <w:tc>
          <w:tcPr>
            <w:tcW w:w="804" w:type="dxa"/>
            <w:tcBorders>
              <w:top w:val="nil"/>
              <w:left w:val="nil"/>
              <w:bottom w:val="single" w:sz="4" w:space="0" w:color="auto"/>
              <w:right w:val="single" w:sz="4" w:space="0" w:color="auto"/>
            </w:tcBorders>
            <w:shd w:val="clear" w:color="auto" w:fill="auto"/>
            <w:vAlign w:val="center"/>
            <w:hideMark/>
          </w:tcPr>
          <w:p w14:paraId="42599FA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140,000</w:t>
            </w:r>
          </w:p>
        </w:tc>
        <w:tc>
          <w:tcPr>
            <w:tcW w:w="825" w:type="dxa"/>
            <w:tcBorders>
              <w:top w:val="nil"/>
              <w:left w:val="nil"/>
              <w:bottom w:val="single" w:sz="4" w:space="0" w:color="auto"/>
              <w:right w:val="single" w:sz="4" w:space="0" w:color="auto"/>
            </w:tcBorders>
            <w:shd w:val="clear" w:color="000000" w:fill="FFFFFF"/>
            <w:vAlign w:val="center"/>
            <w:hideMark/>
          </w:tcPr>
          <w:p w14:paraId="034F4FE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44,000</w:t>
            </w:r>
          </w:p>
        </w:tc>
        <w:tc>
          <w:tcPr>
            <w:tcW w:w="645" w:type="dxa"/>
            <w:tcBorders>
              <w:top w:val="nil"/>
              <w:left w:val="nil"/>
              <w:bottom w:val="single" w:sz="4" w:space="0" w:color="auto"/>
              <w:right w:val="single" w:sz="4" w:space="0" w:color="auto"/>
            </w:tcBorders>
            <w:shd w:val="clear" w:color="000000" w:fill="FFFFFF"/>
            <w:vAlign w:val="center"/>
            <w:hideMark/>
          </w:tcPr>
          <w:p w14:paraId="14B9BA5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342DAE5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5786F6B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6FB35E2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4F31288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198,000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2BEBF1BF"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4BCE82E7"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1CD3D60C"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05C74CE6"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49DDD26B"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5DDE3BEB"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31AD998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6BE7FD9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3DF7E45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69FED14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22,000</w:t>
            </w:r>
          </w:p>
        </w:tc>
        <w:tc>
          <w:tcPr>
            <w:tcW w:w="804" w:type="dxa"/>
            <w:tcBorders>
              <w:top w:val="nil"/>
              <w:left w:val="nil"/>
              <w:bottom w:val="single" w:sz="4" w:space="0" w:color="auto"/>
              <w:right w:val="single" w:sz="4" w:space="0" w:color="auto"/>
            </w:tcBorders>
            <w:shd w:val="clear" w:color="auto" w:fill="auto"/>
            <w:vAlign w:val="center"/>
            <w:hideMark/>
          </w:tcPr>
          <w:p w14:paraId="6FAEEF5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154,000</w:t>
            </w:r>
          </w:p>
        </w:tc>
        <w:tc>
          <w:tcPr>
            <w:tcW w:w="825" w:type="dxa"/>
            <w:tcBorders>
              <w:top w:val="nil"/>
              <w:left w:val="nil"/>
              <w:bottom w:val="single" w:sz="4" w:space="0" w:color="auto"/>
              <w:right w:val="single" w:sz="4" w:space="0" w:color="auto"/>
            </w:tcBorders>
            <w:shd w:val="clear" w:color="000000" w:fill="FFFFFF"/>
            <w:vAlign w:val="center"/>
            <w:hideMark/>
          </w:tcPr>
          <w:p w14:paraId="25220F4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44,000</w:t>
            </w:r>
          </w:p>
        </w:tc>
        <w:tc>
          <w:tcPr>
            <w:tcW w:w="645" w:type="dxa"/>
            <w:tcBorders>
              <w:top w:val="nil"/>
              <w:left w:val="nil"/>
              <w:bottom w:val="single" w:sz="4" w:space="0" w:color="auto"/>
              <w:right w:val="single" w:sz="4" w:space="0" w:color="auto"/>
            </w:tcBorders>
            <w:shd w:val="clear" w:color="000000" w:fill="FFFFFF"/>
            <w:vAlign w:val="center"/>
            <w:hideMark/>
          </w:tcPr>
          <w:p w14:paraId="26B0720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5A12631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0E700AD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7B5D081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3B0C2B5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220,000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5CE8032B"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7C708343"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80C28A"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64300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B4142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Nezaměstnaní účastníci, kteří jsou v procesu vzdělávání či odborné přípravy nebo získávají kvalifikacinebo jsou zaměstnaní včetně OSVČ</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176FFB4"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3C71CF"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1000</w:t>
            </w:r>
          </w:p>
        </w:tc>
        <w:tc>
          <w:tcPr>
            <w:tcW w:w="646" w:type="dxa"/>
            <w:tcBorders>
              <w:top w:val="nil"/>
              <w:left w:val="nil"/>
              <w:bottom w:val="nil"/>
              <w:right w:val="nil"/>
            </w:tcBorders>
            <w:shd w:val="clear" w:color="000000" w:fill="FFFFFF"/>
            <w:vAlign w:val="center"/>
            <w:hideMark/>
          </w:tcPr>
          <w:p w14:paraId="72E705B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23D400F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1735234D"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6C97FD36"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1DDA025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4F97C77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0CCB617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7165FDA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70C09BB9"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282300E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1E702D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3 734,000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76642F1E"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373,400%</w:t>
            </w:r>
          </w:p>
        </w:tc>
      </w:tr>
      <w:tr w:rsidR="00D95D25" w:rsidRPr="00D95D25" w14:paraId="00E40C00"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03689ACD"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5F076EE1"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3B35A7B9"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147032F6"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2F5FB72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0602E87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389D73D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0B7147E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96,000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13DF87F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686,000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016FC09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977,000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373AFFC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6D730FE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723595A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0CBA792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8C6155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1 759,000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122DC4D0"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42707430"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47AD0476"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53910001"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7CBA0332"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07199765"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7BD1A57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34C6247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3071DFD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1,000</w:t>
            </w:r>
          </w:p>
        </w:tc>
        <w:tc>
          <w:tcPr>
            <w:tcW w:w="723" w:type="dxa"/>
            <w:tcBorders>
              <w:top w:val="nil"/>
              <w:left w:val="nil"/>
              <w:bottom w:val="single" w:sz="4" w:space="0" w:color="auto"/>
              <w:right w:val="single" w:sz="4" w:space="0" w:color="auto"/>
            </w:tcBorders>
            <w:shd w:val="clear" w:color="000000" w:fill="FFFFFF"/>
            <w:vAlign w:val="center"/>
            <w:hideMark/>
          </w:tcPr>
          <w:p w14:paraId="1BA5298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64,000</w:t>
            </w:r>
          </w:p>
        </w:tc>
        <w:tc>
          <w:tcPr>
            <w:tcW w:w="804" w:type="dxa"/>
            <w:tcBorders>
              <w:top w:val="nil"/>
              <w:left w:val="nil"/>
              <w:bottom w:val="single" w:sz="4" w:space="0" w:color="auto"/>
              <w:right w:val="single" w:sz="4" w:space="0" w:color="auto"/>
            </w:tcBorders>
            <w:shd w:val="clear" w:color="auto" w:fill="auto"/>
            <w:vAlign w:val="center"/>
            <w:hideMark/>
          </w:tcPr>
          <w:p w14:paraId="2A37D60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807,000</w:t>
            </w:r>
          </w:p>
        </w:tc>
        <w:tc>
          <w:tcPr>
            <w:tcW w:w="825" w:type="dxa"/>
            <w:tcBorders>
              <w:top w:val="nil"/>
              <w:left w:val="nil"/>
              <w:bottom w:val="single" w:sz="4" w:space="0" w:color="auto"/>
              <w:right w:val="single" w:sz="4" w:space="0" w:color="auto"/>
            </w:tcBorders>
            <w:shd w:val="clear" w:color="000000" w:fill="FFFFFF"/>
            <w:vAlign w:val="center"/>
            <w:hideMark/>
          </w:tcPr>
          <w:p w14:paraId="3B1A68D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1 103,000</w:t>
            </w:r>
          </w:p>
        </w:tc>
        <w:tc>
          <w:tcPr>
            <w:tcW w:w="645" w:type="dxa"/>
            <w:tcBorders>
              <w:top w:val="nil"/>
              <w:left w:val="nil"/>
              <w:bottom w:val="single" w:sz="4" w:space="0" w:color="auto"/>
              <w:right w:val="single" w:sz="4" w:space="0" w:color="auto"/>
            </w:tcBorders>
            <w:shd w:val="clear" w:color="000000" w:fill="FFFFFF"/>
            <w:vAlign w:val="center"/>
            <w:hideMark/>
          </w:tcPr>
          <w:p w14:paraId="7F33DC1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038F20B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24E7F07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7100DE1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495528E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1 975,000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630E9B80"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53B8230D"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26247C"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64400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5529B17"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Dlouhodobě nezaměstnaní účastníci, kteří dokončili program podporovaný YEI</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148683"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7794288"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520</w:t>
            </w:r>
          </w:p>
        </w:tc>
        <w:tc>
          <w:tcPr>
            <w:tcW w:w="646" w:type="dxa"/>
            <w:tcBorders>
              <w:top w:val="nil"/>
              <w:left w:val="nil"/>
              <w:bottom w:val="nil"/>
              <w:right w:val="nil"/>
            </w:tcBorders>
            <w:shd w:val="clear" w:color="000000" w:fill="FFFFFF"/>
            <w:vAlign w:val="center"/>
            <w:hideMark/>
          </w:tcPr>
          <w:p w14:paraId="11FA2776"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44C89B5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5EFCC27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21BCD886"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64CB543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676B6D8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1F564EF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4D20B2B9"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7A753E3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7EE1C4F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364DF5B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250,000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67D78FE5"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48,077%</w:t>
            </w:r>
          </w:p>
        </w:tc>
      </w:tr>
      <w:tr w:rsidR="00D95D25" w:rsidRPr="00D95D25" w14:paraId="620F342C"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5A2581E9"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6BF5BFD4"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4DCD0F57"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4ED26907"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7914050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10112B4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7DB5AE2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3DE8432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16,000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1264EF3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77,000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453A8FE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32,000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72AECF0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374A32E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348F106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6F74DC0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712A544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125,000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7FF12B18"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04A55389"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7C5170F2"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5B66E282"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150C72F7"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19A32A20"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2393D08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78B3F97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2B7691C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7EC2DAF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12,000</w:t>
            </w:r>
          </w:p>
        </w:tc>
        <w:tc>
          <w:tcPr>
            <w:tcW w:w="804" w:type="dxa"/>
            <w:tcBorders>
              <w:top w:val="nil"/>
              <w:left w:val="nil"/>
              <w:bottom w:val="single" w:sz="4" w:space="0" w:color="auto"/>
              <w:right w:val="single" w:sz="4" w:space="0" w:color="auto"/>
            </w:tcBorders>
            <w:shd w:val="clear" w:color="auto" w:fill="auto"/>
            <w:vAlign w:val="center"/>
            <w:hideMark/>
          </w:tcPr>
          <w:p w14:paraId="145698D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69,000</w:t>
            </w:r>
          </w:p>
        </w:tc>
        <w:tc>
          <w:tcPr>
            <w:tcW w:w="825" w:type="dxa"/>
            <w:tcBorders>
              <w:top w:val="nil"/>
              <w:left w:val="nil"/>
              <w:bottom w:val="single" w:sz="4" w:space="0" w:color="auto"/>
              <w:right w:val="single" w:sz="4" w:space="0" w:color="auto"/>
            </w:tcBorders>
            <w:shd w:val="clear" w:color="000000" w:fill="FFFFFF"/>
            <w:vAlign w:val="center"/>
            <w:hideMark/>
          </w:tcPr>
          <w:p w14:paraId="593112D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44,000</w:t>
            </w:r>
          </w:p>
        </w:tc>
        <w:tc>
          <w:tcPr>
            <w:tcW w:w="645" w:type="dxa"/>
            <w:tcBorders>
              <w:top w:val="nil"/>
              <w:left w:val="nil"/>
              <w:bottom w:val="single" w:sz="4" w:space="0" w:color="auto"/>
              <w:right w:val="single" w:sz="4" w:space="0" w:color="auto"/>
            </w:tcBorders>
            <w:shd w:val="clear" w:color="000000" w:fill="FFFFFF"/>
            <w:vAlign w:val="center"/>
            <w:hideMark/>
          </w:tcPr>
          <w:p w14:paraId="4AACB38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5E70DBD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2AAEF37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14BE073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5926FE8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125,000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47FE5F93"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774853DC"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826D09"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64500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79DC9F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Dlouhodobě nezaměstnaní účastníci, kteří po ukončení své účasti dostanou nabídku zaměstnání, dalšího vzdělávání, učńovské nebo odborné přípravy po ukončení své účasti</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58C398"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7547C08"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310</w:t>
            </w:r>
          </w:p>
        </w:tc>
        <w:tc>
          <w:tcPr>
            <w:tcW w:w="646" w:type="dxa"/>
            <w:tcBorders>
              <w:top w:val="nil"/>
              <w:left w:val="nil"/>
              <w:bottom w:val="nil"/>
              <w:right w:val="nil"/>
            </w:tcBorders>
            <w:shd w:val="clear" w:color="000000" w:fill="FFFFFF"/>
            <w:vAlign w:val="center"/>
            <w:hideMark/>
          </w:tcPr>
          <w:p w14:paraId="6F270244"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468ECFD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6FC8E6C9"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094AB23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11A4CCD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7A541A0A"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0777F71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204EA77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047A401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60FA7CDD"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04950C7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113,000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650B22F1"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36,452%</w:t>
            </w:r>
          </w:p>
        </w:tc>
      </w:tr>
      <w:tr w:rsidR="00D95D25" w:rsidRPr="00D95D25" w14:paraId="0E7FD895"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2CC616BC"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4662EEDB"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5C72291D"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22A02A68"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7587AEB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7145D77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1F68440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7E0793B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03BBC4E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37,000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557CB21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17,000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2BC9321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6092668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6B7342C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3FD56C9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79B39B6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58,000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7A5E4B68"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79F62C27"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59A49316"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19AB8D5C"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655AB825"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64574658"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0332952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4691DF2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652B968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543B312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4,000</w:t>
            </w:r>
          </w:p>
        </w:tc>
        <w:tc>
          <w:tcPr>
            <w:tcW w:w="804" w:type="dxa"/>
            <w:tcBorders>
              <w:top w:val="nil"/>
              <w:left w:val="nil"/>
              <w:bottom w:val="single" w:sz="4" w:space="0" w:color="auto"/>
              <w:right w:val="single" w:sz="4" w:space="0" w:color="auto"/>
            </w:tcBorders>
            <w:shd w:val="clear" w:color="auto" w:fill="auto"/>
            <w:vAlign w:val="center"/>
            <w:hideMark/>
          </w:tcPr>
          <w:p w14:paraId="7DD8A8A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34,000</w:t>
            </w:r>
          </w:p>
        </w:tc>
        <w:tc>
          <w:tcPr>
            <w:tcW w:w="825" w:type="dxa"/>
            <w:tcBorders>
              <w:top w:val="nil"/>
              <w:left w:val="nil"/>
              <w:bottom w:val="single" w:sz="4" w:space="0" w:color="auto"/>
              <w:right w:val="single" w:sz="4" w:space="0" w:color="auto"/>
            </w:tcBorders>
            <w:shd w:val="clear" w:color="000000" w:fill="FFFFFF"/>
            <w:vAlign w:val="center"/>
            <w:hideMark/>
          </w:tcPr>
          <w:p w14:paraId="7BCA536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17,000</w:t>
            </w:r>
          </w:p>
        </w:tc>
        <w:tc>
          <w:tcPr>
            <w:tcW w:w="645" w:type="dxa"/>
            <w:tcBorders>
              <w:top w:val="nil"/>
              <w:left w:val="nil"/>
              <w:bottom w:val="single" w:sz="4" w:space="0" w:color="auto"/>
              <w:right w:val="single" w:sz="4" w:space="0" w:color="auto"/>
            </w:tcBorders>
            <w:shd w:val="clear" w:color="000000" w:fill="FFFFFF"/>
            <w:vAlign w:val="center"/>
            <w:hideMark/>
          </w:tcPr>
          <w:p w14:paraId="1BEE565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2172D27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4D012C6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4111009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4451BD1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55,000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0ED0C3DA"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4493B5CD"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08C994"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64600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2A24E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Dlouhodobě nezaměstnaní účastníci, kteří jsou v procesu vzdělávání či odborné přípravy nebo získávají kvalifikacinebo jsou zaměstnaní včetně OSVČ*</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D5BE28"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1ECC606"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210</w:t>
            </w:r>
          </w:p>
        </w:tc>
        <w:tc>
          <w:tcPr>
            <w:tcW w:w="646" w:type="dxa"/>
            <w:tcBorders>
              <w:top w:val="nil"/>
              <w:left w:val="nil"/>
              <w:bottom w:val="nil"/>
              <w:right w:val="nil"/>
            </w:tcBorders>
            <w:shd w:val="clear" w:color="000000" w:fill="FFFFFF"/>
            <w:vAlign w:val="center"/>
            <w:hideMark/>
          </w:tcPr>
          <w:p w14:paraId="43757E37"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0D77DA0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49F2F98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095CA856"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42B2A65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5AA4FD5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0697343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71BA09E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0919BA8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3B16ADE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701977D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195,000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1C174A8D"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92,857%</w:t>
            </w:r>
          </w:p>
        </w:tc>
      </w:tr>
      <w:tr w:rsidR="00D95D25" w:rsidRPr="00D95D25" w14:paraId="33CFDBCD"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71B24440"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5EF12FBA"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65C0E2BC"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33C74347"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7E6CD3B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30039E1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15D4238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0663F01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42FDD04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58,000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1E2D448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40,000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49AA18F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1D8C076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2005E90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1DCA1BE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D9DE6C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101,000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5DAC3DE8"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6F1A88FA"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48301E3D"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7904F109"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4D9FCF2B"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06DB89DA"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2F4432E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6660D4E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2BD482B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12A7E72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2,000</w:t>
            </w:r>
          </w:p>
        </w:tc>
        <w:tc>
          <w:tcPr>
            <w:tcW w:w="804" w:type="dxa"/>
            <w:tcBorders>
              <w:top w:val="nil"/>
              <w:left w:val="nil"/>
              <w:bottom w:val="single" w:sz="4" w:space="0" w:color="auto"/>
              <w:right w:val="single" w:sz="4" w:space="0" w:color="auto"/>
            </w:tcBorders>
            <w:shd w:val="clear" w:color="auto" w:fill="auto"/>
            <w:vAlign w:val="center"/>
            <w:hideMark/>
          </w:tcPr>
          <w:p w14:paraId="4E5A6A0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53,000</w:t>
            </w:r>
          </w:p>
        </w:tc>
        <w:tc>
          <w:tcPr>
            <w:tcW w:w="825" w:type="dxa"/>
            <w:tcBorders>
              <w:top w:val="nil"/>
              <w:left w:val="nil"/>
              <w:bottom w:val="single" w:sz="4" w:space="0" w:color="auto"/>
              <w:right w:val="single" w:sz="4" w:space="0" w:color="auto"/>
            </w:tcBorders>
            <w:shd w:val="clear" w:color="000000" w:fill="FFFFFF"/>
            <w:vAlign w:val="center"/>
            <w:hideMark/>
          </w:tcPr>
          <w:p w14:paraId="7DA2593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39,000</w:t>
            </w:r>
          </w:p>
        </w:tc>
        <w:tc>
          <w:tcPr>
            <w:tcW w:w="645" w:type="dxa"/>
            <w:tcBorders>
              <w:top w:val="nil"/>
              <w:left w:val="nil"/>
              <w:bottom w:val="single" w:sz="4" w:space="0" w:color="auto"/>
              <w:right w:val="single" w:sz="4" w:space="0" w:color="auto"/>
            </w:tcBorders>
            <w:shd w:val="clear" w:color="000000" w:fill="FFFFFF"/>
            <w:vAlign w:val="center"/>
            <w:hideMark/>
          </w:tcPr>
          <w:p w14:paraId="5846A36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28F74DE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32748C8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3C41042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2549C4A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94,000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1A093A9E"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1D2B8ECE"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805C6E5"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64700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AC249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Neaktivní účastníci, kteří nejsou v procesu vzdělávání či odborné přípravy, kteří dokončili program podporovaný YEI</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703C5AA"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6C2CF51"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155</w:t>
            </w:r>
          </w:p>
        </w:tc>
        <w:tc>
          <w:tcPr>
            <w:tcW w:w="646" w:type="dxa"/>
            <w:tcBorders>
              <w:top w:val="nil"/>
              <w:left w:val="nil"/>
              <w:bottom w:val="nil"/>
              <w:right w:val="nil"/>
            </w:tcBorders>
            <w:shd w:val="clear" w:color="000000" w:fill="FFFFFF"/>
            <w:vAlign w:val="center"/>
            <w:hideMark/>
          </w:tcPr>
          <w:p w14:paraId="0A9837F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0CA8850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38054101"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3C9B91D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3735B939"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230F7F5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24944EC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689FB21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517EF45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0E718AD9"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34E8725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356,000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547810DB"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229,677%</w:t>
            </w:r>
          </w:p>
        </w:tc>
      </w:tr>
      <w:tr w:rsidR="00D95D25" w:rsidRPr="00D95D25" w14:paraId="6DF5CD0E"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2B12483C"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7769DFA3"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33B5791C"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53F3FB9D"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5208AB1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3197C71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26BE0A1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6394C49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5D46478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103,000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6C32866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58,000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695B8D3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78444DD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6F6C18E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210485C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458CE2C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163,000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48E4008C"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7B24C82D"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09C875E5"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6A5F8391"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6D474669"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62652A32"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5E10AA5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40638DD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464560D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6EA051D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2,000</w:t>
            </w:r>
          </w:p>
        </w:tc>
        <w:tc>
          <w:tcPr>
            <w:tcW w:w="804" w:type="dxa"/>
            <w:tcBorders>
              <w:top w:val="nil"/>
              <w:left w:val="nil"/>
              <w:bottom w:val="single" w:sz="4" w:space="0" w:color="auto"/>
              <w:right w:val="single" w:sz="4" w:space="0" w:color="auto"/>
            </w:tcBorders>
            <w:shd w:val="clear" w:color="auto" w:fill="auto"/>
            <w:vAlign w:val="center"/>
            <w:hideMark/>
          </w:tcPr>
          <w:p w14:paraId="176FD6F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111,000</w:t>
            </w:r>
          </w:p>
        </w:tc>
        <w:tc>
          <w:tcPr>
            <w:tcW w:w="825" w:type="dxa"/>
            <w:tcBorders>
              <w:top w:val="nil"/>
              <w:left w:val="nil"/>
              <w:bottom w:val="single" w:sz="4" w:space="0" w:color="auto"/>
              <w:right w:val="single" w:sz="4" w:space="0" w:color="auto"/>
            </w:tcBorders>
            <w:shd w:val="clear" w:color="000000" w:fill="FFFFFF"/>
            <w:vAlign w:val="center"/>
            <w:hideMark/>
          </w:tcPr>
          <w:p w14:paraId="38963D9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80,000</w:t>
            </w:r>
          </w:p>
        </w:tc>
        <w:tc>
          <w:tcPr>
            <w:tcW w:w="645" w:type="dxa"/>
            <w:tcBorders>
              <w:top w:val="nil"/>
              <w:left w:val="nil"/>
              <w:bottom w:val="single" w:sz="4" w:space="0" w:color="auto"/>
              <w:right w:val="single" w:sz="4" w:space="0" w:color="auto"/>
            </w:tcBorders>
            <w:shd w:val="clear" w:color="000000" w:fill="FFFFFF"/>
            <w:vAlign w:val="center"/>
            <w:hideMark/>
          </w:tcPr>
          <w:p w14:paraId="76C663E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33F2C99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042D774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5F44F60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739FE06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193,000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576FE804"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3111E7AA"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2067AC"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64800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361F1A"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Neaktivní účastníci, kteří nejsou v procesu vzdělávání či odborné přípravy, kteří po ukončení své účasti dostanou nabídku zaměstnání, dalšího vzdělávání, učńovské nebo odborné přípravy po ukončení své účasti</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541EB0"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29EB53"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90</w:t>
            </w:r>
          </w:p>
        </w:tc>
        <w:tc>
          <w:tcPr>
            <w:tcW w:w="646" w:type="dxa"/>
            <w:tcBorders>
              <w:top w:val="nil"/>
              <w:left w:val="nil"/>
              <w:bottom w:val="nil"/>
              <w:right w:val="nil"/>
            </w:tcBorders>
            <w:shd w:val="clear" w:color="000000" w:fill="FFFFFF"/>
            <w:vAlign w:val="center"/>
            <w:hideMark/>
          </w:tcPr>
          <w:p w14:paraId="5B35C17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384CDFA8"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782D048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72146ADD"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145491C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0B6A468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071FA55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6416083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3C450BA1"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3FDBF26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73F0691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225,000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68FC45E2"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250,000%</w:t>
            </w:r>
          </w:p>
        </w:tc>
      </w:tr>
      <w:tr w:rsidR="00D95D25" w:rsidRPr="00D95D25" w14:paraId="25F03F02"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16F12234"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3BB9D645"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635DE371"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23EB3FBE"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12F91FC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7A44371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2602FAA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5B56854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2142C50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58,000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198CD8F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34,000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4B6D0DA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31B235F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1CCCD3D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78E8B9A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1326F28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94,000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58328A4B"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75D6DC4F"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0CADE873"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06BB4A83"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5A26490C"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09CD39D0"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212F9BF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3A7FC79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5319032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019A254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auto" w:fill="auto"/>
            <w:vAlign w:val="center"/>
            <w:hideMark/>
          </w:tcPr>
          <w:p w14:paraId="11955DF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85,000</w:t>
            </w:r>
          </w:p>
        </w:tc>
        <w:tc>
          <w:tcPr>
            <w:tcW w:w="825" w:type="dxa"/>
            <w:tcBorders>
              <w:top w:val="nil"/>
              <w:left w:val="nil"/>
              <w:bottom w:val="single" w:sz="4" w:space="0" w:color="auto"/>
              <w:right w:val="single" w:sz="4" w:space="0" w:color="auto"/>
            </w:tcBorders>
            <w:shd w:val="clear" w:color="000000" w:fill="FFFFFF"/>
            <w:vAlign w:val="center"/>
            <w:hideMark/>
          </w:tcPr>
          <w:p w14:paraId="2A430E5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46,000</w:t>
            </w:r>
          </w:p>
        </w:tc>
        <w:tc>
          <w:tcPr>
            <w:tcW w:w="645" w:type="dxa"/>
            <w:tcBorders>
              <w:top w:val="nil"/>
              <w:left w:val="nil"/>
              <w:bottom w:val="single" w:sz="4" w:space="0" w:color="auto"/>
              <w:right w:val="single" w:sz="4" w:space="0" w:color="auto"/>
            </w:tcBorders>
            <w:shd w:val="clear" w:color="000000" w:fill="FFFFFF"/>
            <w:vAlign w:val="center"/>
            <w:hideMark/>
          </w:tcPr>
          <w:p w14:paraId="698A391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76BD3E3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5508F37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5370DF4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2C33098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131,000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3D014C3F"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598E11C0"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CEB138"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64900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A71882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Neaktivní účastníci, kteří nejsou v procesu vzdělávání či odborné přípravy a kteří jsou v jednom z těchto procesů, a kteří získají kvalifikaci nebo jsou zaměstnaní včetně OSVČ</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8260EC"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CCFC26"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65</w:t>
            </w:r>
          </w:p>
        </w:tc>
        <w:tc>
          <w:tcPr>
            <w:tcW w:w="646" w:type="dxa"/>
            <w:tcBorders>
              <w:top w:val="nil"/>
              <w:left w:val="nil"/>
              <w:bottom w:val="nil"/>
              <w:right w:val="nil"/>
            </w:tcBorders>
            <w:shd w:val="clear" w:color="000000" w:fill="FFFFFF"/>
            <w:vAlign w:val="center"/>
            <w:hideMark/>
          </w:tcPr>
          <w:p w14:paraId="06F22369"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1245325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03A7DF4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5A2CC9A8"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03411457"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72B60D11"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4D203F9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69352CF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380A219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77B8A534"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01A6B0E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328,000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72DE69CF"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504,615%</w:t>
            </w:r>
          </w:p>
        </w:tc>
      </w:tr>
      <w:tr w:rsidR="00D95D25" w:rsidRPr="00D95D25" w14:paraId="2ADA3C70"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3A4BD92D"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0AD778CE"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07422811"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1007D49E"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17746CF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6885291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5785CCF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431409E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72CBA56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73,000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0996124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70,000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5D47F2F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2C40473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38F8FB3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42CB79C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130C861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144,000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6281DBCD"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2146D2FD"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114D5CEC"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5FF2811B"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754FCB90"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11413C97"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0EBE284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301BE0D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388D890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28CE7AC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4,000</w:t>
            </w:r>
          </w:p>
        </w:tc>
        <w:tc>
          <w:tcPr>
            <w:tcW w:w="804" w:type="dxa"/>
            <w:tcBorders>
              <w:top w:val="nil"/>
              <w:left w:val="nil"/>
              <w:bottom w:val="single" w:sz="4" w:space="0" w:color="auto"/>
              <w:right w:val="single" w:sz="4" w:space="0" w:color="auto"/>
            </w:tcBorders>
            <w:shd w:val="clear" w:color="auto" w:fill="auto"/>
            <w:vAlign w:val="center"/>
            <w:hideMark/>
          </w:tcPr>
          <w:p w14:paraId="1448143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97,000</w:t>
            </w:r>
          </w:p>
        </w:tc>
        <w:tc>
          <w:tcPr>
            <w:tcW w:w="825" w:type="dxa"/>
            <w:tcBorders>
              <w:top w:val="nil"/>
              <w:left w:val="nil"/>
              <w:bottom w:val="single" w:sz="4" w:space="0" w:color="auto"/>
              <w:right w:val="single" w:sz="4" w:space="0" w:color="auto"/>
            </w:tcBorders>
            <w:shd w:val="clear" w:color="000000" w:fill="FFFFFF"/>
            <w:vAlign w:val="center"/>
            <w:hideMark/>
          </w:tcPr>
          <w:p w14:paraId="2C3C03C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83,000</w:t>
            </w:r>
          </w:p>
        </w:tc>
        <w:tc>
          <w:tcPr>
            <w:tcW w:w="645" w:type="dxa"/>
            <w:tcBorders>
              <w:top w:val="nil"/>
              <w:left w:val="nil"/>
              <w:bottom w:val="single" w:sz="4" w:space="0" w:color="auto"/>
              <w:right w:val="single" w:sz="4" w:space="0" w:color="auto"/>
            </w:tcBorders>
            <w:shd w:val="clear" w:color="000000" w:fill="FFFFFF"/>
            <w:vAlign w:val="center"/>
            <w:hideMark/>
          </w:tcPr>
          <w:p w14:paraId="1569D0E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1780A93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3DE8F87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2D90409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120A175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184,000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282EAA45"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69E14723"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18F70C"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65000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CA579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účastníci, kteří 6 měsíců po ukončení své účasti absolvují další vzdělání, program odborné přípravy se získáním kvalifikace, učňovskou nebo odbornou přípravu</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8FC3C2"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5592E9"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100</w:t>
            </w:r>
          </w:p>
        </w:tc>
        <w:tc>
          <w:tcPr>
            <w:tcW w:w="646" w:type="dxa"/>
            <w:tcBorders>
              <w:top w:val="nil"/>
              <w:left w:val="nil"/>
              <w:bottom w:val="nil"/>
              <w:right w:val="nil"/>
            </w:tcBorders>
            <w:shd w:val="clear" w:color="000000" w:fill="FFFFFF"/>
            <w:vAlign w:val="center"/>
            <w:hideMark/>
          </w:tcPr>
          <w:p w14:paraId="4DF1DFA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531D961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3114697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771FDEE3"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1CB69BA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247F4DB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42D5F1E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24ACEA48"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18A47FB6"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79C41B64"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735BC6F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22EC9A1E"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r>
      <w:tr w:rsidR="00D95D25" w:rsidRPr="00D95D25" w14:paraId="331CE36A" w14:textId="77777777" w:rsidTr="00D95D25">
        <w:trPr>
          <w:trHeight w:val="232"/>
        </w:trPr>
        <w:tc>
          <w:tcPr>
            <w:tcW w:w="605" w:type="dxa"/>
            <w:vMerge/>
            <w:tcBorders>
              <w:top w:val="nil"/>
              <w:left w:val="single" w:sz="4" w:space="0" w:color="auto"/>
              <w:bottom w:val="single" w:sz="4" w:space="0" w:color="000000"/>
              <w:right w:val="single" w:sz="4" w:space="0" w:color="auto"/>
            </w:tcBorders>
            <w:vAlign w:val="center"/>
            <w:hideMark/>
          </w:tcPr>
          <w:p w14:paraId="02730C8B"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12B4E985"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416F4F90"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664C134A"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0F8CDEC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2A4AD9B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148F63D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5BF66D4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17CAF06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5F76187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5095F7D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2451755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640FE8C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516196B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27DF0F4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335A87EA"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0D3EAC63" w14:textId="77777777" w:rsidTr="00D95D25">
        <w:trPr>
          <w:trHeight w:val="232"/>
        </w:trPr>
        <w:tc>
          <w:tcPr>
            <w:tcW w:w="605" w:type="dxa"/>
            <w:vMerge/>
            <w:tcBorders>
              <w:top w:val="nil"/>
              <w:left w:val="single" w:sz="4" w:space="0" w:color="auto"/>
              <w:bottom w:val="single" w:sz="4" w:space="0" w:color="000000"/>
              <w:right w:val="single" w:sz="4" w:space="0" w:color="auto"/>
            </w:tcBorders>
            <w:vAlign w:val="center"/>
            <w:hideMark/>
          </w:tcPr>
          <w:p w14:paraId="764D3751"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0B500827"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18557F09"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22F73EF5"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023709C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148004A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0E3EFB7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2143018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auto" w:fill="auto"/>
            <w:vAlign w:val="center"/>
            <w:hideMark/>
          </w:tcPr>
          <w:p w14:paraId="229EF32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825" w:type="dxa"/>
            <w:tcBorders>
              <w:top w:val="nil"/>
              <w:left w:val="nil"/>
              <w:bottom w:val="single" w:sz="4" w:space="0" w:color="auto"/>
              <w:right w:val="single" w:sz="4" w:space="0" w:color="auto"/>
            </w:tcBorders>
            <w:shd w:val="clear" w:color="000000" w:fill="FFFFFF"/>
            <w:vAlign w:val="center"/>
            <w:hideMark/>
          </w:tcPr>
          <w:p w14:paraId="46E23DB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5" w:type="dxa"/>
            <w:tcBorders>
              <w:top w:val="nil"/>
              <w:left w:val="nil"/>
              <w:bottom w:val="single" w:sz="4" w:space="0" w:color="auto"/>
              <w:right w:val="single" w:sz="4" w:space="0" w:color="auto"/>
            </w:tcBorders>
            <w:shd w:val="clear" w:color="000000" w:fill="FFFFFF"/>
            <w:vAlign w:val="center"/>
            <w:hideMark/>
          </w:tcPr>
          <w:p w14:paraId="706556B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7ABC72C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2A8C6DC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685D10C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5559DB8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73473164"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7C0CFBB8"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8680A89"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65100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6908E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Zaměstnaní účastníci 6 měsíců po ukončení své účasti</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A886029"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DDEC98"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837</w:t>
            </w:r>
          </w:p>
        </w:tc>
        <w:tc>
          <w:tcPr>
            <w:tcW w:w="646" w:type="dxa"/>
            <w:tcBorders>
              <w:top w:val="nil"/>
              <w:left w:val="nil"/>
              <w:bottom w:val="nil"/>
              <w:right w:val="nil"/>
            </w:tcBorders>
            <w:shd w:val="clear" w:color="000000" w:fill="FFFFFF"/>
            <w:vAlign w:val="center"/>
            <w:hideMark/>
          </w:tcPr>
          <w:p w14:paraId="48CA6C0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189FC04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439F6AC9"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55D06D72"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380392B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7C21652D"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28336D9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5800895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27A15A4C"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7411D5F8"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B4A8C6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2 492,000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25F9D27E"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297,730%</w:t>
            </w:r>
          </w:p>
        </w:tc>
      </w:tr>
      <w:tr w:rsidR="00D95D25" w:rsidRPr="00D95D25" w14:paraId="741A6860"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1921BAC8"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3E0744BA"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37E464A5"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4FF5D5F2"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251D941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7AC7BEE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5BF4723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4BCFC74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7D1DF52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557,000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015359C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193,000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75A8C59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66B133E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3722236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33B5F10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5EB761F"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759,000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151F7D66"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6B038EF0"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34231F2A"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426F6480"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466F5EF6"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399AE2C0"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05F9C25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59A1F86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35C324A4"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1A617B4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9,000</w:t>
            </w:r>
          </w:p>
        </w:tc>
        <w:tc>
          <w:tcPr>
            <w:tcW w:w="804" w:type="dxa"/>
            <w:tcBorders>
              <w:top w:val="nil"/>
              <w:left w:val="nil"/>
              <w:bottom w:val="single" w:sz="4" w:space="0" w:color="auto"/>
              <w:right w:val="single" w:sz="4" w:space="0" w:color="auto"/>
            </w:tcBorders>
            <w:shd w:val="clear" w:color="auto" w:fill="auto"/>
            <w:vAlign w:val="center"/>
            <w:hideMark/>
          </w:tcPr>
          <w:p w14:paraId="28C30226"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1 473,000</w:t>
            </w:r>
          </w:p>
        </w:tc>
        <w:tc>
          <w:tcPr>
            <w:tcW w:w="825" w:type="dxa"/>
            <w:tcBorders>
              <w:top w:val="nil"/>
              <w:left w:val="nil"/>
              <w:bottom w:val="single" w:sz="4" w:space="0" w:color="auto"/>
              <w:right w:val="single" w:sz="4" w:space="0" w:color="auto"/>
            </w:tcBorders>
            <w:shd w:val="clear" w:color="000000" w:fill="FFFFFF"/>
            <w:vAlign w:val="center"/>
            <w:hideMark/>
          </w:tcPr>
          <w:p w14:paraId="5C363DD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251,000</w:t>
            </w:r>
          </w:p>
        </w:tc>
        <w:tc>
          <w:tcPr>
            <w:tcW w:w="645" w:type="dxa"/>
            <w:tcBorders>
              <w:top w:val="nil"/>
              <w:left w:val="nil"/>
              <w:bottom w:val="single" w:sz="4" w:space="0" w:color="auto"/>
              <w:right w:val="single" w:sz="4" w:space="0" w:color="auto"/>
            </w:tcBorders>
            <w:shd w:val="clear" w:color="000000" w:fill="FFFFFF"/>
            <w:vAlign w:val="center"/>
            <w:hideMark/>
          </w:tcPr>
          <w:p w14:paraId="27EFAA1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305C07C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55A3EABC"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0C710F08"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685A6C7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1 733,000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7000D54B"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08F166CC" w14:textId="77777777" w:rsidTr="00C94C8C">
        <w:trPr>
          <w:trHeight w:val="20"/>
        </w:trPr>
        <w:tc>
          <w:tcPr>
            <w:tcW w:w="6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8F6E39"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65200</w:t>
            </w:r>
          </w:p>
        </w:tc>
        <w:tc>
          <w:tcPr>
            <w:tcW w:w="41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3843CE0"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účastníci OSVČ 6 měsíců po ukončení své účasti</w:t>
            </w:r>
          </w:p>
        </w:tc>
        <w:tc>
          <w:tcPr>
            <w:tcW w:w="104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2031C0"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Osoby</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214B18"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63</w:t>
            </w:r>
          </w:p>
        </w:tc>
        <w:tc>
          <w:tcPr>
            <w:tcW w:w="646" w:type="dxa"/>
            <w:tcBorders>
              <w:top w:val="nil"/>
              <w:left w:val="nil"/>
              <w:bottom w:val="nil"/>
              <w:right w:val="nil"/>
            </w:tcBorders>
            <w:shd w:val="clear" w:color="000000" w:fill="FFFFFF"/>
            <w:vAlign w:val="center"/>
            <w:hideMark/>
          </w:tcPr>
          <w:p w14:paraId="794AC85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44F4654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6" w:type="dxa"/>
            <w:tcBorders>
              <w:top w:val="nil"/>
              <w:left w:val="nil"/>
              <w:bottom w:val="nil"/>
              <w:right w:val="nil"/>
            </w:tcBorders>
            <w:shd w:val="clear" w:color="000000" w:fill="FFFFFF"/>
            <w:vAlign w:val="center"/>
            <w:hideMark/>
          </w:tcPr>
          <w:p w14:paraId="6EDF480F"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723" w:type="dxa"/>
            <w:tcBorders>
              <w:top w:val="nil"/>
              <w:left w:val="nil"/>
              <w:bottom w:val="nil"/>
              <w:right w:val="nil"/>
            </w:tcBorders>
            <w:shd w:val="clear" w:color="000000" w:fill="FFFFFF"/>
            <w:vAlign w:val="center"/>
            <w:hideMark/>
          </w:tcPr>
          <w:p w14:paraId="06DC68C7"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04" w:type="dxa"/>
            <w:tcBorders>
              <w:top w:val="nil"/>
              <w:left w:val="nil"/>
              <w:bottom w:val="nil"/>
              <w:right w:val="nil"/>
            </w:tcBorders>
            <w:shd w:val="clear" w:color="000000" w:fill="FFFFFF"/>
            <w:vAlign w:val="center"/>
            <w:hideMark/>
          </w:tcPr>
          <w:p w14:paraId="50AC618D"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825" w:type="dxa"/>
            <w:tcBorders>
              <w:top w:val="nil"/>
              <w:left w:val="nil"/>
              <w:bottom w:val="nil"/>
              <w:right w:val="nil"/>
            </w:tcBorders>
            <w:shd w:val="clear" w:color="000000" w:fill="FFFFFF"/>
            <w:vAlign w:val="center"/>
            <w:hideMark/>
          </w:tcPr>
          <w:p w14:paraId="00272E1A"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7A2040AE"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425E5DF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nil"/>
            </w:tcBorders>
            <w:shd w:val="clear" w:color="000000" w:fill="FFFFFF"/>
            <w:vAlign w:val="center"/>
            <w:hideMark/>
          </w:tcPr>
          <w:p w14:paraId="39483755"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nil"/>
              <w:right w:val="single" w:sz="4" w:space="0" w:color="auto"/>
            </w:tcBorders>
            <w:shd w:val="clear" w:color="000000" w:fill="FFFFFF"/>
            <w:vAlign w:val="center"/>
            <w:hideMark/>
          </w:tcPr>
          <w:p w14:paraId="227F86DB" w14:textId="77777777" w:rsidR="00D95D25" w:rsidRPr="00D95D25" w:rsidRDefault="00D95D25" w:rsidP="00D95D25">
            <w:pP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1165444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107,000</w:t>
            </w:r>
          </w:p>
        </w:tc>
        <w:tc>
          <w:tcPr>
            <w:tcW w:w="94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74F8D432" w14:textId="77777777" w:rsidR="00D95D25" w:rsidRPr="00D95D25" w:rsidRDefault="00D95D25" w:rsidP="00D95D25">
            <w:pPr>
              <w:jc w:val="center"/>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169,841%</w:t>
            </w:r>
          </w:p>
        </w:tc>
      </w:tr>
      <w:tr w:rsidR="00D95D25" w:rsidRPr="00D95D25" w14:paraId="7D199542"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3001517D"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3D9FF6C9"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3CCB56B6"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5FCA47DA"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6E3357D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42BD2D7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14:paraId="6E870DB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single" w:sz="4" w:space="0" w:color="auto"/>
              <w:left w:val="nil"/>
              <w:bottom w:val="single" w:sz="4" w:space="0" w:color="auto"/>
              <w:right w:val="single" w:sz="4" w:space="0" w:color="auto"/>
            </w:tcBorders>
            <w:shd w:val="clear" w:color="000000" w:fill="FFFFFF"/>
            <w:vAlign w:val="center"/>
            <w:hideMark/>
          </w:tcPr>
          <w:p w14:paraId="4E26289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2,000</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28F0975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39,000</w:t>
            </w:r>
          </w:p>
        </w:tc>
        <w:tc>
          <w:tcPr>
            <w:tcW w:w="825" w:type="dxa"/>
            <w:tcBorders>
              <w:top w:val="single" w:sz="4" w:space="0" w:color="auto"/>
              <w:left w:val="nil"/>
              <w:bottom w:val="single" w:sz="4" w:space="0" w:color="auto"/>
              <w:right w:val="single" w:sz="4" w:space="0" w:color="auto"/>
            </w:tcBorders>
            <w:shd w:val="clear" w:color="000000" w:fill="FFFFFF"/>
            <w:vAlign w:val="center"/>
            <w:hideMark/>
          </w:tcPr>
          <w:p w14:paraId="30EB37C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29,000</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4AC6BBB5"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451BEB5E"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5B213C1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single" w:sz="4" w:space="0" w:color="auto"/>
              <w:left w:val="nil"/>
              <w:bottom w:val="single" w:sz="4" w:space="0" w:color="auto"/>
              <w:right w:val="single" w:sz="4" w:space="0" w:color="auto"/>
            </w:tcBorders>
            <w:shd w:val="clear" w:color="000000" w:fill="FFFFFF"/>
            <w:vAlign w:val="center"/>
            <w:hideMark/>
          </w:tcPr>
          <w:p w14:paraId="250BB22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4CBF1E12"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70,000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5AF17B71" w14:textId="77777777" w:rsidR="00D95D25" w:rsidRPr="00D95D25" w:rsidRDefault="00D95D25" w:rsidP="00D95D25">
            <w:pPr>
              <w:rPr>
                <w:rFonts w:ascii="Arial" w:eastAsia="Times New Roman" w:hAnsi="Arial" w:cs="Arial"/>
                <w:color w:val="000000"/>
                <w:sz w:val="14"/>
                <w:szCs w:val="14"/>
                <w:lang w:val="cs-CZ" w:eastAsia="cs-CZ"/>
              </w:rPr>
            </w:pPr>
          </w:p>
        </w:tc>
      </w:tr>
      <w:tr w:rsidR="00D95D25" w:rsidRPr="00D95D25" w14:paraId="5057599E" w14:textId="77777777" w:rsidTr="00C94C8C">
        <w:trPr>
          <w:trHeight w:val="20"/>
        </w:trPr>
        <w:tc>
          <w:tcPr>
            <w:tcW w:w="605" w:type="dxa"/>
            <w:vMerge/>
            <w:tcBorders>
              <w:top w:val="nil"/>
              <w:left w:val="single" w:sz="4" w:space="0" w:color="auto"/>
              <w:bottom w:val="single" w:sz="4" w:space="0" w:color="000000"/>
              <w:right w:val="single" w:sz="4" w:space="0" w:color="auto"/>
            </w:tcBorders>
            <w:vAlign w:val="center"/>
            <w:hideMark/>
          </w:tcPr>
          <w:p w14:paraId="598004CE" w14:textId="77777777" w:rsidR="00D95D25" w:rsidRPr="00D95D25" w:rsidRDefault="00D95D25" w:rsidP="00D95D25">
            <w:pPr>
              <w:rPr>
                <w:rFonts w:ascii="Arial" w:eastAsia="Times New Roman" w:hAnsi="Arial" w:cs="Arial"/>
                <w:color w:val="000000"/>
                <w:sz w:val="14"/>
                <w:szCs w:val="14"/>
                <w:lang w:val="cs-CZ" w:eastAsia="cs-CZ"/>
              </w:rPr>
            </w:pPr>
          </w:p>
        </w:tc>
        <w:tc>
          <w:tcPr>
            <w:tcW w:w="4191" w:type="dxa"/>
            <w:vMerge/>
            <w:tcBorders>
              <w:top w:val="nil"/>
              <w:left w:val="single" w:sz="4" w:space="0" w:color="auto"/>
              <w:bottom w:val="single" w:sz="4" w:space="0" w:color="000000"/>
              <w:right w:val="single" w:sz="4" w:space="0" w:color="auto"/>
            </w:tcBorders>
            <w:vAlign w:val="center"/>
            <w:hideMark/>
          </w:tcPr>
          <w:p w14:paraId="1F45282E" w14:textId="77777777" w:rsidR="00D95D25" w:rsidRPr="00D95D25" w:rsidRDefault="00D95D25" w:rsidP="00D95D25">
            <w:pPr>
              <w:rPr>
                <w:rFonts w:ascii="Arial" w:eastAsia="Times New Roman" w:hAnsi="Arial" w:cs="Arial"/>
                <w:color w:val="000000"/>
                <w:sz w:val="14"/>
                <w:szCs w:val="14"/>
                <w:lang w:val="cs-CZ" w:eastAsia="cs-CZ"/>
              </w:rPr>
            </w:pPr>
          </w:p>
        </w:tc>
        <w:tc>
          <w:tcPr>
            <w:tcW w:w="1046" w:type="dxa"/>
            <w:vMerge/>
            <w:tcBorders>
              <w:top w:val="nil"/>
              <w:left w:val="single" w:sz="4" w:space="0" w:color="auto"/>
              <w:bottom w:val="single" w:sz="4" w:space="0" w:color="000000"/>
              <w:right w:val="single" w:sz="4" w:space="0" w:color="auto"/>
            </w:tcBorders>
            <w:vAlign w:val="center"/>
            <w:hideMark/>
          </w:tcPr>
          <w:p w14:paraId="3B234248" w14:textId="77777777" w:rsidR="00D95D25" w:rsidRPr="00D95D25" w:rsidRDefault="00D95D25" w:rsidP="00D95D25">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52B28844" w14:textId="77777777" w:rsidR="00D95D25" w:rsidRPr="00D95D25" w:rsidRDefault="00D95D25" w:rsidP="00D95D25">
            <w:pPr>
              <w:rPr>
                <w:rFonts w:ascii="Arial" w:eastAsia="Times New Roman" w:hAnsi="Arial" w:cs="Arial"/>
                <w:color w:val="000000"/>
                <w:sz w:val="14"/>
                <w:szCs w:val="14"/>
                <w:lang w:val="cs-CZ" w:eastAsia="cs-CZ"/>
              </w:rPr>
            </w:pPr>
          </w:p>
        </w:tc>
        <w:tc>
          <w:tcPr>
            <w:tcW w:w="646" w:type="dxa"/>
            <w:tcBorders>
              <w:top w:val="nil"/>
              <w:left w:val="nil"/>
              <w:bottom w:val="single" w:sz="4" w:space="0" w:color="auto"/>
              <w:right w:val="single" w:sz="4" w:space="0" w:color="auto"/>
            </w:tcBorders>
            <w:shd w:val="clear" w:color="000000" w:fill="FFFFFF"/>
            <w:vAlign w:val="center"/>
            <w:hideMark/>
          </w:tcPr>
          <w:p w14:paraId="262276D1"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1334E8CD"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646" w:type="dxa"/>
            <w:tcBorders>
              <w:top w:val="nil"/>
              <w:left w:val="nil"/>
              <w:bottom w:val="single" w:sz="4" w:space="0" w:color="auto"/>
              <w:right w:val="single" w:sz="4" w:space="0" w:color="auto"/>
            </w:tcBorders>
            <w:shd w:val="clear" w:color="000000" w:fill="FFFFFF"/>
            <w:vAlign w:val="center"/>
            <w:hideMark/>
          </w:tcPr>
          <w:p w14:paraId="6FD3AEC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0,000</w:t>
            </w:r>
          </w:p>
        </w:tc>
        <w:tc>
          <w:tcPr>
            <w:tcW w:w="723" w:type="dxa"/>
            <w:tcBorders>
              <w:top w:val="nil"/>
              <w:left w:val="nil"/>
              <w:bottom w:val="single" w:sz="4" w:space="0" w:color="auto"/>
              <w:right w:val="single" w:sz="4" w:space="0" w:color="auto"/>
            </w:tcBorders>
            <w:shd w:val="clear" w:color="000000" w:fill="FFFFFF"/>
            <w:vAlign w:val="center"/>
            <w:hideMark/>
          </w:tcPr>
          <w:p w14:paraId="26E4EBE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1,000</w:t>
            </w:r>
          </w:p>
        </w:tc>
        <w:tc>
          <w:tcPr>
            <w:tcW w:w="804" w:type="dxa"/>
            <w:tcBorders>
              <w:top w:val="nil"/>
              <w:left w:val="nil"/>
              <w:bottom w:val="single" w:sz="4" w:space="0" w:color="auto"/>
              <w:right w:val="single" w:sz="4" w:space="0" w:color="auto"/>
            </w:tcBorders>
            <w:shd w:val="clear" w:color="auto" w:fill="auto"/>
            <w:vAlign w:val="center"/>
            <w:hideMark/>
          </w:tcPr>
          <w:p w14:paraId="3739B349"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20,000</w:t>
            </w:r>
          </w:p>
        </w:tc>
        <w:tc>
          <w:tcPr>
            <w:tcW w:w="825" w:type="dxa"/>
            <w:tcBorders>
              <w:top w:val="nil"/>
              <w:left w:val="nil"/>
              <w:bottom w:val="single" w:sz="4" w:space="0" w:color="auto"/>
              <w:right w:val="single" w:sz="4" w:space="0" w:color="auto"/>
            </w:tcBorders>
            <w:shd w:val="clear" w:color="000000" w:fill="FFFFFF"/>
            <w:vAlign w:val="center"/>
            <w:hideMark/>
          </w:tcPr>
          <w:p w14:paraId="3B9FD93A"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16,000</w:t>
            </w:r>
          </w:p>
        </w:tc>
        <w:tc>
          <w:tcPr>
            <w:tcW w:w="645" w:type="dxa"/>
            <w:tcBorders>
              <w:top w:val="nil"/>
              <w:left w:val="nil"/>
              <w:bottom w:val="single" w:sz="4" w:space="0" w:color="auto"/>
              <w:right w:val="single" w:sz="4" w:space="0" w:color="auto"/>
            </w:tcBorders>
            <w:shd w:val="clear" w:color="000000" w:fill="FFFFFF"/>
            <w:vAlign w:val="center"/>
            <w:hideMark/>
          </w:tcPr>
          <w:p w14:paraId="7E5D5A83"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5E6648A0"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14FD17D7"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645" w:type="dxa"/>
            <w:tcBorders>
              <w:top w:val="nil"/>
              <w:left w:val="nil"/>
              <w:bottom w:val="single" w:sz="4" w:space="0" w:color="auto"/>
              <w:right w:val="single" w:sz="4" w:space="0" w:color="auto"/>
            </w:tcBorders>
            <w:shd w:val="clear" w:color="000000" w:fill="FFFFFF"/>
            <w:vAlign w:val="center"/>
            <w:hideMark/>
          </w:tcPr>
          <w:p w14:paraId="4C88544B" w14:textId="77777777"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 </w:t>
            </w:r>
          </w:p>
        </w:tc>
        <w:tc>
          <w:tcPr>
            <w:tcW w:w="1123" w:type="dxa"/>
            <w:gridSpan w:val="2"/>
            <w:tcBorders>
              <w:top w:val="nil"/>
              <w:left w:val="nil"/>
              <w:bottom w:val="single" w:sz="4" w:space="0" w:color="auto"/>
              <w:right w:val="single" w:sz="4" w:space="0" w:color="auto"/>
            </w:tcBorders>
            <w:shd w:val="clear" w:color="auto" w:fill="auto"/>
            <w:vAlign w:val="center"/>
            <w:hideMark/>
          </w:tcPr>
          <w:p w14:paraId="25169C23" w14:textId="4958ED03" w:rsidR="00D95D25" w:rsidRPr="00D95D25" w:rsidRDefault="00D95D25" w:rsidP="00D95D25">
            <w:pPr>
              <w:jc w:val="right"/>
              <w:rPr>
                <w:rFonts w:ascii="Arial" w:eastAsia="Times New Roman" w:hAnsi="Arial" w:cs="Arial"/>
                <w:color w:val="000000"/>
                <w:sz w:val="14"/>
                <w:szCs w:val="14"/>
                <w:lang w:val="cs-CZ" w:eastAsia="cs-CZ"/>
              </w:rPr>
            </w:pPr>
            <w:r w:rsidRPr="00D95D25">
              <w:rPr>
                <w:rFonts w:ascii="Arial" w:eastAsia="Times New Roman" w:hAnsi="Arial" w:cs="Arial"/>
                <w:color w:val="000000"/>
                <w:sz w:val="14"/>
                <w:szCs w:val="14"/>
                <w:lang w:val="cs-CZ" w:eastAsia="cs-CZ"/>
              </w:rPr>
              <w:t>37,000</w:t>
            </w:r>
          </w:p>
        </w:tc>
        <w:tc>
          <w:tcPr>
            <w:tcW w:w="941" w:type="dxa"/>
            <w:gridSpan w:val="2"/>
            <w:vMerge/>
            <w:tcBorders>
              <w:top w:val="nil"/>
              <w:left w:val="single" w:sz="4" w:space="0" w:color="auto"/>
              <w:bottom w:val="single" w:sz="4" w:space="0" w:color="000000"/>
              <w:right w:val="single" w:sz="4" w:space="0" w:color="auto"/>
            </w:tcBorders>
            <w:vAlign w:val="center"/>
            <w:hideMark/>
          </w:tcPr>
          <w:p w14:paraId="6F70AADA" w14:textId="77777777" w:rsidR="00D95D25" w:rsidRPr="00D95D25" w:rsidRDefault="00D95D25" w:rsidP="00D95D25">
            <w:pPr>
              <w:rPr>
                <w:rFonts w:ascii="Arial" w:eastAsia="Times New Roman" w:hAnsi="Arial" w:cs="Arial"/>
                <w:color w:val="000000"/>
                <w:sz w:val="14"/>
                <w:szCs w:val="14"/>
                <w:lang w:val="cs-CZ" w:eastAsia="cs-CZ"/>
              </w:rPr>
            </w:pPr>
          </w:p>
        </w:tc>
      </w:tr>
    </w:tbl>
    <w:p w14:paraId="21D18AEE" w14:textId="431AA54D" w:rsidR="00A71736" w:rsidRPr="002F2BE4" w:rsidRDefault="00A71736" w:rsidP="00C94C8C">
      <w:pPr>
        <w:ind w:right="108"/>
        <w:jc w:val="both"/>
        <w:rPr>
          <w:rFonts w:ascii="Arial" w:eastAsia="Arial" w:hAnsi="Arial" w:cs="Arial"/>
          <w:color w:val="000000"/>
          <w:sz w:val="20"/>
          <w:lang w:val="cs-CZ"/>
        </w:rPr>
      </w:pPr>
    </w:p>
    <w:p w14:paraId="2D72A718" w14:textId="77777777" w:rsidR="00FD35AB" w:rsidRPr="002F2BE4" w:rsidRDefault="00FD35AB" w:rsidP="00FD35AB">
      <w:pPr>
        <w:keepNext/>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lastRenderedPageBreak/>
        <w:t>1</w:t>
      </w:r>
      <w:r w:rsidRPr="002F2BE4">
        <w:rPr>
          <w:rFonts w:ascii="Arial" w:eastAsia="Arial" w:hAnsi="Arial" w:cs="Arial"/>
          <w:color w:val="000000"/>
          <w:sz w:val="16"/>
          <w:lang w:val="cs-CZ"/>
        </w:rPr>
        <w:tab/>
        <w:t>Odhad pro daný rok založený na reprezentativním vzorku.</w:t>
      </w:r>
    </w:p>
    <w:p w14:paraId="228108BB" w14:textId="77777777" w:rsidR="00FD35AB" w:rsidRPr="002F2BE4" w:rsidRDefault="00FD35AB" w:rsidP="00FD35AB">
      <w:pPr>
        <w:keepNext/>
        <w:tabs>
          <w:tab w:val="left" w:pos="392"/>
        </w:tabs>
        <w:ind w:left="115" w:right="815"/>
        <w:rPr>
          <w:rFonts w:ascii="Arial" w:eastAsia="Arial" w:hAnsi="Arial" w:cs="Arial"/>
          <w:color w:val="000000"/>
          <w:sz w:val="16"/>
          <w:lang w:val="cs-CZ"/>
        </w:rPr>
      </w:pPr>
      <w:r w:rsidRPr="002F2BE4">
        <w:rPr>
          <w:rFonts w:ascii="Arial" w:eastAsia="Arial" w:hAnsi="Arial" w:cs="Arial"/>
          <w:color w:val="000000"/>
          <w:sz w:val="16"/>
          <w:lang w:val="cs-CZ"/>
        </w:rPr>
        <w:t>2</w:t>
      </w:r>
      <w:r w:rsidRPr="002F2BE4">
        <w:rPr>
          <w:rFonts w:ascii="Arial" w:eastAsia="Arial" w:hAnsi="Arial" w:cs="Arial"/>
          <w:color w:val="000000"/>
          <w:sz w:val="16"/>
          <w:lang w:val="cs-CZ"/>
        </w:rPr>
        <w:tab/>
        <w:t>Odhad pro daný rok založený na reprezentativním vzorku. Členské státy mají dvě možnosti vykázání údajů. Možnost č. 1: Minimálním požadavkem je poskytnutí údajů dvakrát, a to ve výroční zprávě o implementaci v roce 2019 a v závěrečné zprávě o implementaci. V případě této možnosti jsou kumulativní hodnoty vykázány ve sloupci „Kumulativní hodnota“ ve výroční zprávě o implementaci v roce 2019 a v závěrečné zprávě o implementaci. Možnost č. 2: Roční hodnoty jsou poskytnuty pro každý rok.</w:t>
      </w:r>
    </w:p>
    <w:p w14:paraId="5841578C" w14:textId="77777777" w:rsidR="00FD35AB" w:rsidRPr="002F2BE4" w:rsidRDefault="00FD35AB" w:rsidP="002905A6">
      <w:pPr>
        <w:keepNext/>
        <w:tabs>
          <w:tab w:val="left" w:pos="1675"/>
        </w:tabs>
        <w:ind w:right="106"/>
        <w:rPr>
          <w:rFonts w:ascii="Arial" w:eastAsia="Arial" w:hAnsi="Arial" w:cs="Arial"/>
          <w:color w:val="000000"/>
          <w:sz w:val="20"/>
          <w:lang w:val="cs-CZ"/>
        </w:rPr>
      </w:pPr>
    </w:p>
    <w:p w14:paraId="6D5818DC" w14:textId="3A11D80F" w:rsidR="00FD35AB" w:rsidRPr="002F2BE4" w:rsidRDefault="002905A6" w:rsidP="002905A6">
      <w:pPr>
        <w:keepNext/>
        <w:tabs>
          <w:tab w:val="left" w:pos="1675"/>
        </w:tabs>
        <w:ind w:right="106"/>
        <w:rPr>
          <w:rFonts w:ascii="Arial" w:eastAsia="Arial" w:hAnsi="Arial" w:cs="Arial"/>
          <w:color w:val="000000"/>
          <w:sz w:val="16"/>
          <w:lang w:val="cs-CZ"/>
        </w:rPr>
      </w:pPr>
      <w:r>
        <w:rPr>
          <w:rFonts w:ascii="Arial" w:eastAsia="Arial" w:hAnsi="Arial" w:cs="Arial"/>
          <w:color w:val="000000"/>
          <w:sz w:val="16"/>
          <w:lang w:val="cs-CZ"/>
        </w:rPr>
        <w:t xml:space="preserve">  </w:t>
      </w:r>
      <w:r w:rsidR="00FD35AB" w:rsidRPr="002F2BE4">
        <w:rPr>
          <w:rFonts w:ascii="Arial" w:eastAsia="Arial" w:hAnsi="Arial" w:cs="Arial"/>
          <w:color w:val="000000"/>
          <w:sz w:val="16"/>
          <w:lang w:val="cs-CZ"/>
        </w:rPr>
        <w:t>----------------------------------------------------</w:t>
      </w:r>
    </w:p>
    <w:p w14:paraId="67BEAE66" w14:textId="77777777" w:rsidR="00FD35AB" w:rsidRPr="002F2BE4" w:rsidRDefault="00FD35AB" w:rsidP="00FD35AB">
      <w:pPr>
        <w:tabs>
          <w:tab w:val="left" w:pos="1675"/>
        </w:tabs>
        <w:ind w:left="115" w:right="106"/>
        <w:rPr>
          <w:rFonts w:ascii="Arial" w:eastAsia="Arial" w:hAnsi="Arial" w:cs="Arial"/>
          <w:color w:val="000000"/>
          <w:sz w:val="16"/>
          <w:lang w:val="cs-CZ"/>
        </w:rPr>
      </w:pPr>
      <w:r w:rsidRPr="002F2BE4">
        <w:rPr>
          <w:rFonts w:ascii="Arial" w:eastAsia="Arial" w:hAnsi="Arial" w:cs="Arial"/>
          <w:color w:val="000000"/>
          <w:sz w:val="16"/>
          <w:lang w:val="cs-CZ"/>
        </w:rPr>
        <w:t>5 - Strukturované údaje požadované pro zprávu o YEI, která má být předložena v dubnu 2015 v souladu s čl. 19 odst. 3 a přílohou II nařízení (EU) č. 1304/2013.</w:t>
      </w:r>
    </w:p>
    <w:p w14:paraId="19357046" w14:textId="77777777" w:rsidR="00FD35AB" w:rsidRPr="002F2BE4" w:rsidRDefault="00FD35AB" w:rsidP="00FD35AB">
      <w:pPr>
        <w:tabs>
          <w:tab w:val="left" w:pos="1675"/>
        </w:tabs>
        <w:ind w:left="115" w:right="670"/>
        <w:rPr>
          <w:rFonts w:ascii="Arial" w:eastAsia="Arial" w:hAnsi="Arial" w:cs="Arial"/>
          <w:color w:val="000000"/>
          <w:sz w:val="16"/>
          <w:lang w:val="cs-CZ"/>
        </w:rPr>
      </w:pPr>
    </w:p>
    <w:p w14:paraId="3220F284" w14:textId="77777777" w:rsidR="00FD35AB" w:rsidRPr="002F2BE4" w:rsidRDefault="00FD35AB" w:rsidP="00FD35AB">
      <w:pPr>
        <w:rPr>
          <w:lang w:val="cs-CZ"/>
        </w:rPr>
      </w:pPr>
      <w:r w:rsidRPr="002F2BE4">
        <w:rPr>
          <w:lang w:val="cs-CZ"/>
        </w:rPr>
        <w:br w:type="page"/>
      </w:r>
    </w:p>
    <w:p w14:paraId="35047790" w14:textId="77777777" w:rsidR="00FD35AB" w:rsidRPr="002F2BE4" w:rsidRDefault="00FD35AB" w:rsidP="00FD35AB">
      <w:pPr>
        <w:tabs>
          <w:tab w:val="left" w:pos="1675"/>
        </w:tabs>
        <w:ind w:left="115" w:right="670"/>
        <w:rPr>
          <w:lang w:val="cs-CZ"/>
        </w:rPr>
      </w:pPr>
    </w:p>
    <w:p w14:paraId="076B9F57" w14:textId="77777777" w:rsidR="00FD35AB" w:rsidRPr="002F2BE4" w:rsidRDefault="00FD35AB" w:rsidP="00FD35AB">
      <w:pPr>
        <w:tabs>
          <w:tab w:val="left" w:pos="1675"/>
        </w:tabs>
        <w:ind w:left="115" w:right="670"/>
        <w:rPr>
          <w:rFonts w:ascii="Arial" w:eastAsia="Arial" w:hAnsi="Arial" w:cs="Arial"/>
          <w:b/>
          <w:bCs/>
          <w:i/>
          <w:iCs/>
          <w:color w:val="000000"/>
          <w:sz w:val="20"/>
          <w:lang w:val="cs-CZ"/>
        </w:rPr>
      </w:pPr>
      <w:r w:rsidRPr="002F2BE4">
        <w:rPr>
          <w:rFonts w:ascii="Arial" w:eastAsia="Arial" w:hAnsi="Arial" w:cs="Arial"/>
          <w:b/>
          <w:bCs/>
          <w:i/>
          <w:iCs/>
          <w:color w:val="000000"/>
          <w:sz w:val="20"/>
          <w:lang w:val="cs-CZ"/>
        </w:rPr>
        <w:t>Tabulka 2C: Indikátory výsledků specifické pro jednotlivé programy pro ESF (podle prioritních os, investičních priorit a případně kategorií regionů); platí rovněž pro prioritní osu „technická pomoc“</w:t>
      </w:r>
    </w:p>
    <w:p w14:paraId="2E4EF7D2" w14:textId="131E764E" w:rsidR="00FD35AB" w:rsidRPr="002905A6" w:rsidRDefault="00FD35AB" w:rsidP="002905A6">
      <w:pPr>
        <w:keepLines/>
        <w:tabs>
          <w:tab w:val="left" w:pos="1675"/>
        </w:tabs>
        <w:ind w:left="115" w:right="670"/>
        <w:rPr>
          <w:rFonts w:ascii="Arial" w:eastAsia="Arial" w:hAnsi="Arial" w:cs="Arial"/>
          <w:i/>
          <w:iCs/>
          <w:color w:val="000000"/>
          <w:sz w:val="16"/>
          <w:lang w:val="cs-CZ"/>
        </w:rPr>
      </w:pPr>
      <w:r w:rsidRPr="002F2BE4">
        <w:rPr>
          <w:rFonts w:ascii="Arial" w:eastAsia="Arial" w:hAnsi="Arial" w:cs="Arial"/>
          <w:i/>
          <w:iCs/>
          <w:color w:val="000000"/>
          <w:sz w:val="20"/>
          <w:lang w:val="cs-CZ"/>
        </w:rPr>
        <w:t xml:space="preserve">(U ukazatelů specifických pro jednotlivé programy pro YEI se rozdělení podle kategorií regionů nevyžaduje pro každou prioritní osu nebo její část podporující YEI) </w:t>
      </w:r>
      <w:r w:rsidR="002905A6">
        <w:rPr>
          <w:rFonts w:ascii="Arial" w:eastAsia="Arial" w:hAnsi="Arial" w:cs="Arial"/>
          <w:i/>
          <w:iCs/>
          <w:color w:val="000000"/>
          <w:sz w:val="16"/>
          <w:lang w:val="cs-CZ"/>
        </w:rPr>
        <w:t>(6)</w:t>
      </w:r>
    </w:p>
    <w:p w14:paraId="57600EAA" w14:textId="77777777" w:rsidR="0025557F" w:rsidRDefault="0025557F" w:rsidP="0052029A">
      <w:pPr>
        <w:keepNext/>
        <w:ind w:left="115" w:right="106"/>
        <w:jc w:val="both"/>
        <w:rPr>
          <w:rFonts w:ascii="Arial" w:eastAsia="Arial" w:hAnsi="Arial" w:cs="Arial"/>
          <w:color w:val="000000"/>
          <w:sz w:val="20"/>
          <w:lang w:val="cs-CZ"/>
        </w:rPr>
      </w:pPr>
    </w:p>
    <w:p w14:paraId="738D8D22" w14:textId="77777777" w:rsidR="0025557F" w:rsidRDefault="0025557F" w:rsidP="0052029A">
      <w:pPr>
        <w:keepNext/>
        <w:ind w:left="115" w:right="106"/>
        <w:jc w:val="both"/>
        <w:rPr>
          <w:rFonts w:ascii="Arial" w:eastAsia="Arial" w:hAnsi="Arial" w:cs="Arial"/>
          <w:color w:val="000000"/>
          <w:sz w:val="20"/>
          <w:lang w:val="cs-CZ"/>
        </w:rPr>
      </w:pPr>
    </w:p>
    <w:p w14:paraId="0A5774E7" w14:textId="57D72404" w:rsidR="0052029A" w:rsidRPr="002F2BE4" w:rsidRDefault="00FD35AB" w:rsidP="0052029A">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03.1.48 Přístup k zaměstnání pro osoby hledající zaměstnání a neaktivní osoby, včetně dlouhodobě nezaměstnaných a osob vzdálených trhu práce, také prostřednictvím místních iniciativ na podporu zaměstnanosti a mobility pracovníků</w:t>
      </w:r>
    </w:p>
    <w:tbl>
      <w:tblPr>
        <w:tblW w:w="15722" w:type="dxa"/>
        <w:tblInd w:w="75" w:type="dxa"/>
        <w:tblCellMar>
          <w:left w:w="70" w:type="dxa"/>
          <w:right w:w="70" w:type="dxa"/>
        </w:tblCellMar>
        <w:tblLook w:val="04A0" w:firstRow="1" w:lastRow="0" w:firstColumn="1" w:lastColumn="0" w:noHBand="0" w:noVBand="1"/>
      </w:tblPr>
      <w:tblGrid>
        <w:gridCol w:w="456"/>
        <w:gridCol w:w="2457"/>
        <w:gridCol w:w="495"/>
        <w:gridCol w:w="1198"/>
        <w:gridCol w:w="819"/>
        <w:gridCol w:w="952"/>
        <w:gridCol w:w="706"/>
        <w:gridCol w:w="800"/>
        <w:gridCol w:w="800"/>
        <w:gridCol w:w="800"/>
        <w:gridCol w:w="800"/>
        <w:gridCol w:w="800"/>
        <w:gridCol w:w="800"/>
        <w:gridCol w:w="800"/>
        <w:gridCol w:w="800"/>
        <w:gridCol w:w="800"/>
        <w:gridCol w:w="800"/>
        <w:gridCol w:w="11"/>
        <w:gridCol w:w="628"/>
      </w:tblGrid>
      <w:tr w:rsidR="00723A23" w:rsidRPr="00723A23" w14:paraId="29D609BB" w14:textId="77777777" w:rsidTr="00FA0609">
        <w:trPr>
          <w:trHeight w:val="20"/>
          <w:tblHeader/>
        </w:trPr>
        <w:tc>
          <w:tcPr>
            <w:tcW w:w="4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2D6FB0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ID</w:t>
            </w:r>
          </w:p>
        </w:tc>
        <w:tc>
          <w:tcPr>
            <w:tcW w:w="24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6937F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Indikátor</w:t>
            </w:r>
          </w:p>
        </w:tc>
        <w:tc>
          <w:tcPr>
            <w:tcW w:w="4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94B69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ESF / YEI</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32D955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Kategorie regionu (je-li relevantní)</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C7CC2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Měrná jednotka</w:t>
            </w:r>
          </w:p>
        </w:tc>
        <w:tc>
          <w:tcPr>
            <w:tcW w:w="9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9EEE26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Jednotka měření pro výchozí hodnotu a cíl</w:t>
            </w:r>
          </w:p>
        </w:tc>
        <w:tc>
          <w:tcPr>
            <w:tcW w:w="7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C718B0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Cílová hodnota (2023)</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3AEE4E3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2014</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633AD42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2015</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62E94C3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2016</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2B1D730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2017</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23D1E0D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2018</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45AAFB5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2019</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4B78CF4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2020</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74B5E4F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2021</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011D945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2022</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66D0F23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2023</w:t>
            </w:r>
          </w:p>
        </w:tc>
        <w:tc>
          <w:tcPr>
            <w:tcW w:w="61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8E9510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Míra splnění</w:t>
            </w:r>
          </w:p>
        </w:tc>
      </w:tr>
      <w:tr w:rsidR="00723A23" w:rsidRPr="00723A23" w14:paraId="00B6BF00" w14:textId="77777777" w:rsidTr="00FA0609">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13400767" w14:textId="77777777" w:rsidR="00723A23" w:rsidRPr="00723A23" w:rsidRDefault="00723A23" w:rsidP="00723A23">
            <w:pPr>
              <w:rPr>
                <w:rFonts w:ascii="Arial" w:eastAsia="Times New Roman" w:hAnsi="Arial" w:cs="Arial"/>
                <w:b/>
                <w:bCs/>
                <w:color w:val="000000"/>
                <w:sz w:val="14"/>
                <w:szCs w:val="14"/>
                <w:lang w:val="cs-CZ" w:eastAsia="cs-CZ"/>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1A68C44D"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403F7532" w14:textId="77777777" w:rsidR="00723A23" w:rsidRPr="00723A23" w:rsidRDefault="00723A23" w:rsidP="00723A23">
            <w:pPr>
              <w:rPr>
                <w:rFonts w:ascii="Arial" w:eastAsia="Times New Roman" w:hAnsi="Arial" w:cs="Arial"/>
                <w:b/>
                <w:bCs/>
                <w:color w:val="000000"/>
                <w:sz w:val="14"/>
                <w:szCs w:val="14"/>
                <w:lang w:val="cs-CZ" w:eastAsia="cs-CZ"/>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5D7FD3FB" w14:textId="77777777" w:rsidR="00723A23" w:rsidRPr="00723A23" w:rsidRDefault="00723A23" w:rsidP="00723A23">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0BF435B4" w14:textId="77777777" w:rsidR="00723A23" w:rsidRPr="00723A23" w:rsidRDefault="00723A23" w:rsidP="00723A23">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32BCF4FC"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160F430A"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6" w:type="dxa"/>
            <w:gridSpan w:val="11"/>
            <w:tcBorders>
              <w:top w:val="single" w:sz="4" w:space="0" w:color="auto"/>
              <w:left w:val="nil"/>
              <w:bottom w:val="single" w:sz="4" w:space="0" w:color="auto"/>
              <w:right w:val="single" w:sz="4" w:space="0" w:color="auto"/>
            </w:tcBorders>
            <w:shd w:val="clear" w:color="000000" w:fill="FFFFFF"/>
            <w:vAlign w:val="center"/>
            <w:hideMark/>
          </w:tcPr>
          <w:p w14:paraId="628B81C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Roční hodnota</w:t>
            </w:r>
          </w:p>
        </w:tc>
        <w:tc>
          <w:tcPr>
            <w:tcW w:w="611" w:type="dxa"/>
            <w:vMerge/>
            <w:tcBorders>
              <w:top w:val="single" w:sz="4" w:space="0" w:color="auto"/>
              <w:left w:val="single" w:sz="4" w:space="0" w:color="auto"/>
              <w:bottom w:val="single" w:sz="4" w:space="0" w:color="auto"/>
              <w:right w:val="single" w:sz="4" w:space="0" w:color="auto"/>
            </w:tcBorders>
            <w:vAlign w:val="center"/>
            <w:hideMark/>
          </w:tcPr>
          <w:p w14:paraId="1CFF1434"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775C262D" w14:textId="77777777" w:rsidTr="00FA0609">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7DCA07A3" w14:textId="77777777" w:rsidR="00723A23" w:rsidRPr="00723A23" w:rsidRDefault="00723A23" w:rsidP="00723A23">
            <w:pPr>
              <w:rPr>
                <w:rFonts w:ascii="Arial" w:eastAsia="Times New Roman" w:hAnsi="Arial" w:cs="Arial"/>
                <w:b/>
                <w:bCs/>
                <w:color w:val="000000"/>
                <w:sz w:val="14"/>
                <w:szCs w:val="14"/>
                <w:lang w:val="cs-CZ" w:eastAsia="cs-CZ"/>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4A93F199"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28A869DA" w14:textId="77777777" w:rsidR="00723A23" w:rsidRPr="00723A23" w:rsidRDefault="00723A23" w:rsidP="00723A23">
            <w:pPr>
              <w:rPr>
                <w:rFonts w:ascii="Arial" w:eastAsia="Times New Roman" w:hAnsi="Arial" w:cs="Arial"/>
                <w:b/>
                <w:bCs/>
                <w:color w:val="000000"/>
                <w:sz w:val="14"/>
                <w:szCs w:val="14"/>
                <w:lang w:val="cs-CZ" w:eastAsia="cs-CZ"/>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5FF19FEB" w14:textId="77777777" w:rsidR="00723A23" w:rsidRPr="00723A23" w:rsidRDefault="00723A23" w:rsidP="00723A23">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390DE66" w14:textId="77777777" w:rsidR="00723A23" w:rsidRPr="00723A23" w:rsidRDefault="00723A23" w:rsidP="00723A23">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77B0DBB3"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56E94A67"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E7E6E6"/>
            <w:vAlign w:val="center"/>
            <w:hideMark/>
          </w:tcPr>
          <w:p w14:paraId="4ED82C4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562892D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6D96082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2FC406B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0E42F4E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39B9E18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2B0E37A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5B792D2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52C5E8D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0D82586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611" w:type="dxa"/>
            <w:gridSpan w:val="2"/>
            <w:vMerge/>
            <w:tcBorders>
              <w:top w:val="single" w:sz="4" w:space="0" w:color="auto"/>
              <w:left w:val="single" w:sz="4" w:space="0" w:color="auto"/>
              <w:bottom w:val="single" w:sz="4" w:space="0" w:color="auto"/>
              <w:right w:val="single" w:sz="4" w:space="0" w:color="auto"/>
            </w:tcBorders>
            <w:vAlign w:val="center"/>
            <w:hideMark/>
          </w:tcPr>
          <w:p w14:paraId="5C850D4D"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021E0490" w14:textId="77777777" w:rsidTr="00FA0609">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25317912" w14:textId="77777777" w:rsidR="00723A23" w:rsidRPr="00723A23" w:rsidRDefault="00723A23" w:rsidP="00723A23">
            <w:pPr>
              <w:rPr>
                <w:rFonts w:ascii="Arial" w:eastAsia="Times New Roman" w:hAnsi="Arial" w:cs="Arial"/>
                <w:b/>
                <w:bCs/>
                <w:color w:val="000000"/>
                <w:sz w:val="14"/>
                <w:szCs w:val="14"/>
                <w:lang w:val="cs-CZ" w:eastAsia="cs-CZ"/>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75FE7097"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3D3254E1" w14:textId="77777777" w:rsidR="00723A23" w:rsidRPr="00723A23" w:rsidRDefault="00723A23" w:rsidP="00723A23">
            <w:pPr>
              <w:rPr>
                <w:rFonts w:ascii="Arial" w:eastAsia="Times New Roman" w:hAnsi="Arial" w:cs="Arial"/>
                <w:b/>
                <w:bCs/>
                <w:color w:val="000000"/>
                <w:sz w:val="14"/>
                <w:szCs w:val="14"/>
                <w:lang w:val="cs-CZ" w:eastAsia="cs-CZ"/>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4EEF17AD" w14:textId="77777777" w:rsidR="00723A23" w:rsidRPr="00723A23" w:rsidRDefault="00723A23" w:rsidP="00723A23">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56C1CD1" w14:textId="77777777" w:rsidR="00723A23" w:rsidRPr="00723A23" w:rsidRDefault="00723A23" w:rsidP="00723A23">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5F9A5704"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3F090D2B"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FFFFFF"/>
            <w:vAlign w:val="center"/>
            <w:hideMark/>
          </w:tcPr>
          <w:p w14:paraId="594B06D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2E52F06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3EDD680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4EEC886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633958D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2A121B4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13AC5CB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566D92A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449EDC2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1D71218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611" w:type="dxa"/>
            <w:gridSpan w:val="2"/>
            <w:vMerge/>
            <w:tcBorders>
              <w:top w:val="single" w:sz="4" w:space="0" w:color="auto"/>
              <w:left w:val="single" w:sz="4" w:space="0" w:color="auto"/>
              <w:bottom w:val="single" w:sz="4" w:space="0" w:color="auto"/>
              <w:right w:val="single" w:sz="4" w:space="0" w:color="auto"/>
            </w:tcBorders>
            <w:vAlign w:val="center"/>
            <w:hideMark/>
          </w:tcPr>
          <w:p w14:paraId="181F416F"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61E65F65" w14:textId="77777777" w:rsidTr="00FA0609">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54A1B57E" w14:textId="77777777" w:rsidR="00723A23" w:rsidRPr="00723A23" w:rsidRDefault="00723A23" w:rsidP="00723A23">
            <w:pPr>
              <w:rPr>
                <w:rFonts w:ascii="Arial" w:eastAsia="Times New Roman" w:hAnsi="Arial" w:cs="Arial"/>
                <w:b/>
                <w:bCs/>
                <w:color w:val="000000"/>
                <w:sz w:val="14"/>
                <w:szCs w:val="14"/>
                <w:lang w:val="cs-CZ" w:eastAsia="cs-CZ"/>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5ABC90EB"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0F1078AA" w14:textId="77777777" w:rsidR="00723A23" w:rsidRPr="00723A23" w:rsidRDefault="00723A23" w:rsidP="00723A23">
            <w:pPr>
              <w:rPr>
                <w:rFonts w:ascii="Arial" w:eastAsia="Times New Roman" w:hAnsi="Arial" w:cs="Arial"/>
                <w:b/>
                <w:bCs/>
                <w:color w:val="000000"/>
                <w:sz w:val="14"/>
                <w:szCs w:val="14"/>
                <w:lang w:val="cs-CZ" w:eastAsia="cs-CZ"/>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05F1DDD0" w14:textId="77777777" w:rsidR="00723A23" w:rsidRPr="00723A23" w:rsidRDefault="00723A23" w:rsidP="00723A23">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2AD7360D" w14:textId="77777777" w:rsidR="00723A23" w:rsidRPr="00723A23" w:rsidRDefault="00723A23" w:rsidP="00723A23">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1D416120"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7037B847"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FFFFFF"/>
            <w:vAlign w:val="center"/>
            <w:hideMark/>
          </w:tcPr>
          <w:p w14:paraId="24A569B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78D556F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2B751DA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46FED82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9B6ECC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9A6EA0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536E11C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40ACA7F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AB513D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4FC7CA4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611" w:type="dxa"/>
            <w:gridSpan w:val="2"/>
            <w:vMerge/>
            <w:tcBorders>
              <w:top w:val="single" w:sz="4" w:space="0" w:color="auto"/>
              <w:left w:val="single" w:sz="4" w:space="0" w:color="auto"/>
              <w:bottom w:val="single" w:sz="4" w:space="0" w:color="auto"/>
              <w:right w:val="single" w:sz="4" w:space="0" w:color="auto"/>
            </w:tcBorders>
            <w:vAlign w:val="center"/>
            <w:hideMark/>
          </w:tcPr>
          <w:p w14:paraId="3EA88440"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098409AD" w14:textId="77777777" w:rsidTr="00FA0609">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5DE67EDB" w14:textId="77777777" w:rsidR="00723A23" w:rsidRPr="00723A23" w:rsidRDefault="00723A23" w:rsidP="00723A23">
            <w:pPr>
              <w:rPr>
                <w:rFonts w:ascii="Arial" w:eastAsia="Times New Roman" w:hAnsi="Arial" w:cs="Arial"/>
                <w:b/>
                <w:bCs/>
                <w:color w:val="000000"/>
                <w:sz w:val="14"/>
                <w:szCs w:val="14"/>
                <w:lang w:val="cs-CZ" w:eastAsia="cs-CZ"/>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6E9D773D"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29F45DA4" w14:textId="77777777" w:rsidR="00723A23" w:rsidRPr="00723A23" w:rsidRDefault="00723A23" w:rsidP="00723A23">
            <w:pPr>
              <w:rPr>
                <w:rFonts w:ascii="Arial" w:eastAsia="Times New Roman" w:hAnsi="Arial" w:cs="Arial"/>
                <w:b/>
                <w:bCs/>
                <w:color w:val="000000"/>
                <w:sz w:val="14"/>
                <w:szCs w:val="14"/>
                <w:lang w:val="cs-CZ" w:eastAsia="cs-CZ"/>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1EB9276F" w14:textId="77777777" w:rsidR="00723A23" w:rsidRPr="00723A23" w:rsidRDefault="00723A23" w:rsidP="00723A23">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02A9269" w14:textId="77777777" w:rsidR="00723A23" w:rsidRPr="00723A23" w:rsidRDefault="00723A23" w:rsidP="00723A23">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3C3F8BC1"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6CE13B22"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6" w:type="dxa"/>
            <w:gridSpan w:val="11"/>
            <w:tcBorders>
              <w:top w:val="single" w:sz="4" w:space="0" w:color="auto"/>
              <w:left w:val="nil"/>
              <w:bottom w:val="single" w:sz="4" w:space="0" w:color="auto"/>
              <w:right w:val="single" w:sz="4" w:space="0" w:color="auto"/>
            </w:tcBorders>
            <w:shd w:val="clear" w:color="000000" w:fill="FFFFFF"/>
            <w:vAlign w:val="center"/>
            <w:hideMark/>
          </w:tcPr>
          <w:p w14:paraId="17A6874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Kumulativní hodnota</w:t>
            </w:r>
          </w:p>
        </w:tc>
        <w:tc>
          <w:tcPr>
            <w:tcW w:w="611" w:type="dxa"/>
            <w:vMerge/>
            <w:tcBorders>
              <w:top w:val="single" w:sz="4" w:space="0" w:color="auto"/>
              <w:left w:val="single" w:sz="4" w:space="0" w:color="auto"/>
              <w:bottom w:val="single" w:sz="4" w:space="0" w:color="auto"/>
              <w:right w:val="single" w:sz="4" w:space="0" w:color="auto"/>
            </w:tcBorders>
            <w:vAlign w:val="center"/>
            <w:hideMark/>
          </w:tcPr>
          <w:p w14:paraId="6A9FA4D9"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069B1E11" w14:textId="77777777" w:rsidTr="00FA0609">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2973FA74" w14:textId="77777777" w:rsidR="00723A23" w:rsidRPr="00723A23" w:rsidRDefault="00723A23" w:rsidP="00723A23">
            <w:pPr>
              <w:rPr>
                <w:rFonts w:ascii="Arial" w:eastAsia="Times New Roman" w:hAnsi="Arial" w:cs="Arial"/>
                <w:b/>
                <w:bCs/>
                <w:color w:val="000000"/>
                <w:sz w:val="14"/>
                <w:szCs w:val="14"/>
                <w:lang w:val="cs-CZ" w:eastAsia="cs-CZ"/>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615C0E5A"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239F8736" w14:textId="77777777" w:rsidR="00723A23" w:rsidRPr="00723A23" w:rsidRDefault="00723A23" w:rsidP="00723A23">
            <w:pPr>
              <w:rPr>
                <w:rFonts w:ascii="Arial" w:eastAsia="Times New Roman" w:hAnsi="Arial" w:cs="Arial"/>
                <w:b/>
                <w:bCs/>
                <w:color w:val="000000"/>
                <w:sz w:val="14"/>
                <w:szCs w:val="14"/>
                <w:lang w:val="cs-CZ" w:eastAsia="cs-CZ"/>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3A12E767" w14:textId="77777777" w:rsidR="00723A23" w:rsidRPr="00723A23" w:rsidRDefault="00723A23" w:rsidP="00723A23">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02442A85" w14:textId="77777777" w:rsidR="00723A23" w:rsidRPr="00723A23" w:rsidRDefault="00723A23" w:rsidP="00723A23">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0C1FEA77"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E7E6E6"/>
            <w:vAlign w:val="center"/>
            <w:hideMark/>
          </w:tcPr>
          <w:p w14:paraId="3F7288E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27FB2D8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6A0E44E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4075EF8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07726B2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4B84921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37E5C35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0484B16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7196CED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4189720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50E78C3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611" w:type="dxa"/>
            <w:gridSpan w:val="2"/>
            <w:tcBorders>
              <w:top w:val="nil"/>
              <w:left w:val="nil"/>
              <w:bottom w:val="single" w:sz="4" w:space="0" w:color="auto"/>
              <w:right w:val="single" w:sz="4" w:space="0" w:color="auto"/>
            </w:tcBorders>
            <w:shd w:val="clear" w:color="000000" w:fill="E7E6E6"/>
            <w:vAlign w:val="center"/>
            <w:hideMark/>
          </w:tcPr>
          <w:p w14:paraId="5DFB23D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r>
      <w:tr w:rsidR="00723A23" w:rsidRPr="00723A23" w14:paraId="27172616" w14:textId="77777777" w:rsidTr="00FA0609">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07DD2AAD" w14:textId="77777777" w:rsidR="00723A23" w:rsidRPr="00723A23" w:rsidRDefault="00723A23" w:rsidP="00723A23">
            <w:pPr>
              <w:rPr>
                <w:rFonts w:ascii="Arial" w:eastAsia="Times New Roman" w:hAnsi="Arial" w:cs="Arial"/>
                <w:b/>
                <w:bCs/>
                <w:color w:val="000000"/>
                <w:sz w:val="14"/>
                <w:szCs w:val="14"/>
                <w:lang w:val="cs-CZ" w:eastAsia="cs-CZ"/>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4ABAE0AD"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7E4A1EAA" w14:textId="77777777" w:rsidR="00723A23" w:rsidRPr="00723A23" w:rsidRDefault="00723A23" w:rsidP="00723A23">
            <w:pPr>
              <w:rPr>
                <w:rFonts w:ascii="Arial" w:eastAsia="Times New Roman" w:hAnsi="Arial" w:cs="Arial"/>
                <w:b/>
                <w:bCs/>
                <w:color w:val="000000"/>
                <w:sz w:val="14"/>
                <w:szCs w:val="14"/>
                <w:lang w:val="cs-CZ" w:eastAsia="cs-CZ"/>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7C876D72" w14:textId="77777777" w:rsidR="00723A23" w:rsidRPr="00723A23" w:rsidRDefault="00723A23" w:rsidP="00723A23">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727E9AD5" w14:textId="77777777" w:rsidR="00723A23" w:rsidRPr="00723A23" w:rsidRDefault="00723A23" w:rsidP="00723A23">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7E06D749"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FFFFFF"/>
            <w:vAlign w:val="center"/>
            <w:hideMark/>
          </w:tcPr>
          <w:p w14:paraId="677DF9B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66E2A8F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2079F03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0102377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4D15B76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5528C91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18B7A69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587FA96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3492C27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7D3C08B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0327C72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611" w:type="dxa"/>
            <w:gridSpan w:val="2"/>
            <w:tcBorders>
              <w:top w:val="nil"/>
              <w:left w:val="nil"/>
              <w:bottom w:val="single" w:sz="4" w:space="0" w:color="auto"/>
              <w:right w:val="single" w:sz="4" w:space="0" w:color="auto"/>
            </w:tcBorders>
            <w:shd w:val="clear" w:color="000000" w:fill="FFFFFF"/>
            <w:vAlign w:val="center"/>
            <w:hideMark/>
          </w:tcPr>
          <w:p w14:paraId="2810C9B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r>
      <w:tr w:rsidR="00723A23" w:rsidRPr="00723A23" w14:paraId="477C26D0" w14:textId="77777777" w:rsidTr="00FA0609">
        <w:trPr>
          <w:trHeight w:val="20"/>
          <w:tblHeader/>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3E1CD1BD" w14:textId="77777777" w:rsidR="00723A23" w:rsidRPr="00723A23" w:rsidRDefault="00723A23" w:rsidP="00723A23">
            <w:pPr>
              <w:rPr>
                <w:rFonts w:ascii="Arial" w:eastAsia="Times New Roman" w:hAnsi="Arial" w:cs="Arial"/>
                <w:b/>
                <w:bCs/>
                <w:color w:val="000000"/>
                <w:sz w:val="14"/>
                <w:szCs w:val="14"/>
                <w:lang w:val="cs-CZ" w:eastAsia="cs-CZ"/>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72A71EE4"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10590BDD" w14:textId="77777777" w:rsidR="00723A23" w:rsidRPr="00723A23" w:rsidRDefault="00723A23" w:rsidP="00723A23">
            <w:pPr>
              <w:rPr>
                <w:rFonts w:ascii="Arial" w:eastAsia="Times New Roman" w:hAnsi="Arial" w:cs="Arial"/>
                <w:b/>
                <w:bCs/>
                <w:color w:val="000000"/>
                <w:sz w:val="14"/>
                <w:szCs w:val="14"/>
                <w:lang w:val="cs-CZ" w:eastAsia="cs-CZ"/>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4328DAA7" w14:textId="77777777" w:rsidR="00723A23" w:rsidRPr="00723A23" w:rsidRDefault="00723A23" w:rsidP="00723A23">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11590972" w14:textId="77777777" w:rsidR="00723A23" w:rsidRPr="00723A23" w:rsidRDefault="00723A23" w:rsidP="00723A23">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1FCC068D"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FFFFFF"/>
            <w:vAlign w:val="center"/>
            <w:hideMark/>
          </w:tcPr>
          <w:p w14:paraId="7124022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0D743F9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FB8ED4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472CF8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3910E2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5ED8649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2E97520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7E322B8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65BCF69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1D4C03C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0838A5E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611" w:type="dxa"/>
            <w:gridSpan w:val="2"/>
            <w:tcBorders>
              <w:top w:val="nil"/>
              <w:left w:val="nil"/>
              <w:bottom w:val="single" w:sz="4" w:space="0" w:color="auto"/>
              <w:right w:val="single" w:sz="4" w:space="0" w:color="auto"/>
            </w:tcBorders>
            <w:shd w:val="clear" w:color="000000" w:fill="FFFFFF"/>
            <w:vAlign w:val="center"/>
            <w:hideMark/>
          </w:tcPr>
          <w:p w14:paraId="00408D5F" w14:textId="1339FEE9"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r>
    </w:tbl>
    <w:p w14:paraId="3595A038" w14:textId="7EB67D34" w:rsidR="00FD35AB" w:rsidRDefault="00FD35AB" w:rsidP="00A722E5">
      <w:pPr>
        <w:ind w:left="113" w:right="108"/>
        <w:jc w:val="both"/>
        <w:rPr>
          <w:rFonts w:ascii="Arial" w:eastAsia="Arial" w:hAnsi="Arial" w:cs="Arial"/>
          <w:color w:val="000000"/>
          <w:sz w:val="20"/>
          <w:lang w:val="cs-CZ"/>
        </w:rPr>
      </w:pPr>
    </w:p>
    <w:p w14:paraId="39EE39F0" w14:textId="77777777" w:rsidR="0025557F" w:rsidRPr="002F2BE4" w:rsidRDefault="0025557F" w:rsidP="00A722E5">
      <w:pPr>
        <w:ind w:left="113" w:right="108"/>
        <w:jc w:val="both"/>
        <w:rPr>
          <w:rFonts w:ascii="Arial" w:eastAsia="Arial" w:hAnsi="Arial" w:cs="Arial"/>
          <w:color w:val="000000"/>
          <w:sz w:val="20"/>
          <w:lang w:val="cs-CZ"/>
        </w:rPr>
      </w:pPr>
    </w:p>
    <w:p w14:paraId="4830417C"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03.1.49 Trvalé začlenění mladých lidí na trh práce, mimo jiné pomocí “záruky pro mladé lidi”, a to zejména těch, kteří nejsou ve vzdělávání, v zaměstnání nebo v profesní přípravě, včetně těch mladých lidí, kterým hrozí sociální vyloučení, a mladých lidí z marginalizovaných komunit</w:t>
      </w:r>
    </w:p>
    <w:tbl>
      <w:tblPr>
        <w:tblW w:w="15790" w:type="dxa"/>
        <w:tblInd w:w="75" w:type="dxa"/>
        <w:tblCellMar>
          <w:left w:w="70" w:type="dxa"/>
          <w:right w:w="70" w:type="dxa"/>
        </w:tblCellMar>
        <w:tblLook w:val="04A0" w:firstRow="1" w:lastRow="0" w:firstColumn="1" w:lastColumn="0" w:noHBand="0" w:noVBand="1"/>
      </w:tblPr>
      <w:tblGrid>
        <w:gridCol w:w="530"/>
        <w:gridCol w:w="2438"/>
        <w:gridCol w:w="494"/>
        <w:gridCol w:w="1176"/>
        <w:gridCol w:w="799"/>
        <w:gridCol w:w="949"/>
        <w:gridCol w:w="706"/>
        <w:gridCol w:w="803"/>
        <w:gridCol w:w="803"/>
        <w:gridCol w:w="803"/>
        <w:gridCol w:w="803"/>
        <w:gridCol w:w="803"/>
        <w:gridCol w:w="803"/>
        <w:gridCol w:w="803"/>
        <w:gridCol w:w="803"/>
        <w:gridCol w:w="803"/>
        <w:gridCol w:w="803"/>
        <w:gridCol w:w="668"/>
      </w:tblGrid>
      <w:tr w:rsidR="00723A23" w:rsidRPr="00723A23" w14:paraId="57920D4B" w14:textId="77777777" w:rsidTr="00FA0609">
        <w:trPr>
          <w:trHeight w:val="20"/>
          <w:tblHeader/>
        </w:trPr>
        <w:tc>
          <w:tcPr>
            <w:tcW w:w="5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10EE36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ID</w:t>
            </w:r>
          </w:p>
        </w:tc>
        <w:tc>
          <w:tcPr>
            <w:tcW w:w="24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36BD1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Indikátor</w:t>
            </w:r>
          </w:p>
        </w:tc>
        <w:tc>
          <w:tcPr>
            <w:tcW w:w="4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601BB1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ESF / YEI</w:t>
            </w:r>
          </w:p>
        </w:tc>
        <w:tc>
          <w:tcPr>
            <w:tcW w:w="11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72DB4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Kategorie regionu (je-li relevantní)</w:t>
            </w:r>
          </w:p>
        </w:tc>
        <w:tc>
          <w:tcPr>
            <w:tcW w:w="8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53645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Měrná jednotka</w:t>
            </w:r>
          </w:p>
        </w:tc>
        <w:tc>
          <w:tcPr>
            <w:tcW w:w="9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A3E7D1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Jednotka měření pro výchozí hodnotu a cíl</w:t>
            </w:r>
          </w:p>
        </w:tc>
        <w:tc>
          <w:tcPr>
            <w:tcW w:w="7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51701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Cílová hodnota (2023)</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0146C81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2014</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13765BF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2015</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3EB1FAA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2016</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4CE8BBC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2017</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1779B0B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2018</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327E39D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2019</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2F7EF97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2020</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3535928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2021</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6342999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2022</w:t>
            </w:r>
          </w:p>
        </w:tc>
        <w:tc>
          <w:tcPr>
            <w:tcW w:w="803" w:type="dxa"/>
            <w:tcBorders>
              <w:top w:val="single" w:sz="4" w:space="0" w:color="auto"/>
              <w:left w:val="nil"/>
              <w:bottom w:val="single" w:sz="4" w:space="0" w:color="auto"/>
              <w:right w:val="single" w:sz="4" w:space="0" w:color="auto"/>
            </w:tcBorders>
            <w:shd w:val="clear" w:color="000000" w:fill="FFFFFF"/>
            <w:vAlign w:val="center"/>
            <w:hideMark/>
          </w:tcPr>
          <w:p w14:paraId="0D0ADBD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2023</w:t>
            </w:r>
          </w:p>
        </w:tc>
        <w:tc>
          <w:tcPr>
            <w:tcW w:w="6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4A0CAD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Míra splnění</w:t>
            </w:r>
          </w:p>
        </w:tc>
      </w:tr>
      <w:tr w:rsidR="00723A23" w:rsidRPr="00723A23" w14:paraId="7C850927" w14:textId="77777777" w:rsidTr="00FA0609">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1914CDD7"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4E29718B"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26F5C36E"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3D5715F3"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50F1CD97" w14:textId="77777777" w:rsidR="00723A23" w:rsidRPr="00723A23" w:rsidRDefault="00723A23" w:rsidP="00723A23">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6768EA2D"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3EECB5C3" w14:textId="77777777" w:rsidR="00723A23" w:rsidRPr="00723A23" w:rsidRDefault="00723A23" w:rsidP="00723A23">
            <w:pPr>
              <w:rPr>
                <w:rFonts w:ascii="Arial" w:eastAsia="Times New Roman" w:hAnsi="Arial" w:cs="Arial"/>
                <w:b/>
                <w:bCs/>
                <w:color w:val="000000"/>
                <w:sz w:val="14"/>
                <w:szCs w:val="14"/>
                <w:lang w:val="cs-CZ" w:eastAsia="cs-CZ"/>
              </w:rPr>
            </w:pPr>
          </w:p>
        </w:tc>
        <w:tc>
          <w:tcPr>
            <w:tcW w:w="8030" w:type="dxa"/>
            <w:gridSpan w:val="10"/>
            <w:tcBorders>
              <w:top w:val="single" w:sz="4" w:space="0" w:color="auto"/>
              <w:left w:val="nil"/>
              <w:bottom w:val="single" w:sz="4" w:space="0" w:color="auto"/>
              <w:right w:val="single" w:sz="4" w:space="0" w:color="auto"/>
            </w:tcBorders>
            <w:shd w:val="clear" w:color="000000" w:fill="FFFFFF"/>
            <w:vAlign w:val="center"/>
            <w:hideMark/>
          </w:tcPr>
          <w:p w14:paraId="1A05C58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Roční hodnota</w:t>
            </w:r>
          </w:p>
        </w:tc>
        <w:tc>
          <w:tcPr>
            <w:tcW w:w="668" w:type="dxa"/>
            <w:vMerge/>
            <w:tcBorders>
              <w:top w:val="single" w:sz="4" w:space="0" w:color="auto"/>
              <w:left w:val="single" w:sz="4" w:space="0" w:color="auto"/>
              <w:bottom w:val="single" w:sz="4" w:space="0" w:color="auto"/>
              <w:right w:val="single" w:sz="4" w:space="0" w:color="auto"/>
            </w:tcBorders>
            <w:vAlign w:val="center"/>
            <w:hideMark/>
          </w:tcPr>
          <w:p w14:paraId="6A774453"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38CDA1E6" w14:textId="77777777" w:rsidTr="00FA0609">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16BD17AE"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6F422116"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56FC2FA5"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23BCA117"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167CA229" w14:textId="77777777" w:rsidR="00723A23" w:rsidRPr="00723A23" w:rsidRDefault="00723A23" w:rsidP="00723A23">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4665B837"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4758EE19" w14:textId="77777777" w:rsidR="00723A23" w:rsidRPr="00723A23" w:rsidRDefault="00723A23" w:rsidP="00723A23">
            <w:pPr>
              <w:rPr>
                <w:rFonts w:ascii="Arial" w:eastAsia="Times New Roman" w:hAnsi="Arial" w:cs="Arial"/>
                <w:b/>
                <w:bCs/>
                <w:color w:val="000000"/>
                <w:sz w:val="14"/>
                <w:szCs w:val="14"/>
                <w:lang w:val="cs-CZ" w:eastAsia="cs-CZ"/>
              </w:rPr>
            </w:pPr>
          </w:p>
        </w:tc>
        <w:tc>
          <w:tcPr>
            <w:tcW w:w="803" w:type="dxa"/>
            <w:tcBorders>
              <w:top w:val="nil"/>
              <w:left w:val="nil"/>
              <w:bottom w:val="single" w:sz="4" w:space="0" w:color="auto"/>
              <w:right w:val="single" w:sz="4" w:space="0" w:color="auto"/>
            </w:tcBorders>
            <w:shd w:val="clear" w:color="000000" w:fill="E7E6E6"/>
            <w:vAlign w:val="center"/>
            <w:hideMark/>
          </w:tcPr>
          <w:p w14:paraId="39B2FFF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23115F4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6C80C60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233A3DA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0C5C2F9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4799D03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72D51E6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74FC222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07B6BF4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08D4FEE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668" w:type="dxa"/>
            <w:vMerge/>
            <w:tcBorders>
              <w:top w:val="single" w:sz="4" w:space="0" w:color="auto"/>
              <w:left w:val="single" w:sz="4" w:space="0" w:color="auto"/>
              <w:bottom w:val="single" w:sz="4" w:space="0" w:color="auto"/>
              <w:right w:val="single" w:sz="4" w:space="0" w:color="auto"/>
            </w:tcBorders>
            <w:vAlign w:val="center"/>
            <w:hideMark/>
          </w:tcPr>
          <w:p w14:paraId="6E43C446"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216561CA" w14:textId="77777777" w:rsidTr="00FA0609">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43C8C0C2"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0797A1E8"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5F2AE313"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0B5626AC"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03165500" w14:textId="77777777" w:rsidR="00723A23" w:rsidRPr="00723A23" w:rsidRDefault="00723A23" w:rsidP="00723A23">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0AC7A38A"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27D9A400" w14:textId="77777777" w:rsidR="00723A23" w:rsidRPr="00723A23" w:rsidRDefault="00723A23" w:rsidP="00723A23">
            <w:pPr>
              <w:rPr>
                <w:rFonts w:ascii="Arial" w:eastAsia="Times New Roman" w:hAnsi="Arial" w:cs="Arial"/>
                <w:b/>
                <w:bCs/>
                <w:color w:val="000000"/>
                <w:sz w:val="14"/>
                <w:szCs w:val="14"/>
                <w:lang w:val="cs-CZ" w:eastAsia="cs-CZ"/>
              </w:rPr>
            </w:pPr>
          </w:p>
        </w:tc>
        <w:tc>
          <w:tcPr>
            <w:tcW w:w="803" w:type="dxa"/>
            <w:tcBorders>
              <w:top w:val="nil"/>
              <w:left w:val="nil"/>
              <w:bottom w:val="single" w:sz="4" w:space="0" w:color="auto"/>
              <w:right w:val="single" w:sz="4" w:space="0" w:color="auto"/>
            </w:tcBorders>
            <w:shd w:val="clear" w:color="000000" w:fill="FFFFFF"/>
            <w:vAlign w:val="center"/>
            <w:hideMark/>
          </w:tcPr>
          <w:p w14:paraId="63756DA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2AFD871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5B3340A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58456B8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7A3B718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557F7DE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170D8E0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7E0ED2E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19BE97E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3FD64F9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668" w:type="dxa"/>
            <w:vMerge/>
            <w:tcBorders>
              <w:top w:val="single" w:sz="4" w:space="0" w:color="auto"/>
              <w:left w:val="single" w:sz="4" w:space="0" w:color="auto"/>
              <w:bottom w:val="single" w:sz="4" w:space="0" w:color="auto"/>
              <w:right w:val="single" w:sz="4" w:space="0" w:color="auto"/>
            </w:tcBorders>
            <w:vAlign w:val="center"/>
            <w:hideMark/>
          </w:tcPr>
          <w:p w14:paraId="1BB8F395"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0CC04EB0" w14:textId="77777777" w:rsidTr="00FA0609">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496540DF"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4C769795"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7CA21088"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706136B3"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5C7C76A0" w14:textId="77777777" w:rsidR="00723A23" w:rsidRPr="00723A23" w:rsidRDefault="00723A23" w:rsidP="00723A23">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2DDFACDF"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78F7AB31" w14:textId="77777777" w:rsidR="00723A23" w:rsidRPr="00723A23" w:rsidRDefault="00723A23" w:rsidP="00723A23">
            <w:pPr>
              <w:rPr>
                <w:rFonts w:ascii="Arial" w:eastAsia="Times New Roman" w:hAnsi="Arial" w:cs="Arial"/>
                <w:b/>
                <w:bCs/>
                <w:color w:val="000000"/>
                <w:sz w:val="14"/>
                <w:szCs w:val="14"/>
                <w:lang w:val="cs-CZ" w:eastAsia="cs-CZ"/>
              </w:rPr>
            </w:pPr>
          </w:p>
        </w:tc>
        <w:tc>
          <w:tcPr>
            <w:tcW w:w="803" w:type="dxa"/>
            <w:tcBorders>
              <w:top w:val="nil"/>
              <w:left w:val="nil"/>
              <w:bottom w:val="single" w:sz="4" w:space="0" w:color="auto"/>
              <w:right w:val="single" w:sz="4" w:space="0" w:color="auto"/>
            </w:tcBorders>
            <w:shd w:val="clear" w:color="000000" w:fill="FFFFFF"/>
            <w:vAlign w:val="center"/>
            <w:hideMark/>
          </w:tcPr>
          <w:p w14:paraId="506F823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60E45FB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3438A52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7C23BEE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02605F1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462BE86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1D80112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551F3CE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2A6FDF5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20D8687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668" w:type="dxa"/>
            <w:vMerge/>
            <w:tcBorders>
              <w:top w:val="single" w:sz="4" w:space="0" w:color="auto"/>
              <w:left w:val="single" w:sz="4" w:space="0" w:color="auto"/>
              <w:bottom w:val="single" w:sz="4" w:space="0" w:color="auto"/>
              <w:right w:val="single" w:sz="4" w:space="0" w:color="auto"/>
            </w:tcBorders>
            <w:vAlign w:val="center"/>
            <w:hideMark/>
          </w:tcPr>
          <w:p w14:paraId="292BB4B5"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6CCB861C" w14:textId="77777777" w:rsidTr="00FA0609">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48975BA0"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71A2F0F9"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13037739"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07017571"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5E031836" w14:textId="77777777" w:rsidR="00723A23" w:rsidRPr="00723A23" w:rsidRDefault="00723A23" w:rsidP="00723A23">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37C4B73E"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10B6A762" w14:textId="77777777" w:rsidR="00723A23" w:rsidRPr="00723A23" w:rsidRDefault="00723A23" w:rsidP="00723A23">
            <w:pPr>
              <w:rPr>
                <w:rFonts w:ascii="Arial" w:eastAsia="Times New Roman" w:hAnsi="Arial" w:cs="Arial"/>
                <w:b/>
                <w:bCs/>
                <w:color w:val="000000"/>
                <w:sz w:val="14"/>
                <w:szCs w:val="14"/>
                <w:lang w:val="cs-CZ" w:eastAsia="cs-CZ"/>
              </w:rPr>
            </w:pPr>
          </w:p>
        </w:tc>
        <w:tc>
          <w:tcPr>
            <w:tcW w:w="8030" w:type="dxa"/>
            <w:gridSpan w:val="10"/>
            <w:tcBorders>
              <w:top w:val="single" w:sz="4" w:space="0" w:color="auto"/>
              <w:left w:val="nil"/>
              <w:bottom w:val="single" w:sz="4" w:space="0" w:color="auto"/>
              <w:right w:val="single" w:sz="4" w:space="0" w:color="auto"/>
            </w:tcBorders>
            <w:shd w:val="clear" w:color="000000" w:fill="FFFFFF"/>
            <w:vAlign w:val="center"/>
            <w:hideMark/>
          </w:tcPr>
          <w:p w14:paraId="4A40169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Kumulativní hodnota</w:t>
            </w:r>
          </w:p>
        </w:tc>
        <w:tc>
          <w:tcPr>
            <w:tcW w:w="668" w:type="dxa"/>
            <w:vMerge/>
            <w:tcBorders>
              <w:top w:val="single" w:sz="4" w:space="0" w:color="auto"/>
              <w:left w:val="single" w:sz="4" w:space="0" w:color="auto"/>
              <w:bottom w:val="single" w:sz="4" w:space="0" w:color="auto"/>
              <w:right w:val="single" w:sz="4" w:space="0" w:color="auto"/>
            </w:tcBorders>
            <w:vAlign w:val="center"/>
            <w:hideMark/>
          </w:tcPr>
          <w:p w14:paraId="17B09832"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6B1E993B" w14:textId="77777777" w:rsidTr="00FA0609">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56E4D91B"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2469C13E"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08273899"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63B30D96"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671D22AF" w14:textId="77777777" w:rsidR="00723A23" w:rsidRPr="00723A23" w:rsidRDefault="00723A23" w:rsidP="00723A23">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63C882B1"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E7E6E6"/>
            <w:vAlign w:val="center"/>
            <w:hideMark/>
          </w:tcPr>
          <w:p w14:paraId="1E4AA87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312D300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2D99284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67AA350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07C1519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1E63037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5788B34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3251F2A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0CD7887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439A870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3" w:type="dxa"/>
            <w:tcBorders>
              <w:top w:val="nil"/>
              <w:left w:val="nil"/>
              <w:bottom w:val="single" w:sz="4" w:space="0" w:color="auto"/>
              <w:right w:val="single" w:sz="4" w:space="0" w:color="auto"/>
            </w:tcBorders>
            <w:shd w:val="clear" w:color="000000" w:fill="E7E6E6"/>
            <w:vAlign w:val="center"/>
            <w:hideMark/>
          </w:tcPr>
          <w:p w14:paraId="1A3C17C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668" w:type="dxa"/>
            <w:tcBorders>
              <w:top w:val="nil"/>
              <w:left w:val="nil"/>
              <w:bottom w:val="single" w:sz="4" w:space="0" w:color="auto"/>
              <w:right w:val="single" w:sz="4" w:space="0" w:color="auto"/>
            </w:tcBorders>
            <w:shd w:val="clear" w:color="000000" w:fill="E7E6E6"/>
            <w:vAlign w:val="center"/>
            <w:hideMark/>
          </w:tcPr>
          <w:p w14:paraId="0E68F22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r>
      <w:tr w:rsidR="00723A23" w:rsidRPr="00723A23" w14:paraId="5BDEFABC" w14:textId="77777777" w:rsidTr="00FA0609">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0FE96F30"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095B3691"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0B492003"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0F5DC392"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1B247F86" w14:textId="77777777" w:rsidR="00723A23" w:rsidRPr="00723A23" w:rsidRDefault="00723A23" w:rsidP="00723A23">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623CF618"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FFFFFF"/>
            <w:vAlign w:val="center"/>
            <w:hideMark/>
          </w:tcPr>
          <w:p w14:paraId="57B9DC5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10461B5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6C92D0F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5768363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53F5317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0076F59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6EB7D85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1DF3C74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2C30678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5800682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000000" w:fill="FFFFFF"/>
            <w:vAlign w:val="center"/>
            <w:hideMark/>
          </w:tcPr>
          <w:p w14:paraId="22A79BC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668" w:type="dxa"/>
            <w:tcBorders>
              <w:top w:val="nil"/>
              <w:left w:val="nil"/>
              <w:bottom w:val="single" w:sz="4" w:space="0" w:color="auto"/>
              <w:right w:val="single" w:sz="4" w:space="0" w:color="auto"/>
            </w:tcBorders>
            <w:shd w:val="clear" w:color="000000" w:fill="FFFFFF"/>
            <w:vAlign w:val="center"/>
            <w:hideMark/>
          </w:tcPr>
          <w:p w14:paraId="130FAFF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r>
      <w:tr w:rsidR="00723A23" w:rsidRPr="00723A23" w14:paraId="7E41343E" w14:textId="77777777" w:rsidTr="00FA0609">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1445F43D"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5AB777E3" w14:textId="77777777" w:rsidR="00723A23" w:rsidRPr="00723A23" w:rsidRDefault="00723A23" w:rsidP="00723A23">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4B7F345A"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6A084852"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5ACB53A5" w14:textId="77777777" w:rsidR="00723A23" w:rsidRPr="00723A23" w:rsidRDefault="00723A23" w:rsidP="00723A23">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4554C352" w14:textId="77777777" w:rsidR="00723A23" w:rsidRPr="00723A23" w:rsidRDefault="00723A23" w:rsidP="00723A23">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FFFFFF"/>
            <w:vAlign w:val="center"/>
            <w:hideMark/>
          </w:tcPr>
          <w:p w14:paraId="5FD60D9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31D4037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2D94D8A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42472C0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3F718B7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0201576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0882390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06D3512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73DD6D8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10BF7DE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000000" w:fill="FFFFFF"/>
            <w:vAlign w:val="center"/>
            <w:hideMark/>
          </w:tcPr>
          <w:p w14:paraId="1D4D0FB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668" w:type="dxa"/>
            <w:tcBorders>
              <w:top w:val="nil"/>
              <w:left w:val="nil"/>
              <w:bottom w:val="single" w:sz="4" w:space="0" w:color="auto"/>
              <w:right w:val="single" w:sz="4" w:space="0" w:color="auto"/>
            </w:tcBorders>
            <w:shd w:val="clear" w:color="000000" w:fill="FFFFFF"/>
            <w:vAlign w:val="center"/>
            <w:hideMark/>
          </w:tcPr>
          <w:p w14:paraId="30606CF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r>
      <w:tr w:rsidR="00723A23" w:rsidRPr="00723A23" w14:paraId="1FCF207D" w14:textId="77777777" w:rsidTr="00FA0609">
        <w:trPr>
          <w:trHeight w:val="20"/>
        </w:trPr>
        <w:tc>
          <w:tcPr>
            <w:tcW w:w="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7E19AC"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64103</w:t>
            </w:r>
          </w:p>
        </w:tc>
        <w:tc>
          <w:tcPr>
            <w:tcW w:w="245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ABABBB"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Nezaměstnaní účastníci ve věkové skupině 25-29 let, kteří dokončili program podporovaný YEI</w:t>
            </w:r>
          </w:p>
        </w:tc>
        <w:tc>
          <w:tcPr>
            <w:tcW w:w="4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E81361"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YEI</w:t>
            </w:r>
          </w:p>
        </w:tc>
        <w:tc>
          <w:tcPr>
            <w:tcW w:w="117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3C400A"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Nerelevantní</w:t>
            </w:r>
          </w:p>
        </w:tc>
        <w:tc>
          <w:tcPr>
            <w:tcW w:w="8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718445"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Osoby</w:t>
            </w:r>
          </w:p>
        </w:tc>
        <w:tc>
          <w:tcPr>
            <w:tcW w:w="9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EC0D3B"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69C452D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500,000</w:t>
            </w:r>
          </w:p>
        </w:tc>
        <w:tc>
          <w:tcPr>
            <w:tcW w:w="803" w:type="dxa"/>
            <w:tcBorders>
              <w:top w:val="nil"/>
              <w:left w:val="nil"/>
              <w:bottom w:val="single" w:sz="4" w:space="0" w:color="auto"/>
              <w:right w:val="single" w:sz="4" w:space="0" w:color="auto"/>
            </w:tcBorders>
            <w:shd w:val="clear" w:color="000000" w:fill="E7E6E6"/>
            <w:vAlign w:val="center"/>
            <w:hideMark/>
          </w:tcPr>
          <w:p w14:paraId="2BAA199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000000" w:fill="E7E6E6"/>
            <w:vAlign w:val="center"/>
            <w:hideMark/>
          </w:tcPr>
          <w:p w14:paraId="37A4340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000000" w:fill="E7E6E6"/>
            <w:vAlign w:val="center"/>
            <w:hideMark/>
          </w:tcPr>
          <w:p w14:paraId="316DEF8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000000" w:fill="E7E6E6"/>
            <w:vAlign w:val="center"/>
            <w:hideMark/>
          </w:tcPr>
          <w:p w14:paraId="6189E95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59,000</w:t>
            </w:r>
          </w:p>
        </w:tc>
        <w:tc>
          <w:tcPr>
            <w:tcW w:w="803" w:type="dxa"/>
            <w:tcBorders>
              <w:top w:val="nil"/>
              <w:left w:val="nil"/>
              <w:bottom w:val="single" w:sz="4" w:space="0" w:color="auto"/>
              <w:right w:val="single" w:sz="4" w:space="0" w:color="auto"/>
            </w:tcBorders>
            <w:shd w:val="clear" w:color="000000" w:fill="E7E6E6"/>
            <w:vAlign w:val="center"/>
            <w:hideMark/>
          </w:tcPr>
          <w:p w14:paraId="02C9F21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510,000</w:t>
            </w:r>
          </w:p>
        </w:tc>
        <w:tc>
          <w:tcPr>
            <w:tcW w:w="803" w:type="dxa"/>
            <w:tcBorders>
              <w:top w:val="nil"/>
              <w:left w:val="nil"/>
              <w:bottom w:val="single" w:sz="4" w:space="0" w:color="auto"/>
              <w:right w:val="single" w:sz="4" w:space="0" w:color="auto"/>
            </w:tcBorders>
            <w:shd w:val="clear" w:color="000000" w:fill="E7E6E6"/>
            <w:vAlign w:val="center"/>
            <w:hideMark/>
          </w:tcPr>
          <w:p w14:paraId="185958B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605,000</w:t>
            </w:r>
          </w:p>
        </w:tc>
        <w:tc>
          <w:tcPr>
            <w:tcW w:w="803" w:type="dxa"/>
            <w:tcBorders>
              <w:top w:val="nil"/>
              <w:left w:val="nil"/>
              <w:bottom w:val="single" w:sz="4" w:space="0" w:color="auto"/>
              <w:right w:val="single" w:sz="4" w:space="0" w:color="auto"/>
            </w:tcBorders>
            <w:shd w:val="clear" w:color="000000" w:fill="E7E6E6"/>
            <w:vAlign w:val="center"/>
            <w:hideMark/>
          </w:tcPr>
          <w:p w14:paraId="36AE123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E7E6E6"/>
            <w:vAlign w:val="center"/>
            <w:hideMark/>
          </w:tcPr>
          <w:p w14:paraId="4EFDCAB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E7E6E6"/>
            <w:vAlign w:val="center"/>
            <w:hideMark/>
          </w:tcPr>
          <w:p w14:paraId="7957405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E7E6E6"/>
            <w:vAlign w:val="center"/>
            <w:hideMark/>
          </w:tcPr>
          <w:p w14:paraId="234C7D1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4866837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234,800</w:t>
            </w:r>
          </w:p>
        </w:tc>
      </w:tr>
      <w:tr w:rsidR="00723A23" w:rsidRPr="00723A23" w14:paraId="254227B7" w14:textId="77777777" w:rsidTr="00FA0609">
        <w:trPr>
          <w:trHeight w:val="20"/>
        </w:trPr>
        <w:tc>
          <w:tcPr>
            <w:tcW w:w="506" w:type="dxa"/>
            <w:vMerge/>
            <w:tcBorders>
              <w:top w:val="nil"/>
              <w:left w:val="single" w:sz="4" w:space="0" w:color="auto"/>
              <w:bottom w:val="single" w:sz="4" w:space="0" w:color="000000"/>
              <w:right w:val="single" w:sz="4" w:space="0" w:color="auto"/>
            </w:tcBorders>
            <w:vAlign w:val="center"/>
            <w:hideMark/>
          </w:tcPr>
          <w:p w14:paraId="681E1939" w14:textId="77777777" w:rsidR="00723A23" w:rsidRPr="00723A23" w:rsidRDefault="00723A23" w:rsidP="00723A23">
            <w:pPr>
              <w:rPr>
                <w:rFonts w:ascii="Arial" w:eastAsia="Times New Roman" w:hAnsi="Arial" w:cs="Arial"/>
                <w:color w:val="000000"/>
                <w:sz w:val="14"/>
                <w:szCs w:val="14"/>
                <w:lang w:val="cs-CZ" w:eastAsia="cs-CZ"/>
              </w:rPr>
            </w:pPr>
          </w:p>
        </w:tc>
        <w:tc>
          <w:tcPr>
            <w:tcW w:w="2455" w:type="dxa"/>
            <w:vMerge/>
            <w:tcBorders>
              <w:top w:val="nil"/>
              <w:left w:val="single" w:sz="4" w:space="0" w:color="auto"/>
              <w:bottom w:val="single" w:sz="4" w:space="0" w:color="000000"/>
              <w:right w:val="single" w:sz="4" w:space="0" w:color="auto"/>
            </w:tcBorders>
            <w:vAlign w:val="center"/>
            <w:hideMark/>
          </w:tcPr>
          <w:p w14:paraId="65BA9A4A" w14:textId="77777777" w:rsidR="00723A23" w:rsidRPr="00723A23" w:rsidRDefault="00723A23" w:rsidP="00723A23">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42BDE904" w14:textId="77777777" w:rsidR="00723A23" w:rsidRPr="00723A23" w:rsidRDefault="00723A23" w:rsidP="00723A23">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0AA11A05"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vMerge/>
            <w:tcBorders>
              <w:top w:val="nil"/>
              <w:left w:val="single" w:sz="4" w:space="0" w:color="auto"/>
              <w:bottom w:val="single" w:sz="4" w:space="0" w:color="000000"/>
              <w:right w:val="single" w:sz="4" w:space="0" w:color="auto"/>
            </w:tcBorders>
            <w:vAlign w:val="center"/>
            <w:hideMark/>
          </w:tcPr>
          <w:p w14:paraId="616FE3F1" w14:textId="77777777" w:rsidR="00723A23" w:rsidRPr="00723A23" w:rsidRDefault="00723A23" w:rsidP="00723A23">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1C888240" w14:textId="77777777" w:rsidR="00723A23" w:rsidRPr="00723A23" w:rsidRDefault="00723A23" w:rsidP="00723A23">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3BF981BB" w14:textId="77777777" w:rsidR="00723A23" w:rsidRPr="00723A23" w:rsidRDefault="00723A23" w:rsidP="00723A23">
            <w:pPr>
              <w:rPr>
                <w:rFonts w:ascii="Arial" w:eastAsia="Times New Roman" w:hAnsi="Arial" w:cs="Arial"/>
                <w:color w:val="000000"/>
                <w:sz w:val="14"/>
                <w:szCs w:val="14"/>
                <w:lang w:val="cs-CZ" w:eastAsia="cs-CZ"/>
              </w:rPr>
            </w:pPr>
          </w:p>
        </w:tc>
        <w:tc>
          <w:tcPr>
            <w:tcW w:w="803" w:type="dxa"/>
            <w:tcBorders>
              <w:top w:val="nil"/>
              <w:left w:val="nil"/>
              <w:bottom w:val="single" w:sz="4" w:space="0" w:color="auto"/>
              <w:right w:val="single" w:sz="4" w:space="0" w:color="auto"/>
            </w:tcBorders>
            <w:shd w:val="clear" w:color="000000" w:fill="FFFFFF"/>
            <w:vAlign w:val="center"/>
            <w:hideMark/>
          </w:tcPr>
          <w:p w14:paraId="6DF2AA6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1180894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0B1F9B3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5691B9A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2F8C62D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37B8686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388B491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5280886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27FD60A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3E710DC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8" w:type="dxa"/>
            <w:vMerge/>
            <w:tcBorders>
              <w:top w:val="nil"/>
              <w:left w:val="single" w:sz="4" w:space="0" w:color="auto"/>
              <w:bottom w:val="single" w:sz="4" w:space="0" w:color="000000"/>
              <w:right w:val="single" w:sz="4" w:space="0" w:color="auto"/>
            </w:tcBorders>
            <w:vAlign w:val="center"/>
            <w:hideMark/>
          </w:tcPr>
          <w:p w14:paraId="122B6158"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41B63CC3" w14:textId="77777777" w:rsidTr="00FA0609">
        <w:trPr>
          <w:trHeight w:val="20"/>
        </w:trPr>
        <w:tc>
          <w:tcPr>
            <w:tcW w:w="506" w:type="dxa"/>
            <w:vMerge/>
            <w:tcBorders>
              <w:top w:val="nil"/>
              <w:left w:val="single" w:sz="4" w:space="0" w:color="auto"/>
              <w:bottom w:val="single" w:sz="4" w:space="0" w:color="000000"/>
              <w:right w:val="single" w:sz="4" w:space="0" w:color="auto"/>
            </w:tcBorders>
            <w:vAlign w:val="center"/>
            <w:hideMark/>
          </w:tcPr>
          <w:p w14:paraId="75FA5A8A" w14:textId="77777777" w:rsidR="00723A23" w:rsidRPr="00723A23" w:rsidRDefault="00723A23" w:rsidP="00723A23">
            <w:pPr>
              <w:rPr>
                <w:rFonts w:ascii="Arial" w:eastAsia="Times New Roman" w:hAnsi="Arial" w:cs="Arial"/>
                <w:color w:val="000000"/>
                <w:sz w:val="14"/>
                <w:szCs w:val="14"/>
                <w:lang w:val="cs-CZ" w:eastAsia="cs-CZ"/>
              </w:rPr>
            </w:pPr>
          </w:p>
        </w:tc>
        <w:tc>
          <w:tcPr>
            <w:tcW w:w="2455" w:type="dxa"/>
            <w:vMerge/>
            <w:tcBorders>
              <w:top w:val="nil"/>
              <w:left w:val="single" w:sz="4" w:space="0" w:color="auto"/>
              <w:bottom w:val="single" w:sz="4" w:space="0" w:color="000000"/>
              <w:right w:val="single" w:sz="4" w:space="0" w:color="auto"/>
            </w:tcBorders>
            <w:vAlign w:val="center"/>
            <w:hideMark/>
          </w:tcPr>
          <w:p w14:paraId="20704FC7" w14:textId="77777777" w:rsidR="00723A23" w:rsidRPr="00723A23" w:rsidRDefault="00723A23" w:rsidP="00723A23">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0FB151A6" w14:textId="77777777" w:rsidR="00723A23" w:rsidRPr="00723A23" w:rsidRDefault="00723A23" w:rsidP="00723A23">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2096044E"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vMerge/>
            <w:tcBorders>
              <w:top w:val="nil"/>
              <w:left w:val="single" w:sz="4" w:space="0" w:color="auto"/>
              <w:bottom w:val="single" w:sz="4" w:space="0" w:color="000000"/>
              <w:right w:val="single" w:sz="4" w:space="0" w:color="auto"/>
            </w:tcBorders>
            <w:vAlign w:val="center"/>
            <w:hideMark/>
          </w:tcPr>
          <w:p w14:paraId="362FE440" w14:textId="77777777" w:rsidR="00723A23" w:rsidRPr="00723A23" w:rsidRDefault="00723A23" w:rsidP="00723A23">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665442C4" w14:textId="77777777" w:rsidR="00723A23" w:rsidRPr="00723A23" w:rsidRDefault="00723A23" w:rsidP="00723A23">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49923909" w14:textId="77777777" w:rsidR="00723A23" w:rsidRPr="00723A23" w:rsidRDefault="00723A23" w:rsidP="00723A23">
            <w:pPr>
              <w:rPr>
                <w:rFonts w:ascii="Arial" w:eastAsia="Times New Roman" w:hAnsi="Arial" w:cs="Arial"/>
                <w:color w:val="000000"/>
                <w:sz w:val="14"/>
                <w:szCs w:val="14"/>
                <w:lang w:val="cs-CZ" w:eastAsia="cs-CZ"/>
              </w:rPr>
            </w:pPr>
          </w:p>
        </w:tc>
        <w:tc>
          <w:tcPr>
            <w:tcW w:w="803" w:type="dxa"/>
            <w:tcBorders>
              <w:top w:val="nil"/>
              <w:left w:val="nil"/>
              <w:bottom w:val="single" w:sz="4" w:space="0" w:color="auto"/>
              <w:right w:val="single" w:sz="4" w:space="0" w:color="auto"/>
            </w:tcBorders>
            <w:shd w:val="clear" w:color="000000" w:fill="FFFFFF"/>
            <w:vAlign w:val="center"/>
            <w:hideMark/>
          </w:tcPr>
          <w:p w14:paraId="09A2F45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4B83D6C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1BD2E30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045CB53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73A032B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63C600A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3E14CC3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3EEBD60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787F18F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FFFFFF"/>
            <w:vAlign w:val="center"/>
            <w:hideMark/>
          </w:tcPr>
          <w:p w14:paraId="3EEDCC0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8" w:type="dxa"/>
            <w:vMerge/>
            <w:tcBorders>
              <w:top w:val="nil"/>
              <w:left w:val="single" w:sz="4" w:space="0" w:color="auto"/>
              <w:bottom w:val="single" w:sz="4" w:space="0" w:color="000000"/>
              <w:right w:val="single" w:sz="4" w:space="0" w:color="auto"/>
            </w:tcBorders>
            <w:vAlign w:val="center"/>
            <w:hideMark/>
          </w:tcPr>
          <w:p w14:paraId="43B995D7"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16C144F2" w14:textId="77777777" w:rsidTr="00FA0609">
        <w:trPr>
          <w:trHeight w:val="20"/>
        </w:trPr>
        <w:tc>
          <w:tcPr>
            <w:tcW w:w="506" w:type="dxa"/>
            <w:vMerge/>
            <w:tcBorders>
              <w:top w:val="nil"/>
              <w:left w:val="single" w:sz="4" w:space="0" w:color="auto"/>
              <w:bottom w:val="single" w:sz="4" w:space="0" w:color="000000"/>
              <w:right w:val="single" w:sz="4" w:space="0" w:color="auto"/>
            </w:tcBorders>
            <w:vAlign w:val="center"/>
            <w:hideMark/>
          </w:tcPr>
          <w:p w14:paraId="0745CEA6" w14:textId="77777777" w:rsidR="00723A23" w:rsidRPr="00723A23" w:rsidRDefault="00723A23" w:rsidP="00723A23">
            <w:pPr>
              <w:rPr>
                <w:rFonts w:ascii="Arial" w:eastAsia="Times New Roman" w:hAnsi="Arial" w:cs="Arial"/>
                <w:color w:val="000000"/>
                <w:sz w:val="14"/>
                <w:szCs w:val="14"/>
                <w:lang w:val="cs-CZ" w:eastAsia="cs-CZ"/>
              </w:rPr>
            </w:pPr>
          </w:p>
        </w:tc>
        <w:tc>
          <w:tcPr>
            <w:tcW w:w="2455" w:type="dxa"/>
            <w:vMerge/>
            <w:tcBorders>
              <w:top w:val="nil"/>
              <w:left w:val="single" w:sz="4" w:space="0" w:color="auto"/>
              <w:bottom w:val="single" w:sz="4" w:space="0" w:color="000000"/>
              <w:right w:val="single" w:sz="4" w:space="0" w:color="auto"/>
            </w:tcBorders>
            <w:vAlign w:val="center"/>
            <w:hideMark/>
          </w:tcPr>
          <w:p w14:paraId="1C156690" w14:textId="77777777" w:rsidR="00723A23" w:rsidRPr="00723A23" w:rsidRDefault="00723A23" w:rsidP="00723A23">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7C0C54E3" w14:textId="77777777" w:rsidR="00723A23" w:rsidRPr="00723A23" w:rsidRDefault="00723A23" w:rsidP="00723A23">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0021799C"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vMerge/>
            <w:tcBorders>
              <w:top w:val="nil"/>
              <w:left w:val="single" w:sz="4" w:space="0" w:color="auto"/>
              <w:bottom w:val="single" w:sz="4" w:space="0" w:color="000000"/>
              <w:right w:val="single" w:sz="4" w:space="0" w:color="auto"/>
            </w:tcBorders>
            <w:vAlign w:val="center"/>
            <w:hideMark/>
          </w:tcPr>
          <w:p w14:paraId="1F4313F1" w14:textId="77777777" w:rsidR="00723A23" w:rsidRPr="00723A23" w:rsidRDefault="00723A23" w:rsidP="00723A23">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6B60B5DA" w14:textId="77777777" w:rsidR="00723A23" w:rsidRPr="00723A23" w:rsidRDefault="00723A23" w:rsidP="00723A23">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782D6859" w14:textId="77777777" w:rsidR="00723A23" w:rsidRPr="00723A23" w:rsidRDefault="00723A23" w:rsidP="00723A23">
            <w:pPr>
              <w:rPr>
                <w:rFonts w:ascii="Arial" w:eastAsia="Times New Roman" w:hAnsi="Arial" w:cs="Arial"/>
                <w:color w:val="000000"/>
                <w:sz w:val="14"/>
                <w:szCs w:val="14"/>
                <w:lang w:val="cs-CZ" w:eastAsia="cs-CZ"/>
              </w:rPr>
            </w:pPr>
          </w:p>
        </w:tc>
        <w:tc>
          <w:tcPr>
            <w:tcW w:w="803" w:type="dxa"/>
            <w:tcBorders>
              <w:top w:val="nil"/>
              <w:left w:val="nil"/>
              <w:bottom w:val="single" w:sz="4" w:space="0" w:color="auto"/>
              <w:right w:val="single" w:sz="4" w:space="0" w:color="auto"/>
            </w:tcBorders>
            <w:shd w:val="clear" w:color="000000" w:fill="E7E6E6"/>
            <w:vAlign w:val="center"/>
            <w:hideMark/>
          </w:tcPr>
          <w:p w14:paraId="01091DC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000000" w:fill="E7E6E6"/>
            <w:vAlign w:val="center"/>
            <w:hideMark/>
          </w:tcPr>
          <w:p w14:paraId="55C880C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000000" w:fill="E7E6E6"/>
            <w:vAlign w:val="center"/>
            <w:hideMark/>
          </w:tcPr>
          <w:p w14:paraId="0802686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000000" w:fill="E7E6E6"/>
            <w:vAlign w:val="center"/>
            <w:hideMark/>
          </w:tcPr>
          <w:p w14:paraId="5F6C2F9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59,000</w:t>
            </w:r>
          </w:p>
        </w:tc>
        <w:tc>
          <w:tcPr>
            <w:tcW w:w="803" w:type="dxa"/>
            <w:tcBorders>
              <w:top w:val="nil"/>
              <w:left w:val="nil"/>
              <w:bottom w:val="single" w:sz="4" w:space="0" w:color="auto"/>
              <w:right w:val="single" w:sz="4" w:space="0" w:color="auto"/>
            </w:tcBorders>
            <w:shd w:val="clear" w:color="000000" w:fill="E7E6E6"/>
            <w:vAlign w:val="center"/>
            <w:hideMark/>
          </w:tcPr>
          <w:p w14:paraId="546B0E4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569,000</w:t>
            </w:r>
          </w:p>
        </w:tc>
        <w:tc>
          <w:tcPr>
            <w:tcW w:w="803" w:type="dxa"/>
            <w:tcBorders>
              <w:top w:val="nil"/>
              <w:left w:val="nil"/>
              <w:bottom w:val="single" w:sz="4" w:space="0" w:color="auto"/>
              <w:right w:val="single" w:sz="4" w:space="0" w:color="auto"/>
            </w:tcBorders>
            <w:shd w:val="clear" w:color="000000" w:fill="E7E6E6"/>
            <w:vAlign w:val="center"/>
            <w:hideMark/>
          </w:tcPr>
          <w:p w14:paraId="2A0F596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1174,000</w:t>
            </w:r>
          </w:p>
        </w:tc>
        <w:tc>
          <w:tcPr>
            <w:tcW w:w="803" w:type="dxa"/>
            <w:tcBorders>
              <w:top w:val="nil"/>
              <w:left w:val="nil"/>
              <w:bottom w:val="single" w:sz="4" w:space="0" w:color="auto"/>
              <w:right w:val="single" w:sz="4" w:space="0" w:color="auto"/>
            </w:tcBorders>
            <w:shd w:val="clear" w:color="000000" w:fill="E7E6E6"/>
            <w:vAlign w:val="center"/>
            <w:hideMark/>
          </w:tcPr>
          <w:p w14:paraId="29E6040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E7E6E6"/>
            <w:vAlign w:val="center"/>
            <w:hideMark/>
          </w:tcPr>
          <w:p w14:paraId="7834AC0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E7E6E6"/>
            <w:vAlign w:val="center"/>
            <w:hideMark/>
          </w:tcPr>
          <w:p w14:paraId="17B8403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000000" w:fill="E7E6E6"/>
            <w:vAlign w:val="center"/>
            <w:hideMark/>
          </w:tcPr>
          <w:p w14:paraId="1284565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8" w:type="dxa"/>
            <w:vMerge/>
            <w:tcBorders>
              <w:top w:val="nil"/>
              <w:left w:val="single" w:sz="4" w:space="0" w:color="auto"/>
              <w:bottom w:val="single" w:sz="4" w:space="0" w:color="000000"/>
              <w:right w:val="single" w:sz="4" w:space="0" w:color="auto"/>
            </w:tcBorders>
            <w:vAlign w:val="center"/>
            <w:hideMark/>
          </w:tcPr>
          <w:p w14:paraId="79F0678B"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21B89BC0" w14:textId="77777777" w:rsidTr="00FA0609">
        <w:trPr>
          <w:trHeight w:val="20"/>
        </w:trPr>
        <w:tc>
          <w:tcPr>
            <w:tcW w:w="506" w:type="dxa"/>
            <w:vMerge/>
            <w:tcBorders>
              <w:top w:val="nil"/>
              <w:left w:val="single" w:sz="4" w:space="0" w:color="auto"/>
              <w:bottom w:val="single" w:sz="4" w:space="0" w:color="000000"/>
              <w:right w:val="single" w:sz="4" w:space="0" w:color="auto"/>
            </w:tcBorders>
            <w:vAlign w:val="center"/>
            <w:hideMark/>
          </w:tcPr>
          <w:p w14:paraId="0F7EBEB9" w14:textId="77777777" w:rsidR="00723A23" w:rsidRPr="00723A23" w:rsidRDefault="00723A23" w:rsidP="00723A23">
            <w:pPr>
              <w:rPr>
                <w:rFonts w:ascii="Arial" w:eastAsia="Times New Roman" w:hAnsi="Arial" w:cs="Arial"/>
                <w:color w:val="000000"/>
                <w:sz w:val="14"/>
                <w:szCs w:val="14"/>
                <w:lang w:val="cs-CZ" w:eastAsia="cs-CZ"/>
              </w:rPr>
            </w:pPr>
          </w:p>
        </w:tc>
        <w:tc>
          <w:tcPr>
            <w:tcW w:w="2455" w:type="dxa"/>
            <w:vMerge/>
            <w:tcBorders>
              <w:top w:val="nil"/>
              <w:left w:val="single" w:sz="4" w:space="0" w:color="auto"/>
              <w:bottom w:val="single" w:sz="4" w:space="0" w:color="000000"/>
              <w:right w:val="single" w:sz="4" w:space="0" w:color="auto"/>
            </w:tcBorders>
            <w:vAlign w:val="center"/>
            <w:hideMark/>
          </w:tcPr>
          <w:p w14:paraId="0C678BA3" w14:textId="77777777" w:rsidR="00723A23" w:rsidRPr="00723A23" w:rsidRDefault="00723A23" w:rsidP="00723A23">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7B64AA2D" w14:textId="77777777" w:rsidR="00723A23" w:rsidRPr="00723A23" w:rsidRDefault="00723A23" w:rsidP="00723A23">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5FE188DE"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vMerge/>
            <w:tcBorders>
              <w:top w:val="nil"/>
              <w:left w:val="single" w:sz="4" w:space="0" w:color="auto"/>
              <w:bottom w:val="single" w:sz="4" w:space="0" w:color="000000"/>
              <w:right w:val="single" w:sz="4" w:space="0" w:color="auto"/>
            </w:tcBorders>
            <w:vAlign w:val="center"/>
            <w:hideMark/>
          </w:tcPr>
          <w:p w14:paraId="6A4C84B0" w14:textId="77777777" w:rsidR="00723A23" w:rsidRPr="00723A23" w:rsidRDefault="00723A23" w:rsidP="00723A23">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148B3E30" w14:textId="77777777" w:rsidR="00723A23" w:rsidRPr="00723A23" w:rsidRDefault="00723A23" w:rsidP="00723A23">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vAlign w:val="center"/>
            <w:hideMark/>
          </w:tcPr>
          <w:p w14:paraId="3CDD80A5"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189CFF2E"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59F634E4"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5557FCF9"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2B90B6BF"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69BF9281"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756445E3"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22DA0C4E"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2216C31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5E47DA8B"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0597EA61"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668" w:type="dxa"/>
            <w:tcBorders>
              <w:top w:val="nil"/>
              <w:left w:val="nil"/>
              <w:bottom w:val="single" w:sz="4" w:space="0" w:color="auto"/>
              <w:right w:val="single" w:sz="4" w:space="0" w:color="auto"/>
            </w:tcBorders>
            <w:shd w:val="clear" w:color="auto" w:fill="auto"/>
            <w:vAlign w:val="center"/>
            <w:hideMark/>
          </w:tcPr>
          <w:p w14:paraId="30074396"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5CD2ED72" w14:textId="77777777" w:rsidTr="00FA0609">
        <w:trPr>
          <w:trHeight w:val="20"/>
        </w:trPr>
        <w:tc>
          <w:tcPr>
            <w:tcW w:w="506" w:type="dxa"/>
            <w:vMerge/>
            <w:tcBorders>
              <w:top w:val="nil"/>
              <w:left w:val="single" w:sz="4" w:space="0" w:color="auto"/>
              <w:bottom w:val="single" w:sz="4" w:space="0" w:color="000000"/>
              <w:right w:val="single" w:sz="4" w:space="0" w:color="auto"/>
            </w:tcBorders>
            <w:vAlign w:val="center"/>
            <w:hideMark/>
          </w:tcPr>
          <w:p w14:paraId="423BC873" w14:textId="77777777" w:rsidR="00723A23" w:rsidRPr="00723A23" w:rsidRDefault="00723A23" w:rsidP="00723A23">
            <w:pPr>
              <w:rPr>
                <w:rFonts w:ascii="Arial" w:eastAsia="Times New Roman" w:hAnsi="Arial" w:cs="Arial"/>
                <w:color w:val="000000"/>
                <w:sz w:val="14"/>
                <w:szCs w:val="14"/>
                <w:lang w:val="cs-CZ" w:eastAsia="cs-CZ"/>
              </w:rPr>
            </w:pPr>
          </w:p>
        </w:tc>
        <w:tc>
          <w:tcPr>
            <w:tcW w:w="2455" w:type="dxa"/>
            <w:vMerge/>
            <w:tcBorders>
              <w:top w:val="nil"/>
              <w:left w:val="single" w:sz="4" w:space="0" w:color="auto"/>
              <w:bottom w:val="single" w:sz="4" w:space="0" w:color="000000"/>
              <w:right w:val="single" w:sz="4" w:space="0" w:color="auto"/>
            </w:tcBorders>
            <w:vAlign w:val="center"/>
            <w:hideMark/>
          </w:tcPr>
          <w:p w14:paraId="0A85CA5C" w14:textId="77777777" w:rsidR="00723A23" w:rsidRPr="00723A23" w:rsidRDefault="00723A23" w:rsidP="00723A23">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49B0D216" w14:textId="77777777" w:rsidR="00723A23" w:rsidRPr="00723A23" w:rsidRDefault="00723A23" w:rsidP="00723A23">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1F786558"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vMerge/>
            <w:tcBorders>
              <w:top w:val="nil"/>
              <w:left w:val="single" w:sz="4" w:space="0" w:color="auto"/>
              <w:bottom w:val="single" w:sz="4" w:space="0" w:color="000000"/>
              <w:right w:val="single" w:sz="4" w:space="0" w:color="auto"/>
            </w:tcBorders>
            <w:vAlign w:val="center"/>
            <w:hideMark/>
          </w:tcPr>
          <w:p w14:paraId="68D4A227" w14:textId="77777777" w:rsidR="00723A23" w:rsidRPr="00723A23" w:rsidRDefault="00723A23" w:rsidP="00723A23">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405DB36B" w14:textId="77777777" w:rsidR="00723A23" w:rsidRPr="00723A23" w:rsidRDefault="00723A23" w:rsidP="00723A23">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vAlign w:val="center"/>
            <w:hideMark/>
          </w:tcPr>
          <w:p w14:paraId="65B8F65F"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03D086F0"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71D5524B"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1FC2EE6D"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144183B9"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3067058F"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7B4CFF02"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53DFFB8B"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52C1DB3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72048188"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3" w:type="dxa"/>
            <w:tcBorders>
              <w:top w:val="nil"/>
              <w:left w:val="nil"/>
              <w:bottom w:val="single" w:sz="4" w:space="0" w:color="auto"/>
              <w:right w:val="single" w:sz="4" w:space="0" w:color="auto"/>
            </w:tcBorders>
            <w:shd w:val="clear" w:color="auto" w:fill="auto"/>
            <w:noWrap/>
            <w:vAlign w:val="bottom"/>
            <w:hideMark/>
          </w:tcPr>
          <w:p w14:paraId="31EA3E76"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668" w:type="dxa"/>
            <w:tcBorders>
              <w:top w:val="nil"/>
              <w:left w:val="nil"/>
              <w:bottom w:val="single" w:sz="4" w:space="0" w:color="auto"/>
              <w:right w:val="single" w:sz="4" w:space="0" w:color="auto"/>
            </w:tcBorders>
            <w:shd w:val="clear" w:color="auto" w:fill="auto"/>
            <w:vAlign w:val="center"/>
            <w:hideMark/>
          </w:tcPr>
          <w:p w14:paraId="026AF8AE" w14:textId="38792198"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bl>
    <w:p w14:paraId="3B1E229A" w14:textId="18757949" w:rsidR="00C02B78" w:rsidRDefault="00C02B78" w:rsidP="00A722E5">
      <w:pPr>
        <w:ind w:right="108"/>
        <w:jc w:val="both"/>
        <w:rPr>
          <w:rFonts w:ascii="Arial" w:eastAsia="Arial" w:hAnsi="Arial" w:cs="Arial"/>
          <w:color w:val="000000"/>
          <w:sz w:val="20"/>
          <w:lang w:val="cs-CZ"/>
        </w:rPr>
      </w:pPr>
    </w:p>
    <w:p w14:paraId="6DBAA1FC" w14:textId="7D2F9B35" w:rsidR="0025557F" w:rsidRDefault="0025557F" w:rsidP="00A722E5">
      <w:pPr>
        <w:ind w:right="108"/>
        <w:jc w:val="both"/>
        <w:rPr>
          <w:rFonts w:ascii="Arial" w:eastAsia="Arial" w:hAnsi="Arial" w:cs="Arial"/>
          <w:color w:val="000000"/>
          <w:sz w:val="20"/>
          <w:lang w:val="cs-CZ"/>
        </w:rPr>
      </w:pPr>
    </w:p>
    <w:p w14:paraId="26624973" w14:textId="39E00B21" w:rsidR="0025557F" w:rsidRDefault="0025557F" w:rsidP="00A722E5">
      <w:pPr>
        <w:ind w:right="108"/>
        <w:jc w:val="both"/>
        <w:rPr>
          <w:rFonts w:ascii="Arial" w:eastAsia="Arial" w:hAnsi="Arial" w:cs="Arial"/>
          <w:color w:val="000000"/>
          <w:sz w:val="20"/>
          <w:lang w:val="cs-CZ"/>
        </w:rPr>
      </w:pPr>
    </w:p>
    <w:p w14:paraId="6317B3BF" w14:textId="59DB621A" w:rsidR="0025557F" w:rsidRDefault="0025557F" w:rsidP="00A722E5">
      <w:pPr>
        <w:ind w:right="108"/>
        <w:jc w:val="both"/>
        <w:rPr>
          <w:rFonts w:ascii="Arial" w:eastAsia="Arial" w:hAnsi="Arial" w:cs="Arial"/>
          <w:color w:val="000000"/>
          <w:sz w:val="20"/>
          <w:lang w:val="cs-CZ"/>
        </w:rPr>
      </w:pPr>
    </w:p>
    <w:p w14:paraId="504F5277" w14:textId="057C0265" w:rsidR="0025557F" w:rsidRDefault="0025557F" w:rsidP="00A722E5">
      <w:pPr>
        <w:ind w:right="108"/>
        <w:jc w:val="both"/>
        <w:rPr>
          <w:rFonts w:ascii="Arial" w:eastAsia="Arial" w:hAnsi="Arial" w:cs="Arial"/>
          <w:color w:val="000000"/>
          <w:sz w:val="20"/>
          <w:lang w:val="cs-CZ"/>
        </w:rPr>
      </w:pPr>
    </w:p>
    <w:p w14:paraId="01749484" w14:textId="1D222D01" w:rsidR="0025557F" w:rsidRDefault="0025557F" w:rsidP="00A722E5">
      <w:pPr>
        <w:ind w:right="108"/>
        <w:jc w:val="both"/>
        <w:rPr>
          <w:rFonts w:ascii="Arial" w:eastAsia="Arial" w:hAnsi="Arial" w:cs="Arial"/>
          <w:color w:val="000000"/>
          <w:sz w:val="20"/>
          <w:lang w:val="cs-CZ"/>
        </w:rPr>
      </w:pPr>
    </w:p>
    <w:p w14:paraId="43254113" w14:textId="1770DEFC" w:rsidR="0025557F" w:rsidRDefault="0025557F" w:rsidP="00A722E5">
      <w:pPr>
        <w:ind w:right="108"/>
        <w:jc w:val="both"/>
        <w:rPr>
          <w:rFonts w:ascii="Arial" w:eastAsia="Arial" w:hAnsi="Arial" w:cs="Arial"/>
          <w:color w:val="000000"/>
          <w:sz w:val="20"/>
          <w:lang w:val="cs-CZ"/>
        </w:rPr>
      </w:pPr>
    </w:p>
    <w:p w14:paraId="60273898" w14:textId="29743790" w:rsidR="0025557F" w:rsidRDefault="0025557F" w:rsidP="00A722E5">
      <w:pPr>
        <w:ind w:right="108"/>
        <w:jc w:val="both"/>
        <w:rPr>
          <w:rFonts w:ascii="Arial" w:eastAsia="Arial" w:hAnsi="Arial" w:cs="Arial"/>
          <w:color w:val="000000"/>
          <w:sz w:val="20"/>
          <w:lang w:val="cs-CZ"/>
        </w:rPr>
      </w:pPr>
    </w:p>
    <w:p w14:paraId="6A8458F7" w14:textId="3CB9DB7F" w:rsidR="0025557F" w:rsidRDefault="0025557F" w:rsidP="00A722E5">
      <w:pPr>
        <w:ind w:right="108"/>
        <w:jc w:val="both"/>
        <w:rPr>
          <w:rFonts w:ascii="Arial" w:eastAsia="Arial" w:hAnsi="Arial" w:cs="Arial"/>
          <w:color w:val="000000"/>
          <w:sz w:val="20"/>
          <w:lang w:val="cs-CZ"/>
        </w:rPr>
      </w:pPr>
    </w:p>
    <w:p w14:paraId="41266B48" w14:textId="77777777" w:rsidR="0025557F" w:rsidRPr="002F2BE4" w:rsidRDefault="0025557F" w:rsidP="00A722E5">
      <w:pPr>
        <w:ind w:right="108"/>
        <w:jc w:val="both"/>
        <w:rPr>
          <w:rFonts w:ascii="Arial" w:eastAsia="Arial" w:hAnsi="Arial" w:cs="Arial"/>
          <w:color w:val="000000"/>
          <w:sz w:val="20"/>
          <w:lang w:val="cs-CZ"/>
        </w:rPr>
      </w:pPr>
    </w:p>
    <w:p w14:paraId="34C2FD92"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03.1.51 Rovnost žen a mužů ve všech oblastech, a to i pokud jde o přístup k zaměstnání a kariérní postup, sladění pracovního a soukromého života a podpora stejné odměny za stejnou práci</w:t>
      </w:r>
    </w:p>
    <w:tbl>
      <w:tblPr>
        <w:tblW w:w="15741" w:type="dxa"/>
        <w:tblInd w:w="75" w:type="dxa"/>
        <w:tblCellMar>
          <w:left w:w="70" w:type="dxa"/>
          <w:right w:w="70" w:type="dxa"/>
        </w:tblCellMar>
        <w:tblLook w:val="04A0" w:firstRow="1" w:lastRow="0" w:firstColumn="1" w:lastColumn="0" w:noHBand="0" w:noVBand="1"/>
      </w:tblPr>
      <w:tblGrid>
        <w:gridCol w:w="530"/>
        <w:gridCol w:w="2430"/>
        <w:gridCol w:w="492"/>
        <w:gridCol w:w="1171"/>
        <w:gridCol w:w="797"/>
        <w:gridCol w:w="946"/>
        <w:gridCol w:w="704"/>
        <w:gridCol w:w="800"/>
        <w:gridCol w:w="800"/>
        <w:gridCol w:w="800"/>
        <w:gridCol w:w="800"/>
        <w:gridCol w:w="800"/>
        <w:gridCol w:w="800"/>
        <w:gridCol w:w="800"/>
        <w:gridCol w:w="800"/>
        <w:gridCol w:w="800"/>
        <w:gridCol w:w="805"/>
        <w:gridCol w:w="666"/>
      </w:tblGrid>
      <w:tr w:rsidR="00723A23" w:rsidRPr="00723A23" w14:paraId="15F3FEAA" w14:textId="77777777" w:rsidTr="00FA0609">
        <w:trPr>
          <w:trHeight w:val="20"/>
          <w:tblHeader/>
        </w:trPr>
        <w:tc>
          <w:tcPr>
            <w:tcW w:w="5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910F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ID</w:t>
            </w:r>
          </w:p>
        </w:tc>
        <w:tc>
          <w:tcPr>
            <w:tcW w:w="24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C1CE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Indikátor</w:t>
            </w:r>
          </w:p>
        </w:tc>
        <w:tc>
          <w:tcPr>
            <w:tcW w:w="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0CE57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ESF / YEI</w:t>
            </w:r>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CAE3B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Kategorie regionu (je-li relevantní)</w:t>
            </w:r>
          </w:p>
        </w:tc>
        <w:tc>
          <w:tcPr>
            <w:tcW w:w="7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E97C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Měrná jednotka</w:t>
            </w:r>
          </w:p>
        </w:tc>
        <w:tc>
          <w:tcPr>
            <w:tcW w:w="9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1A54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Jednotka měření pro výchozí hodnotu a cíl</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0D810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Cílová hodnota (2023)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4A1C089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30836F2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3D4C68F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2016</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376382E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7FA0BF9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54E2D32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1CCA79B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2020</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1EAC74C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5909474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53FFEC6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2023</w:t>
            </w:r>
          </w:p>
        </w:tc>
        <w:tc>
          <w:tcPr>
            <w:tcW w:w="6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1CBFB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Míra splnění</w:t>
            </w:r>
          </w:p>
        </w:tc>
      </w:tr>
      <w:tr w:rsidR="00723A23" w:rsidRPr="00723A23" w14:paraId="37719577"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4C7D8D29"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7" w:type="dxa"/>
            <w:vMerge/>
            <w:tcBorders>
              <w:top w:val="single" w:sz="4" w:space="0" w:color="auto"/>
              <w:left w:val="single" w:sz="4" w:space="0" w:color="auto"/>
              <w:bottom w:val="single" w:sz="4" w:space="0" w:color="auto"/>
              <w:right w:val="single" w:sz="4" w:space="0" w:color="auto"/>
            </w:tcBorders>
            <w:vAlign w:val="center"/>
            <w:hideMark/>
          </w:tcPr>
          <w:p w14:paraId="079D29BA" w14:textId="77777777" w:rsidR="00723A23" w:rsidRPr="00723A23" w:rsidRDefault="00723A23" w:rsidP="00723A23">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33567127"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163FC1EF"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26FF9C5B" w14:textId="77777777" w:rsidR="00723A23" w:rsidRPr="00723A23" w:rsidRDefault="00723A23" w:rsidP="00723A23">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371E212E" w14:textId="77777777" w:rsidR="00723A23" w:rsidRPr="00723A23" w:rsidRDefault="00723A23" w:rsidP="00723A23">
            <w:pPr>
              <w:rPr>
                <w:rFonts w:ascii="Arial" w:eastAsia="Times New Roman" w:hAnsi="Arial" w:cs="Arial"/>
                <w:b/>
                <w:bCs/>
                <w:color w:val="000000"/>
                <w:sz w:val="14"/>
                <w:szCs w:val="14"/>
                <w:lang w:val="cs-CZ" w:eastAsia="cs-CZ"/>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19EBBE8D"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5" w:type="dxa"/>
            <w:gridSpan w:val="10"/>
            <w:tcBorders>
              <w:top w:val="single" w:sz="4" w:space="0" w:color="auto"/>
              <w:left w:val="nil"/>
              <w:bottom w:val="single" w:sz="4" w:space="0" w:color="auto"/>
              <w:right w:val="single" w:sz="4" w:space="0" w:color="auto"/>
            </w:tcBorders>
            <w:shd w:val="clear" w:color="auto" w:fill="auto"/>
            <w:vAlign w:val="center"/>
            <w:hideMark/>
          </w:tcPr>
          <w:p w14:paraId="03F9DCB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Roční hodnota</w:t>
            </w:r>
          </w:p>
        </w:tc>
        <w:tc>
          <w:tcPr>
            <w:tcW w:w="666" w:type="dxa"/>
            <w:vMerge/>
            <w:tcBorders>
              <w:top w:val="single" w:sz="4" w:space="0" w:color="auto"/>
              <w:left w:val="single" w:sz="4" w:space="0" w:color="auto"/>
              <w:bottom w:val="single" w:sz="4" w:space="0" w:color="auto"/>
              <w:right w:val="single" w:sz="4" w:space="0" w:color="auto"/>
            </w:tcBorders>
            <w:vAlign w:val="center"/>
            <w:hideMark/>
          </w:tcPr>
          <w:p w14:paraId="23957336"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51B8801D"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1B7FCE93"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7" w:type="dxa"/>
            <w:vMerge/>
            <w:tcBorders>
              <w:top w:val="single" w:sz="4" w:space="0" w:color="auto"/>
              <w:left w:val="single" w:sz="4" w:space="0" w:color="auto"/>
              <w:bottom w:val="single" w:sz="4" w:space="0" w:color="auto"/>
              <w:right w:val="single" w:sz="4" w:space="0" w:color="auto"/>
            </w:tcBorders>
            <w:vAlign w:val="center"/>
            <w:hideMark/>
          </w:tcPr>
          <w:p w14:paraId="112496CD" w14:textId="77777777" w:rsidR="00723A23" w:rsidRPr="00723A23" w:rsidRDefault="00723A23" w:rsidP="00723A23">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43B9EF32"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4F1A17E5"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37139804" w14:textId="77777777" w:rsidR="00723A23" w:rsidRPr="00723A23" w:rsidRDefault="00723A23" w:rsidP="00723A23">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05BB938B" w14:textId="77777777" w:rsidR="00723A23" w:rsidRPr="00723A23" w:rsidRDefault="00723A23" w:rsidP="00723A23">
            <w:pPr>
              <w:rPr>
                <w:rFonts w:ascii="Arial" w:eastAsia="Times New Roman" w:hAnsi="Arial" w:cs="Arial"/>
                <w:b/>
                <w:bCs/>
                <w:color w:val="000000"/>
                <w:sz w:val="14"/>
                <w:szCs w:val="14"/>
                <w:lang w:val="cs-CZ" w:eastAsia="cs-CZ"/>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0817F6EB"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0E0E0"/>
            <w:vAlign w:val="center"/>
            <w:hideMark/>
          </w:tcPr>
          <w:p w14:paraId="1A684A6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2DFBDBC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322BA3F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4F3DC41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0F98C19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72483EE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58A338A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08C24DB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212D466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60F2586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666" w:type="dxa"/>
            <w:vMerge/>
            <w:tcBorders>
              <w:top w:val="single" w:sz="4" w:space="0" w:color="auto"/>
              <w:left w:val="single" w:sz="4" w:space="0" w:color="auto"/>
              <w:bottom w:val="single" w:sz="4" w:space="0" w:color="auto"/>
              <w:right w:val="single" w:sz="4" w:space="0" w:color="auto"/>
            </w:tcBorders>
            <w:vAlign w:val="center"/>
            <w:hideMark/>
          </w:tcPr>
          <w:p w14:paraId="4C361460"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3926D4EC"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2E17BF30"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7" w:type="dxa"/>
            <w:vMerge/>
            <w:tcBorders>
              <w:top w:val="single" w:sz="4" w:space="0" w:color="auto"/>
              <w:left w:val="single" w:sz="4" w:space="0" w:color="auto"/>
              <w:bottom w:val="single" w:sz="4" w:space="0" w:color="auto"/>
              <w:right w:val="single" w:sz="4" w:space="0" w:color="auto"/>
            </w:tcBorders>
            <w:vAlign w:val="center"/>
            <w:hideMark/>
          </w:tcPr>
          <w:p w14:paraId="600E686E" w14:textId="77777777" w:rsidR="00723A23" w:rsidRPr="00723A23" w:rsidRDefault="00723A23" w:rsidP="00723A23">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23C9358E"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79184A25"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33E16B2C" w14:textId="77777777" w:rsidR="00723A23" w:rsidRPr="00723A23" w:rsidRDefault="00723A23" w:rsidP="00723A23">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69D94907" w14:textId="77777777" w:rsidR="00723A23" w:rsidRPr="00723A23" w:rsidRDefault="00723A23" w:rsidP="00723A23">
            <w:pPr>
              <w:rPr>
                <w:rFonts w:ascii="Arial" w:eastAsia="Times New Roman" w:hAnsi="Arial" w:cs="Arial"/>
                <w:b/>
                <w:bCs/>
                <w:color w:val="000000"/>
                <w:sz w:val="14"/>
                <w:szCs w:val="14"/>
                <w:lang w:val="cs-CZ" w:eastAsia="cs-CZ"/>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4FD38DC6"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01F2C4E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597912A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14CCB19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0BC5A51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385AC51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0D47A82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110A746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5920488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468BCE0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7C6B614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666" w:type="dxa"/>
            <w:vMerge/>
            <w:tcBorders>
              <w:top w:val="single" w:sz="4" w:space="0" w:color="auto"/>
              <w:left w:val="single" w:sz="4" w:space="0" w:color="auto"/>
              <w:bottom w:val="single" w:sz="4" w:space="0" w:color="auto"/>
              <w:right w:val="single" w:sz="4" w:space="0" w:color="auto"/>
            </w:tcBorders>
            <w:vAlign w:val="center"/>
            <w:hideMark/>
          </w:tcPr>
          <w:p w14:paraId="3E7F6A89"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05F62B01"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21C342B2"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7" w:type="dxa"/>
            <w:vMerge/>
            <w:tcBorders>
              <w:top w:val="single" w:sz="4" w:space="0" w:color="auto"/>
              <w:left w:val="single" w:sz="4" w:space="0" w:color="auto"/>
              <w:bottom w:val="single" w:sz="4" w:space="0" w:color="auto"/>
              <w:right w:val="single" w:sz="4" w:space="0" w:color="auto"/>
            </w:tcBorders>
            <w:vAlign w:val="center"/>
            <w:hideMark/>
          </w:tcPr>
          <w:p w14:paraId="5AE25BC9" w14:textId="77777777" w:rsidR="00723A23" w:rsidRPr="00723A23" w:rsidRDefault="00723A23" w:rsidP="00723A23">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38E825E8"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3D0300BC"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374002C4" w14:textId="77777777" w:rsidR="00723A23" w:rsidRPr="00723A23" w:rsidRDefault="00723A23" w:rsidP="00723A23">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2DB6E435" w14:textId="77777777" w:rsidR="00723A23" w:rsidRPr="00723A23" w:rsidRDefault="00723A23" w:rsidP="00723A23">
            <w:pPr>
              <w:rPr>
                <w:rFonts w:ascii="Arial" w:eastAsia="Times New Roman" w:hAnsi="Arial" w:cs="Arial"/>
                <w:b/>
                <w:bCs/>
                <w:color w:val="000000"/>
                <w:sz w:val="14"/>
                <w:szCs w:val="14"/>
                <w:lang w:val="cs-CZ" w:eastAsia="cs-CZ"/>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5C5D9846"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0DA7992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71AB8AA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5CF3949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07994AC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1ED6F59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37992D6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0A707A9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181B3A4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6797D70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4721704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666" w:type="dxa"/>
            <w:vMerge/>
            <w:tcBorders>
              <w:top w:val="single" w:sz="4" w:space="0" w:color="auto"/>
              <w:left w:val="single" w:sz="4" w:space="0" w:color="auto"/>
              <w:bottom w:val="single" w:sz="4" w:space="0" w:color="auto"/>
              <w:right w:val="single" w:sz="4" w:space="0" w:color="auto"/>
            </w:tcBorders>
            <w:vAlign w:val="center"/>
            <w:hideMark/>
          </w:tcPr>
          <w:p w14:paraId="68DD1EDE"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0F1E7E44"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4FDC7E9C"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7" w:type="dxa"/>
            <w:vMerge/>
            <w:tcBorders>
              <w:top w:val="single" w:sz="4" w:space="0" w:color="auto"/>
              <w:left w:val="single" w:sz="4" w:space="0" w:color="auto"/>
              <w:bottom w:val="single" w:sz="4" w:space="0" w:color="auto"/>
              <w:right w:val="single" w:sz="4" w:space="0" w:color="auto"/>
            </w:tcBorders>
            <w:vAlign w:val="center"/>
            <w:hideMark/>
          </w:tcPr>
          <w:p w14:paraId="58F1F7D1" w14:textId="77777777" w:rsidR="00723A23" w:rsidRPr="00723A23" w:rsidRDefault="00723A23" w:rsidP="00723A23">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55BD0243"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4F0CAF69"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34B23EA4" w14:textId="77777777" w:rsidR="00723A23" w:rsidRPr="00723A23" w:rsidRDefault="00723A23" w:rsidP="00723A23">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3519D7D8" w14:textId="77777777" w:rsidR="00723A23" w:rsidRPr="00723A23" w:rsidRDefault="00723A23" w:rsidP="00723A23">
            <w:pPr>
              <w:rPr>
                <w:rFonts w:ascii="Arial" w:eastAsia="Times New Roman" w:hAnsi="Arial" w:cs="Arial"/>
                <w:b/>
                <w:bCs/>
                <w:color w:val="000000"/>
                <w:sz w:val="14"/>
                <w:szCs w:val="14"/>
                <w:lang w:val="cs-CZ" w:eastAsia="cs-CZ"/>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3B7A5123" w14:textId="77777777" w:rsidR="00723A23" w:rsidRPr="00723A23" w:rsidRDefault="00723A23" w:rsidP="00723A23">
            <w:pPr>
              <w:rPr>
                <w:rFonts w:ascii="Arial" w:eastAsia="Times New Roman" w:hAnsi="Arial" w:cs="Arial"/>
                <w:b/>
                <w:bCs/>
                <w:color w:val="000000"/>
                <w:sz w:val="14"/>
                <w:szCs w:val="14"/>
                <w:lang w:val="cs-CZ" w:eastAsia="cs-CZ"/>
              </w:rPr>
            </w:pPr>
          </w:p>
        </w:tc>
        <w:tc>
          <w:tcPr>
            <w:tcW w:w="8005" w:type="dxa"/>
            <w:gridSpan w:val="10"/>
            <w:tcBorders>
              <w:top w:val="single" w:sz="4" w:space="0" w:color="auto"/>
              <w:left w:val="nil"/>
              <w:bottom w:val="single" w:sz="4" w:space="0" w:color="auto"/>
              <w:right w:val="single" w:sz="4" w:space="0" w:color="auto"/>
            </w:tcBorders>
            <w:shd w:val="clear" w:color="auto" w:fill="auto"/>
            <w:vAlign w:val="center"/>
            <w:hideMark/>
          </w:tcPr>
          <w:p w14:paraId="5E87731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Kumulativní hodnota</w:t>
            </w:r>
          </w:p>
        </w:tc>
        <w:tc>
          <w:tcPr>
            <w:tcW w:w="666" w:type="dxa"/>
            <w:vMerge/>
            <w:tcBorders>
              <w:top w:val="single" w:sz="4" w:space="0" w:color="auto"/>
              <w:left w:val="single" w:sz="4" w:space="0" w:color="auto"/>
              <w:bottom w:val="single" w:sz="4" w:space="0" w:color="auto"/>
              <w:right w:val="single" w:sz="4" w:space="0" w:color="auto"/>
            </w:tcBorders>
            <w:vAlign w:val="center"/>
            <w:hideMark/>
          </w:tcPr>
          <w:p w14:paraId="0D584A13"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2C92F2F3"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1FDEB57F"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7" w:type="dxa"/>
            <w:vMerge/>
            <w:tcBorders>
              <w:top w:val="single" w:sz="4" w:space="0" w:color="auto"/>
              <w:left w:val="single" w:sz="4" w:space="0" w:color="auto"/>
              <w:bottom w:val="single" w:sz="4" w:space="0" w:color="auto"/>
              <w:right w:val="single" w:sz="4" w:space="0" w:color="auto"/>
            </w:tcBorders>
            <w:vAlign w:val="center"/>
            <w:hideMark/>
          </w:tcPr>
          <w:p w14:paraId="3DE584DB" w14:textId="77777777" w:rsidR="00723A23" w:rsidRPr="00723A23" w:rsidRDefault="00723A23" w:rsidP="00723A23">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2926967C"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4867CD1E"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5134C8F8" w14:textId="77777777" w:rsidR="00723A23" w:rsidRPr="00723A23" w:rsidRDefault="00723A23" w:rsidP="00723A23">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710EC076" w14:textId="77777777" w:rsidR="00723A23" w:rsidRPr="00723A23" w:rsidRDefault="00723A23" w:rsidP="00723A23">
            <w:pPr>
              <w:rPr>
                <w:rFonts w:ascii="Arial" w:eastAsia="Times New Roman" w:hAnsi="Arial" w:cs="Arial"/>
                <w:b/>
                <w:bCs/>
                <w:color w:val="000000"/>
                <w:sz w:val="14"/>
                <w:szCs w:val="14"/>
                <w:lang w:val="cs-CZ" w:eastAsia="cs-CZ"/>
              </w:rPr>
            </w:pPr>
          </w:p>
        </w:tc>
        <w:tc>
          <w:tcPr>
            <w:tcW w:w="704" w:type="dxa"/>
            <w:tcBorders>
              <w:top w:val="nil"/>
              <w:left w:val="nil"/>
              <w:bottom w:val="single" w:sz="4" w:space="0" w:color="auto"/>
              <w:right w:val="single" w:sz="4" w:space="0" w:color="auto"/>
            </w:tcBorders>
            <w:shd w:val="clear" w:color="000000" w:fill="E0E0E0"/>
            <w:vAlign w:val="center"/>
            <w:hideMark/>
          </w:tcPr>
          <w:p w14:paraId="5DFA5E0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68F7549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737426D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4A0258E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571A41B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25578CC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2AC087D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3727D28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0DC4E20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551F337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0E0E0"/>
            <w:vAlign w:val="center"/>
            <w:hideMark/>
          </w:tcPr>
          <w:p w14:paraId="2905C2F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666" w:type="dxa"/>
            <w:tcBorders>
              <w:top w:val="nil"/>
              <w:left w:val="nil"/>
              <w:bottom w:val="single" w:sz="4" w:space="0" w:color="auto"/>
              <w:right w:val="single" w:sz="4" w:space="0" w:color="auto"/>
            </w:tcBorders>
            <w:shd w:val="clear" w:color="000000" w:fill="E0E0E0"/>
            <w:vAlign w:val="center"/>
            <w:hideMark/>
          </w:tcPr>
          <w:p w14:paraId="5D15E8D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r>
      <w:tr w:rsidR="00723A23" w:rsidRPr="00723A23" w14:paraId="40390A8B"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1C7F2281"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7" w:type="dxa"/>
            <w:vMerge/>
            <w:tcBorders>
              <w:top w:val="single" w:sz="4" w:space="0" w:color="auto"/>
              <w:left w:val="single" w:sz="4" w:space="0" w:color="auto"/>
              <w:bottom w:val="single" w:sz="4" w:space="0" w:color="auto"/>
              <w:right w:val="single" w:sz="4" w:space="0" w:color="auto"/>
            </w:tcBorders>
            <w:vAlign w:val="center"/>
            <w:hideMark/>
          </w:tcPr>
          <w:p w14:paraId="545B7A9D" w14:textId="77777777" w:rsidR="00723A23" w:rsidRPr="00723A23" w:rsidRDefault="00723A23" w:rsidP="00723A23">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547BCB60"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2C3602C2"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2F14A0FF" w14:textId="77777777" w:rsidR="00723A23" w:rsidRPr="00723A23" w:rsidRDefault="00723A23" w:rsidP="00723A23">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45712C48" w14:textId="77777777" w:rsidR="00723A23" w:rsidRPr="00723A23" w:rsidRDefault="00723A23" w:rsidP="00723A23">
            <w:pPr>
              <w:rPr>
                <w:rFonts w:ascii="Arial" w:eastAsia="Times New Roman" w:hAnsi="Arial" w:cs="Arial"/>
                <w:b/>
                <w:bCs/>
                <w:color w:val="000000"/>
                <w:sz w:val="14"/>
                <w:szCs w:val="14"/>
                <w:lang w:val="cs-CZ" w:eastAsia="cs-CZ"/>
              </w:rPr>
            </w:pPr>
          </w:p>
        </w:tc>
        <w:tc>
          <w:tcPr>
            <w:tcW w:w="704" w:type="dxa"/>
            <w:tcBorders>
              <w:top w:val="nil"/>
              <w:left w:val="nil"/>
              <w:bottom w:val="single" w:sz="4" w:space="0" w:color="auto"/>
              <w:right w:val="single" w:sz="4" w:space="0" w:color="auto"/>
            </w:tcBorders>
            <w:shd w:val="clear" w:color="auto" w:fill="auto"/>
            <w:vAlign w:val="center"/>
            <w:hideMark/>
          </w:tcPr>
          <w:p w14:paraId="21BC913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5A1C84C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131EF2A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254EDBA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5D4CCB3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661BDB8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55C0F9B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6738EC7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0DD4B5A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3448828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auto" w:fill="auto"/>
            <w:vAlign w:val="center"/>
            <w:hideMark/>
          </w:tcPr>
          <w:p w14:paraId="5CC4793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666" w:type="dxa"/>
            <w:tcBorders>
              <w:top w:val="nil"/>
              <w:left w:val="nil"/>
              <w:bottom w:val="single" w:sz="4" w:space="0" w:color="auto"/>
              <w:right w:val="single" w:sz="4" w:space="0" w:color="auto"/>
            </w:tcBorders>
            <w:shd w:val="clear" w:color="auto" w:fill="auto"/>
            <w:vAlign w:val="center"/>
            <w:hideMark/>
          </w:tcPr>
          <w:p w14:paraId="786B1CB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r>
      <w:tr w:rsidR="00723A23" w:rsidRPr="00723A23" w14:paraId="49720867"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675658BA"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7" w:type="dxa"/>
            <w:vMerge/>
            <w:tcBorders>
              <w:top w:val="single" w:sz="4" w:space="0" w:color="auto"/>
              <w:left w:val="single" w:sz="4" w:space="0" w:color="auto"/>
              <w:bottom w:val="single" w:sz="4" w:space="0" w:color="auto"/>
              <w:right w:val="single" w:sz="4" w:space="0" w:color="auto"/>
            </w:tcBorders>
            <w:vAlign w:val="center"/>
            <w:hideMark/>
          </w:tcPr>
          <w:p w14:paraId="7696B66D" w14:textId="77777777" w:rsidR="00723A23" w:rsidRPr="00723A23" w:rsidRDefault="00723A23" w:rsidP="00723A23">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0EE17228"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79E51410"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643F981B" w14:textId="77777777" w:rsidR="00723A23" w:rsidRPr="00723A23" w:rsidRDefault="00723A23" w:rsidP="00723A23">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76BB2C08" w14:textId="77777777" w:rsidR="00723A23" w:rsidRPr="00723A23" w:rsidRDefault="00723A23" w:rsidP="00723A23">
            <w:pPr>
              <w:rPr>
                <w:rFonts w:ascii="Arial" w:eastAsia="Times New Roman" w:hAnsi="Arial" w:cs="Arial"/>
                <w:b/>
                <w:bCs/>
                <w:color w:val="000000"/>
                <w:sz w:val="14"/>
                <w:szCs w:val="14"/>
                <w:lang w:val="cs-CZ" w:eastAsia="cs-CZ"/>
              </w:rPr>
            </w:pPr>
          </w:p>
        </w:tc>
        <w:tc>
          <w:tcPr>
            <w:tcW w:w="704" w:type="dxa"/>
            <w:tcBorders>
              <w:top w:val="nil"/>
              <w:left w:val="nil"/>
              <w:bottom w:val="single" w:sz="4" w:space="0" w:color="auto"/>
              <w:right w:val="single" w:sz="4" w:space="0" w:color="auto"/>
            </w:tcBorders>
            <w:shd w:val="clear" w:color="auto" w:fill="auto"/>
            <w:vAlign w:val="center"/>
            <w:hideMark/>
          </w:tcPr>
          <w:p w14:paraId="0595222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454BCD5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0812668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44F3A7D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527B1E2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583F99D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1AFE0D1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1F48535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34B113D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085392B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auto" w:fill="auto"/>
            <w:vAlign w:val="center"/>
            <w:hideMark/>
          </w:tcPr>
          <w:p w14:paraId="092FA43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666" w:type="dxa"/>
            <w:tcBorders>
              <w:top w:val="nil"/>
              <w:left w:val="nil"/>
              <w:bottom w:val="single" w:sz="4" w:space="0" w:color="auto"/>
              <w:right w:val="single" w:sz="4" w:space="0" w:color="auto"/>
            </w:tcBorders>
            <w:shd w:val="clear" w:color="auto" w:fill="auto"/>
            <w:vAlign w:val="center"/>
            <w:hideMark/>
          </w:tcPr>
          <w:p w14:paraId="03BB748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r>
      <w:tr w:rsidR="00723A23" w:rsidRPr="00723A23" w14:paraId="43018C50" w14:textId="77777777" w:rsidTr="00FA0609">
        <w:trPr>
          <w:trHeight w:val="20"/>
        </w:trPr>
        <w:tc>
          <w:tcPr>
            <w:tcW w:w="505" w:type="dxa"/>
            <w:vMerge w:val="restart"/>
            <w:tcBorders>
              <w:top w:val="nil"/>
              <w:left w:val="single" w:sz="4" w:space="0" w:color="auto"/>
              <w:bottom w:val="single" w:sz="4" w:space="0" w:color="000000"/>
              <w:right w:val="single" w:sz="4" w:space="0" w:color="auto"/>
            </w:tcBorders>
            <w:shd w:val="clear" w:color="auto" w:fill="auto"/>
            <w:vAlign w:val="center"/>
            <w:hideMark/>
          </w:tcPr>
          <w:p w14:paraId="36B93B73"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50110</w:t>
            </w:r>
          </w:p>
        </w:tc>
        <w:tc>
          <w:tcPr>
            <w:tcW w:w="2447" w:type="dxa"/>
            <w:vMerge w:val="restart"/>
            <w:tcBorders>
              <w:top w:val="nil"/>
              <w:left w:val="single" w:sz="4" w:space="0" w:color="auto"/>
              <w:bottom w:val="single" w:sz="4" w:space="0" w:color="000000"/>
              <w:right w:val="single" w:sz="4" w:space="0" w:color="auto"/>
            </w:tcBorders>
            <w:shd w:val="clear" w:color="auto" w:fill="auto"/>
            <w:vAlign w:val="center"/>
            <w:hideMark/>
          </w:tcPr>
          <w:p w14:paraId="7B2A710F"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Počet osob využívajících zařízení péče o děti předškolního věku</w:t>
            </w:r>
          </w:p>
        </w:tc>
        <w:tc>
          <w:tcPr>
            <w:tcW w:w="493" w:type="dxa"/>
            <w:vMerge w:val="restart"/>
            <w:tcBorders>
              <w:top w:val="nil"/>
              <w:left w:val="single" w:sz="4" w:space="0" w:color="auto"/>
              <w:bottom w:val="single" w:sz="4" w:space="0" w:color="000000"/>
              <w:right w:val="single" w:sz="4" w:space="0" w:color="auto"/>
            </w:tcBorders>
            <w:shd w:val="clear" w:color="auto" w:fill="auto"/>
            <w:vAlign w:val="center"/>
            <w:hideMark/>
          </w:tcPr>
          <w:p w14:paraId="264034D4"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ESF</w:t>
            </w:r>
          </w:p>
        </w:tc>
        <w:tc>
          <w:tcPr>
            <w:tcW w:w="1175" w:type="dxa"/>
            <w:vMerge w:val="restart"/>
            <w:tcBorders>
              <w:top w:val="nil"/>
              <w:left w:val="single" w:sz="4" w:space="0" w:color="auto"/>
              <w:bottom w:val="single" w:sz="4" w:space="0" w:color="000000"/>
              <w:right w:val="single" w:sz="4" w:space="0" w:color="auto"/>
            </w:tcBorders>
            <w:shd w:val="clear" w:color="auto" w:fill="auto"/>
            <w:vAlign w:val="center"/>
            <w:hideMark/>
          </w:tcPr>
          <w:p w14:paraId="08375D8B"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Méně rozvinuté regiony</w:t>
            </w:r>
          </w:p>
        </w:tc>
        <w:tc>
          <w:tcPr>
            <w:tcW w:w="798" w:type="dxa"/>
            <w:vMerge w:val="restart"/>
            <w:tcBorders>
              <w:top w:val="nil"/>
              <w:left w:val="single" w:sz="4" w:space="0" w:color="auto"/>
              <w:bottom w:val="single" w:sz="4" w:space="0" w:color="000000"/>
              <w:right w:val="single" w:sz="4" w:space="0" w:color="auto"/>
            </w:tcBorders>
            <w:shd w:val="clear" w:color="auto" w:fill="auto"/>
            <w:vAlign w:val="center"/>
            <w:hideMark/>
          </w:tcPr>
          <w:p w14:paraId="4F0C5DA2"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Osoby</w:t>
            </w:r>
          </w:p>
        </w:tc>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2870FC46"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4" w:type="dxa"/>
            <w:vMerge w:val="restart"/>
            <w:tcBorders>
              <w:top w:val="nil"/>
              <w:left w:val="single" w:sz="4" w:space="0" w:color="auto"/>
              <w:bottom w:val="nil"/>
              <w:right w:val="single" w:sz="4" w:space="0" w:color="auto"/>
            </w:tcBorders>
            <w:shd w:val="clear" w:color="000000" w:fill="E0E0E0"/>
            <w:vAlign w:val="bottom"/>
            <w:hideMark/>
          </w:tcPr>
          <w:p w14:paraId="118ADCE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5 290,000</w:t>
            </w:r>
          </w:p>
        </w:tc>
        <w:tc>
          <w:tcPr>
            <w:tcW w:w="800" w:type="dxa"/>
            <w:tcBorders>
              <w:top w:val="nil"/>
              <w:left w:val="nil"/>
              <w:bottom w:val="single" w:sz="4" w:space="0" w:color="auto"/>
              <w:right w:val="single" w:sz="4" w:space="0" w:color="auto"/>
            </w:tcBorders>
            <w:shd w:val="clear" w:color="000000" w:fill="E0E0E0"/>
            <w:vAlign w:val="center"/>
            <w:hideMark/>
          </w:tcPr>
          <w:p w14:paraId="17494AB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71C4C65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24F9F2B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203,000</w:t>
            </w:r>
          </w:p>
        </w:tc>
        <w:tc>
          <w:tcPr>
            <w:tcW w:w="800" w:type="dxa"/>
            <w:tcBorders>
              <w:top w:val="nil"/>
              <w:left w:val="nil"/>
              <w:bottom w:val="single" w:sz="4" w:space="0" w:color="auto"/>
              <w:right w:val="single" w:sz="4" w:space="0" w:color="auto"/>
            </w:tcBorders>
            <w:shd w:val="clear" w:color="000000" w:fill="E0E0E0"/>
            <w:vAlign w:val="center"/>
            <w:hideMark/>
          </w:tcPr>
          <w:p w14:paraId="23E11AB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2 217,000</w:t>
            </w:r>
          </w:p>
        </w:tc>
        <w:tc>
          <w:tcPr>
            <w:tcW w:w="800" w:type="dxa"/>
            <w:tcBorders>
              <w:top w:val="nil"/>
              <w:left w:val="nil"/>
              <w:bottom w:val="single" w:sz="4" w:space="0" w:color="auto"/>
              <w:right w:val="single" w:sz="4" w:space="0" w:color="auto"/>
            </w:tcBorders>
            <w:shd w:val="clear" w:color="000000" w:fill="E0E0E0"/>
            <w:vAlign w:val="center"/>
            <w:hideMark/>
          </w:tcPr>
          <w:p w14:paraId="0DCBB0B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9 807,000</w:t>
            </w:r>
          </w:p>
        </w:tc>
        <w:tc>
          <w:tcPr>
            <w:tcW w:w="800" w:type="dxa"/>
            <w:tcBorders>
              <w:top w:val="nil"/>
              <w:left w:val="nil"/>
              <w:bottom w:val="single" w:sz="4" w:space="0" w:color="auto"/>
              <w:right w:val="single" w:sz="4" w:space="0" w:color="auto"/>
            </w:tcBorders>
            <w:shd w:val="clear" w:color="000000" w:fill="E0E0E0"/>
            <w:vAlign w:val="center"/>
            <w:hideMark/>
          </w:tcPr>
          <w:p w14:paraId="5A46E6B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6 682,000</w:t>
            </w:r>
          </w:p>
        </w:tc>
        <w:tc>
          <w:tcPr>
            <w:tcW w:w="800" w:type="dxa"/>
            <w:tcBorders>
              <w:top w:val="nil"/>
              <w:left w:val="nil"/>
              <w:bottom w:val="single" w:sz="4" w:space="0" w:color="auto"/>
              <w:right w:val="single" w:sz="4" w:space="0" w:color="auto"/>
            </w:tcBorders>
            <w:shd w:val="clear" w:color="000000" w:fill="E0E0E0"/>
            <w:vAlign w:val="center"/>
            <w:hideMark/>
          </w:tcPr>
          <w:p w14:paraId="6D0F02C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73EB755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2B02A3F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1F5813B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val="restart"/>
            <w:tcBorders>
              <w:top w:val="nil"/>
              <w:left w:val="single" w:sz="4" w:space="0" w:color="auto"/>
              <w:bottom w:val="single" w:sz="4" w:space="0" w:color="000000"/>
              <w:right w:val="single" w:sz="4" w:space="0" w:color="auto"/>
            </w:tcBorders>
            <w:shd w:val="clear" w:color="000000" w:fill="E0E0E0"/>
            <w:vAlign w:val="bottom"/>
            <w:hideMark/>
          </w:tcPr>
          <w:p w14:paraId="10F9320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357,448</w:t>
            </w:r>
          </w:p>
        </w:tc>
      </w:tr>
      <w:tr w:rsidR="00723A23" w:rsidRPr="00723A23" w14:paraId="09525B74"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2D70BB5F"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58D0EAFA"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1D34CE3"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02399907"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76B05EFB"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6738C14A"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nil"/>
              <w:right w:val="single" w:sz="4" w:space="0" w:color="auto"/>
            </w:tcBorders>
            <w:vAlign w:val="center"/>
            <w:hideMark/>
          </w:tcPr>
          <w:p w14:paraId="075C1944"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7341EFF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39F9B4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D15478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465606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0312EC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9DB974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848421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71CFD8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E37A16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736BE9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5A3A4ABF"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5614795D"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378B315B"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71F13D15"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4EC14457"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6767A53B"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0E3AAA4B"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7BA3BB43"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nil"/>
              <w:right w:val="single" w:sz="4" w:space="0" w:color="auto"/>
            </w:tcBorders>
            <w:vAlign w:val="center"/>
            <w:hideMark/>
          </w:tcPr>
          <w:p w14:paraId="5353E623"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54B09CA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676F85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D218EC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B70119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5605DE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CFFEED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17997B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0BE7F4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725B64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CCEF32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7A52D078"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39C71AF4"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6A80C2AB"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68B90AD0"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DE0AE99"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F96DFAD"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6A0FBD3F"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78DC0C13"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nil"/>
              <w:right w:val="single" w:sz="4" w:space="0" w:color="auto"/>
            </w:tcBorders>
            <w:vAlign w:val="center"/>
            <w:hideMark/>
          </w:tcPr>
          <w:p w14:paraId="2CC82E36"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0E0E0"/>
            <w:vAlign w:val="center"/>
            <w:hideMark/>
          </w:tcPr>
          <w:p w14:paraId="16A1AA7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5315000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67ADF45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203,000</w:t>
            </w:r>
          </w:p>
        </w:tc>
        <w:tc>
          <w:tcPr>
            <w:tcW w:w="800" w:type="dxa"/>
            <w:tcBorders>
              <w:top w:val="nil"/>
              <w:left w:val="nil"/>
              <w:bottom w:val="single" w:sz="4" w:space="0" w:color="auto"/>
              <w:right w:val="single" w:sz="4" w:space="0" w:color="auto"/>
            </w:tcBorders>
            <w:shd w:val="clear" w:color="000000" w:fill="E0E0E0"/>
            <w:vAlign w:val="center"/>
            <w:hideMark/>
          </w:tcPr>
          <w:p w14:paraId="1784710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2 420,000</w:t>
            </w:r>
          </w:p>
        </w:tc>
        <w:tc>
          <w:tcPr>
            <w:tcW w:w="800" w:type="dxa"/>
            <w:tcBorders>
              <w:top w:val="nil"/>
              <w:left w:val="nil"/>
              <w:bottom w:val="single" w:sz="4" w:space="0" w:color="auto"/>
              <w:right w:val="single" w:sz="4" w:space="0" w:color="auto"/>
            </w:tcBorders>
            <w:shd w:val="clear" w:color="000000" w:fill="E0E0E0"/>
            <w:vAlign w:val="center"/>
            <w:hideMark/>
          </w:tcPr>
          <w:p w14:paraId="4EEFBEF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12 227,000</w:t>
            </w:r>
          </w:p>
        </w:tc>
        <w:tc>
          <w:tcPr>
            <w:tcW w:w="800" w:type="dxa"/>
            <w:tcBorders>
              <w:top w:val="nil"/>
              <w:left w:val="nil"/>
              <w:bottom w:val="single" w:sz="4" w:space="0" w:color="auto"/>
              <w:right w:val="single" w:sz="4" w:space="0" w:color="auto"/>
            </w:tcBorders>
            <w:shd w:val="clear" w:color="000000" w:fill="E0E0E0"/>
            <w:vAlign w:val="center"/>
            <w:hideMark/>
          </w:tcPr>
          <w:p w14:paraId="5E7E5C9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18 909,000</w:t>
            </w:r>
          </w:p>
        </w:tc>
        <w:tc>
          <w:tcPr>
            <w:tcW w:w="800" w:type="dxa"/>
            <w:tcBorders>
              <w:top w:val="nil"/>
              <w:left w:val="nil"/>
              <w:bottom w:val="single" w:sz="4" w:space="0" w:color="auto"/>
              <w:right w:val="single" w:sz="4" w:space="0" w:color="auto"/>
            </w:tcBorders>
            <w:shd w:val="clear" w:color="000000" w:fill="E0E0E0"/>
            <w:vAlign w:val="center"/>
            <w:hideMark/>
          </w:tcPr>
          <w:p w14:paraId="30B278D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49D309E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4030B4E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279983D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4762F112"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4E1B690F"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2661CD32"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1109C6BE"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F1A16C1"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66E7B8A3"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62A32CD7"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28FC15F7"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tcBorders>
              <w:top w:val="single" w:sz="4" w:space="0" w:color="auto"/>
              <w:left w:val="nil"/>
              <w:bottom w:val="single" w:sz="4" w:space="0" w:color="auto"/>
              <w:right w:val="single" w:sz="4" w:space="0" w:color="auto"/>
            </w:tcBorders>
            <w:shd w:val="clear" w:color="auto" w:fill="auto"/>
            <w:vAlign w:val="center"/>
            <w:hideMark/>
          </w:tcPr>
          <w:p w14:paraId="69E360B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3036C2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55A170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C3213C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82C8D0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02B556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978470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649C5F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73D591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78F1BF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830F2C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tcBorders>
              <w:top w:val="nil"/>
              <w:left w:val="nil"/>
              <w:bottom w:val="single" w:sz="4" w:space="0" w:color="auto"/>
              <w:right w:val="single" w:sz="4" w:space="0" w:color="auto"/>
            </w:tcBorders>
            <w:shd w:val="clear" w:color="auto" w:fill="auto"/>
            <w:vAlign w:val="center"/>
            <w:hideMark/>
          </w:tcPr>
          <w:p w14:paraId="38DE9589"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29E95108"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0C9A3873"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137438A5"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CADD380"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6397D33A"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528F507B"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F0F548D"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tcBorders>
              <w:top w:val="nil"/>
              <w:left w:val="nil"/>
              <w:bottom w:val="single" w:sz="4" w:space="0" w:color="auto"/>
              <w:right w:val="single" w:sz="4" w:space="0" w:color="auto"/>
            </w:tcBorders>
            <w:shd w:val="clear" w:color="auto" w:fill="auto"/>
            <w:vAlign w:val="center"/>
            <w:hideMark/>
          </w:tcPr>
          <w:p w14:paraId="6A2B853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2A20FE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E480B7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CECE78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77B770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691C53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147DD5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D03574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439191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D8535D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A6F5DC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tcBorders>
              <w:top w:val="nil"/>
              <w:left w:val="nil"/>
              <w:bottom w:val="single" w:sz="4" w:space="0" w:color="auto"/>
              <w:right w:val="single" w:sz="4" w:space="0" w:color="auto"/>
            </w:tcBorders>
            <w:shd w:val="clear" w:color="auto" w:fill="auto"/>
            <w:vAlign w:val="center"/>
            <w:hideMark/>
          </w:tcPr>
          <w:p w14:paraId="4D6EACD5"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5416D35B" w14:textId="77777777" w:rsidTr="00FA0609">
        <w:trPr>
          <w:trHeight w:val="20"/>
        </w:trPr>
        <w:tc>
          <w:tcPr>
            <w:tcW w:w="505" w:type="dxa"/>
            <w:vMerge w:val="restart"/>
            <w:tcBorders>
              <w:top w:val="nil"/>
              <w:left w:val="single" w:sz="4" w:space="0" w:color="auto"/>
              <w:bottom w:val="single" w:sz="4" w:space="0" w:color="000000"/>
              <w:right w:val="single" w:sz="4" w:space="0" w:color="auto"/>
            </w:tcBorders>
            <w:shd w:val="clear" w:color="auto" w:fill="auto"/>
            <w:vAlign w:val="center"/>
            <w:hideMark/>
          </w:tcPr>
          <w:p w14:paraId="76D657BA"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50110</w:t>
            </w:r>
          </w:p>
        </w:tc>
        <w:tc>
          <w:tcPr>
            <w:tcW w:w="2447" w:type="dxa"/>
            <w:vMerge w:val="restart"/>
            <w:tcBorders>
              <w:top w:val="nil"/>
              <w:left w:val="single" w:sz="4" w:space="0" w:color="auto"/>
              <w:bottom w:val="single" w:sz="4" w:space="0" w:color="000000"/>
              <w:right w:val="single" w:sz="4" w:space="0" w:color="auto"/>
            </w:tcBorders>
            <w:shd w:val="clear" w:color="auto" w:fill="auto"/>
            <w:vAlign w:val="center"/>
            <w:hideMark/>
          </w:tcPr>
          <w:p w14:paraId="17F060C6"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Počet osob využívajících zařízení péče o děti předškolního věku</w:t>
            </w:r>
          </w:p>
        </w:tc>
        <w:tc>
          <w:tcPr>
            <w:tcW w:w="493" w:type="dxa"/>
            <w:vMerge w:val="restart"/>
            <w:tcBorders>
              <w:top w:val="nil"/>
              <w:left w:val="single" w:sz="4" w:space="0" w:color="auto"/>
              <w:bottom w:val="single" w:sz="4" w:space="0" w:color="000000"/>
              <w:right w:val="single" w:sz="4" w:space="0" w:color="auto"/>
            </w:tcBorders>
            <w:shd w:val="clear" w:color="auto" w:fill="auto"/>
            <w:vAlign w:val="center"/>
            <w:hideMark/>
          </w:tcPr>
          <w:p w14:paraId="7BBD5C79"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ESF</w:t>
            </w:r>
          </w:p>
        </w:tc>
        <w:tc>
          <w:tcPr>
            <w:tcW w:w="1175" w:type="dxa"/>
            <w:vMerge w:val="restart"/>
            <w:tcBorders>
              <w:top w:val="nil"/>
              <w:left w:val="single" w:sz="4" w:space="0" w:color="auto"/>
              <w:bottom w:val="single" w:sz="4" w:space="0" w:color="000000"/>
              <w:right w:val="single" w:sz="4" w:space="0" w:color="auto"/>
            </w:tcBorders>
            <w:shd w:val="clear" w:color="auto" w:fill="auto"/>
            <w:vAlign w:val="center"/>
            <w:hideMark/>
          </w:tcPr>
          <w:p w14:paraId="2A919847"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Více rozvinuté regiony</w:t>
            </w:r>
          </w:p>
        </w:tc>
        <w:tc>
          <w:tcPr>
            <w:tcW w:w="798" w:type="dxa"/>
            <w:vMerge w:val="restart"/>
            <w:tcBorders>
              <w:top w:val="nil"/>
              <w:left w:val="single" w:sz="4" w:space="0" w:color="auto"/>
              <w:bottom w:val="single" w:sz="4" w:space="0" w:color="000000"/>
              <w:right w:val="single" w:sz="4" w:space="0" w:color="auto"/>
            </w:tcBorders>
            <w:shd w:val="clear" w:color="auto" w:fill="auto"/>
            <w:vAlign w:val="center"/>
            <w:hideMark/>
          </w:tcPr>
          <w:p w14:paraId="2E8B9B42"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Osoby</w:t>
            </w:r>
          </w:p>
        </w:tc>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3CD0070C"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4" w:type="dxa"/>
            <w:vMerge w:val="restart"/>
            <w:tcBorders>
              <w:top w:val="nil"/>
              <w:left w:val="single" w:sz="4" w:space="0" w:color="auto"/>
              <w:bottom w:val="single" w:sz="4" w:space="0" w:color="000000"/>
              <w:right w:val="single" w:sz="4" w:space="0" w:color="auto"/>
            </w:tcBorders>
            <w:shd w:val="clear" w:color="000000" w:fill="E0E0E0"/>
            <w:vAlign w:val="bottom"/>
            <w:hideMark/>
          </w:tcPr>
          <w:p w14:paraId="13AB298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710,000</w:t>
            </w:r>
          </w:p>
        </w:tc>
        <w:tc>
          <w:tcPr>
            <w:tcW w:w="800" w:type="dxa"/>
            <w:tcBorders>
              <w:top w:val="nil"/>
              <w:left w:val="nil"/>
              <w:bottom w:val="single" w:sz="4" w:space="0" w:color="auto"/>
              <w:right w:val="single" w:sz="4" w:space="0" w:color="auto"/>
            </w:tcBorders>
            <w:shd w:val="clear" w:color="000000" w:fill="E0E0E0"/>
            <w:vAlign w:val="center"/>
            <w:hideMark/>
          </w:tcPr>
          <w:p w14:paraId="2866106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6E8FA41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179614E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16,000</w:t>
            </w:r>
          </w:p>
        </w:tc>
        <w:tc>
          <w:tcPr>
            <w:tcW w:w="800" w:type="dxa"/>
            <w:tcBorders>
              <w:top w:val="nil"/>
              <w:left w:val="nil"/>
              <w:bottom w:val="single" w:sz="4" w:space="0" w:color="auto"/>
              <w:right w:val="single" w:sz="4" w:space="0" w:color="auto"/>
            </w:tcBorders>
            <w:shd w:val="clear" w:color="000000" w:fill="E0E0E0"/>
            <w:vAlign w:val="center"/>
            <w:hideMark/>
          </w:tcPr>
          <w:p w14:paraId="73AD2ED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269,000</w:t>
            </w:r>
          </w:p>
        </w:tc>
        <w:tc>
          <w:tcPr>
            <w:tcW w:w="800" w:type="dxa"/>
            <w:tcBorders>
              <w:top w:val="nil"/>
              <w:left w:val="nil"/>
              <w:bottom w:val="single" w:sz="4" w:space="0" w:color="auto"/>
              <w:right w:val="single" w:sz="4" w:space="0" w:color="auto"/>
            </w:tcBorders>
            <w:shd w:val="clear" w:color="000000" w:fill="E0E0E0"/>
            <w:vAlign w:val="center"/>
            <w:hideMark/>
          </w:tcPr>
          <w:p w14:paraId="55EB0C8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1 457,000</w:t>
            </w:r>
          </w:p>
        </w:tc>
        <w:tc>
          <w:tcPr>
            <w:tcW w:w="800" w:type="dxa"/>
            <w:tcBorders>
              <w:top w:val="nil"/>
              <w:left w:val="nil"/>
              <w:bottom w:val="single" w:sz="4" w:space="0" w:color="auto"/>
              <w:right w:val="single" w:sz="4" w:space="0" w:color="auto"/>
            </w:tcBorders>
            <w:shd w:val="clear" w:color="000000" w:fill="E0E0E0"/>
            <w:vAlign w:val="center"/>
            <w:hideMark/>
          </w:tcPr>
          <w:p w14:paraId="354B8A6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702,000</w:t>
            </w:r>
          </w:p>
        </w:tc>
        <w:tc>
          <w:tcPr>
            <w:tcW w:w="800" w:type="dxa"/>
            <w:tcBorders>
              <w:top w:val="nil"/>
              <w:left w:val="nil"/>
              <w:bottom w:val="single" w:sz="4" w:space="0" w:color="auto"/>
              <w:right w:val="single" w:sz="4" w:space="0" w:color="auto"/>
            </w:tcBorders>
            <w:shd w:val="clear" w:color="000000" w:fill="E0E0E0"/>
            <w:vAlign w:val="center"/>
            <w:hideMark/>
          </w:tcPr>
          <w:p w14:paraId="2E096D9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3ABDB0A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1A2E504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7DCB9A2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val="restart"/>
            <w:tcBorders>
              <w:top w:val="nil"/>
              <w:left w:val="single" w:sz="4" w:space="0" w:color="auto"/>
              <w:bottom w:val="single" w:sz="4" w:space="0" w:color="000000"/>
              <w:right w:val="single" w:sz="4" w:space="0" w:color="auto"/>
            </w:tcBorders>
            <w:shd w:val="clear" w:color="000000" w:fill="E0E0E0"/>
            <w:vAlign w:val="bottom"/>
            <w:hideMark/>
          </w:tcPr>
          <w:p w14:paraId="06E6820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344,225</w:t>
            </w:r>
          </w:p>
        </w:tc>
      </w:tr>
      <w:tr w:rsidR="00723A23" w:rsidRPr="00723A23" w14:paraId="75F34681"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0AB72639"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2F421C38"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6415D13"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649C5560"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5C843BE9"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7FB3308"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single" w:sz="4" w:space="0" w:color="000000"/>
              <w:right w:val="single" w:sz="4" w:space="0" w:color="auto"/>
            </w:tcBorders>
            <w:vAlign w:val="center"/>
            <w:hideMark/>
          </w:tcPr>
          <w:p w14:paraId="5AE1AE7E"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1EF009E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9B83BC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BDB2EB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29C1D7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A222E4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C5706E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1B1B2D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92624B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75C499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A7F108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67A9BE38"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7A20B17B"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10E4ACBD"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2FC39B77"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7E2FDEAC"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0D7E6067"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444502E5"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268CDCDD"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single" w:sz="4" w:space="0" w:color="000000"/>
              <w:right w:val="single" w:sz="4" w:space="0" w:color="auto"/>
            </w:tcBorders>
            <w:vAlign w:val="center"/>
            <w:hideMark/>
          </w:tcPr>
          <w:p w14:paraId="0501E3AE"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3488321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7F5CEA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C05CF0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5E3609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EFE153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47FCE7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61FB67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9A8D9C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DB6ED7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DC025E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6F7BC425"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6D3907FF"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345A734"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322C68E8"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CC15F26"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516C30F6"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3E9F2675"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7A932F37"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single" w:sz="4" w:space="0" w:color="000000"/>
              <w:right w:val="single" w:sz="4" w:space="0" w:color="auto"/>
            </w:tcBorders>
            <w:vAlign w:val="center"/>
            <w:hideMark/>
          </w:tcPr>
          <w:p w14:paraId="7B875394"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0E0E0"/>
            <w:vAlign w:val="center"/>
            <w:hideMark/>
          </w:tcPr>
          <w:p w14:paraId="119E45B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7FE41A3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6CCED9C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16,000</w:t>
            </w:r>
          </w:p>
        </w:tc>
        <w:tc>
          <w:tcPr>
            <w:tcW w:w="800" w:type="dxa"/>
            <w:tcBorders>
              <w:top w:val="nil"/>
              <w:left w:val="nil"/>
              <w:bottom w:val="single" w:sz="4" w:space="0" w:color="auto"/>
              <w:right w:val="single" w:sz="4" w:space="0" w:color="auto"/>
            </w:tcBorders>
            <w:shd w:val="clear" w:color="000000" w:fill="E0E0E0"/>
            <w:vAlign w:val="center"/>
            <w:hideMark/>
          </w:tcPr>
          <w:p w14:paraId="5685251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285,000</w:t>
            </w:r>
          </w:p>
        </w:tc>
        <w:tc>
          <w:tcPr>
            <w:tcW w:w="800" w:type="dxa"/>
            <w:tcBorders>
              <w:top w:val="nil"/>
              <w:left w:val="nil"/>
              <w:bottom w:val="single" w:sz="4" w:space="0" w:color="auto"/>
              <w:right w:val="single" w:sz="4" w:space="0" w:color="auto"/>
            </w:tcBorders>
            <w:shd w:val="clear" w:color="000000" w:fill="E0E0E0"/>
            <w:vAlign w:val="center"/>
            <w:hideMark/>
          </w:tcPr>
          <w:p w14:paraId="4CEDE5E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1 742,000</w:t>
            </w:r>
          </w:p>
        </w:tc>
        <w:tc>
          <w:tcPr>
            <w:tcW w:w="800" w:type="dxa"/>
            <w:tcBorders>
              <w:top w:val="nil"/>
              <w:left w:val="nil"/>
              <w:bottom w:val="single" w:sz="4" w:space="0" w:color="auto"/>
              <w:right w:val="single" w:sz="4" w:space="0" w:color="auto"/>
            </w:tcBorders>
            <w:shd w:val="clear" w:color="000000" w:fill="E0E0E0"/>
            <w:vAlign w:val="center"/>
            <w:hideMark/>
          </w:tcPr>
          <w:p w14:paraId="5D99F8B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2 444,000</w:t>
            </w:r>
          </w:p>
        </w:tc>
        <w:tc>
          <w:tcPr>
            <w:tcW w:w="800" w:type="dxa"/>
            <w:tcBorders>
              <w:top w:val="nil"/>
              <w:left w:val="nil"/>
              <w:bottom w:val="single" w:sz="4" w:space="0" w:color="auto"/>
              <w:right w:val="single" w:sz="4" w:space="0" w:color="auto"/>
            </w:tcBorders>
            <w:shd w:val="clear" w:color="000000" w:fill="E0E0E0"/>
            <w:vAlign w:val="center"/>
            <w:hideMark/>
          </w:tcPr>
          <w:p w14:paraId="76E7022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174AA08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24FD5FB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274EC9C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14A085C8"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74480E24"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3FF4A046"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26B560CB"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74F0A8A"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E540BDA"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09577B1F"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7C1B0E54"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tcBorders>
              <w:top w:val="nil"/>
              <w:left w:val="nil"/>
              <w:bottom w:val="single" w:sz="4" w:space="0" w:color="auto"/>
              <w:right w:val="single" w:sz="4" w:space="0" w:color="auto"/>
            </w:tcBorders>
            <w:shd w:val="clear" w:color="auto" w:fill="auto"/>
            <w:vAlign w:val="center"/>
            <w:hideMark/>
          </w:tcPr>
          <w:p w14:paraId="3501A3F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AFB8FC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FC85BE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479874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5468B2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E55160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13B19F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35F98C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575F7A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9AA427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3C5B59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tcBorders>
              <w:top w:val="nil"/>
              <w:left w:val="nil"/>
              <w:bottom w:val="single" w:sz="4" w:space="0" w:color="auto"/>
              <w:right w:val="single" w:sz="4" w:space="0" w:color="auto"/>
            </w:tcBorders>
            <w:shd w:val="clear" w:color="auto" w:fill="auto"/>
            <w:vAlign w:val="center"/>
            <w:hideMark/>
          </w:tcPr>
          <w:p w14:paraId="72D519B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7F79289C"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0B536FBF"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1AF29ED2"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8C3AD1D"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35D50EAC"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49A0ADDB"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343A8E70"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tcBorders>
              <w:top w:val="nil"/>
              <w:left w:val="nil"/>
              <w:bottom w:val="single" w:sz="4" w:space="0" w:color="auto"/>
              <w:right w:val="single" w:sz="4" w:space="0" w:color="auto"/>
            </w:tcBorders>
            <w:shd w:val="clear" w:color="auto" w:fill="auto"/>
            <w:vAlign w:val="center"/>
            <w:hideMark/>
          </w:tcPr>
          <w:p w14:paraId="45773D6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A7B3C5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4C57CC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7502B6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99E74E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EF76AE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4CD078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8A7415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382FC1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30D51B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1040FF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tcBorders>
              <w:top w:val="nil"/>
              <w:left w:val="nil"/>
              <w:bottom w:val="single" w:sz="4" w:space="0" w:color="auto"/>
              <w:right w:val="single" w:sz="4" w:space="0" w:color="auto"/>
            </w:tcBorders>
            <w:shd w:val="clear" w:color="auto" w:fill="auto"/>
            <w:vAlign w:val="center"/>
            <w:hideMark/>
          </w:tcPr>
          <w:p w14:paraId="63E5BC6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3F14B6FD" w14:textId="77777777" w:rsidTr="00FA0609">
        <w:trPr>
          <w:trHeight w:val="20"/>
        </w:trPr>
        <w:tc>
          <w:tcPr>
            <w:tcW w:w="505" w:type="dxa"/>
            <w:vMerge w:val="restart"/>
            <w:tcBorders>
              <w:top w:val="nil"/>
              <w:left w:val="single" w:sz="4" w:space="0" w:color="auto"/>
              <w:bottom w:val="single" w:sz="4" w:space="0" w:color="000000"/>
              <w:right w:val="single" w:sz="4" w:space="0" w:color="auto"/>
            </w:tcBorders>
            <w:shd w:val="clear" w:color="auto" w:fill="auto"/>
            <w:vAlign w:val="center"/>
            <w:hideMark/>
          </w:tcPr>
          <w:p w14:paraId="6617D22B"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50130</w:t>
            </w:r>
          </w:p>
        </w:tc>
        <w:tc>
          <w:tcPr>
            <w:tcW w:w="2447" w:type="dxa"/>
            <w:vMerge w:val="restart"/>
            <w:tcBorders>
              <w:top w:val="nil"/>
              <w:left w:val="single" w:sz="4" w:space="0" w:color="auto"/>
              <w:bottom w:val="single" w:sz="4" w:space="0" w:color="000000"/>
              <w:right w:val="single" w:sz="4" w:space="0" w:color="auto"/>
            </w:tcBorders>
            <w:shd w:val="clear" w:color="auto" w:fill="auto"/>
            <w:vAlign w:val="center"/>
            <w:hideMark/>
          </w:tcPr>
          <w:p w14:paraId="3AE6B23C"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Počet osob pracujících v rámci flexibilních forem práce</w:t>
            </w:r>
          </w:p>
        </w:tc>
        <w:tc>
          <w:tcPr>
            <w:tcW w:w="493" w:type="dxa"/>
            <w:vMerge w:val="restart"/>
            <w:tcBorders>
              <w:top w:val="nil"/>
              <w:left w:val="single" w:sz="4" w:space="0" w:color="auto"/>
              <w:bottom w:val="single" w:sz="4" w:space="0" w:color="000000"/>
              <w:right w:val="single" w:sz="4" w:space="0" w:color="auto"/>
            </w:tcBorders>
            <w:shd w:val="clear" w:color="auto" w:fill="auto"/>
            <w:vAlign w:val="center"/>
            <w:hideMark/>
          </w:tcPr>
          <w:p w14:paraId="3F506FE1"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ESF</w:t>
            </w:r>
          </w:p>
        </w:tc>
        <w:tc>
          <w:tcPr>
            <w:tcW w:w="1175" w:type="dxa"/>
            <w:vMerge w:val="restart"/>
            <w:tcBorders>
              <w:top w:val="nil"/>
              <w:left w:val="single" w:sz="4" w:space="0" w:color="auto"/>
              <w:bottom w:val="single" w:sz="4" w:space="0" w:color="000000"/>
              <w:right w:val="single" w:sz="4" w:space="0" w:color="auto"/>
            </w:tcBorders>
            <w:shd w:val="clear" w:color="auto" w:fill="auto"/>
            <w:vAlign w:val="center"/>
            <w:hideMark/>
          </w:tcPr>
          <w:p w14:paraId="0BE0DA8A"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Méně rozvinuté regiony</w:t>
            </w:r>
          </w:p>
        </w:tc>
        <w:tc>
          <w:tcPr>
            <w:tcW w:w="798" w:type="dxa"/>
            <w:vMerge w:val="restart"/>
            <w:tcBorders>
              <w:top w:val="nil"/>
              <w:left w:val="single" w:sz="4" w:space="0" w:color="auto"/>
              <w:bottom w:val="single" w:sz="4" w:space="0" w:color="000000"/>
              <w:right w:val="single" w:sz="4" w:space="0" w:color="auto"/>
            </w:tcBorders>
            <w:shd w:val="clear" w:color="auto" w:fill="auto"/>
            <w:vAlign w:val="center"/>
            <w:hideMark/>
          </w:tcPr>
          <w:p w14:paraId="4C2CA4C4"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Osoby</w:t>
            </w:r>
          </w:p>
        </w:tc>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67B9DBBA"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4" w:type="dxa"/>
            <w:vMerge w:val="restart"/>
            <w:tcBorders>
              <w:top w:val="nil"/>
              <w:left w:val="single" w:sz="4" w:space="0" w:color="auto"/>
              <w:bottom w:val="single" w:sz="4" w:space="0" w:color="000000"/>
              <w:right w:val="single" w:sz="4" w:space="0" w:color="auto"/>
            </w:tcBorders>
            <w:shd w:val="clear" w:color="000000" w:fill="E0E0E0"/>
            <w:vAlign w:val="bottom"/>
            <w:hideMark/>
          </w:tcPr>
          <w:p w14:paraId="602F575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441,000</w:t>
            </w:r>
          </w:p>
        </w:tc>
        <w:tc>
          <w:tcPr>
            <w:tcW w:w="800" w:type="dxa"/>
            <w:tcBorders>
              <w:top w:val="nil"/>
              <w:left w:val="nil"/>
              <w:bottom w:val="single" w:sz="4" w:space="0" w:color="auto"/>
              <w:right w:val="single" w:sz="4" w:space="0" w:color="auto"/>
            </w:tcBorders>
            <w:shd w:val="clear" w:color="000000" w:fill="E0E0E0"/>
            <w:vAlign w:val="center"/>
            <w:hideMark/>
          </w:tcPr>
          <w:p w14:paraId="1335BC1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0F7D3C8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5289060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5,000</w:t>
            </w:r>
          </w:p>
        </w:tc>
        <w:tc>
          <w:tcPr>
            <w:tcW w:w="800" w:type="dxa"/>
            <w:tcBorders>
              <w:top w:val="nil"/>
              <w:left w:val="nil"/>
              <w:bottom w:val="single" w:sz="4" w:space="0" w:color="auto"/>
              <w:right w:val="single" w:sz="4" w:space="0" w:color="auto"/>
            </w:tcBorders>
            <w:shd w:val="clear" w:color="000000" w:fill="E0E0E0"/>
            <w:vAlign w:val="center"/>
            <w:hideMark/>
          </w:tcPr>
          <w:p w14:paraId="6DB815D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185,000</w:t>
            </w:r>
          </w:p>
        </w:tc>
        <w:tc>
          <w:tcPr>
            <w:tcW w:w="800" w:type="dxa"/>
            <w:tcBorders>
              <w:top w:val="nil"/>
              <w:left w:val="nil"/>
              <w:bottom w:val="single" w:sz="4" w:space="0" w:color="auto"/>
              <w:right w:val="single" w:sz="4" w:space="0" w:color="auto"/>
            </w:tcBorders>
            <w:shd w:val="clear" w:color="000000" w:fill="E0E0E0"/>
            <w:vAlign w:val="center"/>
            <w:hideMark/>
          </w:tcPr>
          <w:p w14:paraId="4A2B1C9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661,000</w:t>
            </w:r>
          </w:p>
        </w:tc>
        <w:tc>
          <w:tcPr>
            <w:tcW w:w="800" w:type="dxa"/>
            <w:tcBorders>
              <w:top w:val="nil"/>
              <w:left w:val="nil"/>
              <w:bottom w:val="single" w:sz="4" w:space="0" w:color="auto"/>
              <w:right w:val="single" w:sz="4" w:space="0" w:color="auto"/>
            </w:tcBorders>
            <w:shd w:val="clear" w:color="000000" w:fill="E0E0E0"/>
            <w:vAlign w:val="center"/>
            <w:hideMark/>
          </w:tcPr>
          <w:p w14:paraId="72F4C94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405,000</w:t>
            </w:r>
          </w:p>
        </w:tc>
        <w:tc>
          <w:tcPr>
            <w:tcW w:w="800" w:type="dxa"/>
            <w:tcBorders>
              <w:top w:val="nil"/>
              <w:left w:val="nil"/>
              <w:bottom w:val="single" w:sz="4" w:space="0" w:color="auto"/>
              <w:right w:val="single" w:sz="4" w:space="0" w:color="auto"/>
            </w:tcBorders>
            <w:shd w:val="clear" w:color="000000" w:fill="E0E0E0"/>
            <w:vAlign w:val="center"/>
            <w:hideMark/>
          </w:tcPr>
          <w:p w14:paraId="33DBD09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12DDF21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679E4AC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3EA6B07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val="restart"/>
            <w:tcBorders>
              <w:top w:val="nil"/>
              <w:left w:val="single" w:sz="4" w:space="0" w:color="auto"/>
              <w:bottom w:val="single" w:sz="4" w:space="0" w:color="000000"/>
              <w:right w:val="single" w:sz="4" w:space="0" w:color="auto"/>
            </w:tcBorders>
            <w:shd w:val="clear" w:color="000000" w:fill="E0E0E0"/>
            <w:vAlign w:val="bottom"/>
            <w:hideMark/>
          </w:tcPr>
          <w:p w14:paraId="1BCDBE9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284,807</w:t>
            </w:r>
          </w:p>
        </w:tc>
      </w:tr>
      <w:tr w:rsidR="00723A23" w:rsidRPr="00723A23" w14:paraId="3D8972EF"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18BCDA7C"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201680F8"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A5E6D3B"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339140AF"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666B41A7"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3BC299D5"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single" w:sz="4" w:space="0" w:color="000000"/>
              <w:right w:val="single" w:sz="4" w:space="0" w:color="auto"/>
            </w:tcBorders>
            <w:vAlign w:val="center"/>
            <w:hideMark/>
          </w:tcPr>
          <w:p w14:paraId="33944504"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5A286C9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BDBABC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55A155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BF068F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0F8A45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DC4EC0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69EB2C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13CB8D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18C977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99C0F1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12FAE0A9"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173BA92A"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D0B15DC"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0D528D5D"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305E69A"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046C762B"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4FFE0964"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FBB1CE4"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single" w:sz="4" w:space="0" w:color="000000"/>
              <w:right w:val="single" w:sz="4" w:space="0" w:color="auto"/>
            </w:tcBorders>
            <w:vAlign w:val="center"/>
            <w:hideMark/>
          </w:tcPr>
          <w:p w14:paraId="28502F52"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2734241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65A901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B57234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8F1B2A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B5FE2F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894362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8EEC7E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B775F7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D96A98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7F1A01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3B967CB9"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10DF41FE"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66D56F92"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2526208A"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42BB0235"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1B508E50"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7C704B7B"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7B0CA544"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single" w:sz="4" w:space="0" w:color="000000"/>
              <w:right w:val="single" w:sz="4" w:space="0" w:color="auto"/>
            </w:tcBorders>
            <w:vAlign w:val="center"/>
            <w:hideMark/>
          </w:tcPr>
          <w:p w14:paraId="2F2D1E03"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0E0E0"/>
            <w:vAlign w:val="center"/>
            <w:hideMark/>
          </w:tcPr>
          <w:p w14:paraId="70E519C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2019D19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198A44A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5,000</w:t>
            </w:r>
          </w:p>
        </w:tc>
        <w:tc>
          <w:tcPr>
            <w:tcW w:w="800" w:type="dxa"/>
            <w:tcBorders>
              <w:top w:val="nil"/>
              <w:left w:val="nil"/>
              <w:bottom w:val="single" w:sz="4" w:space="0" w:color="auto"/>
              <w:right w:val="single" w:sz="4" w:space="0" w:color="auto"/>
            </w:tcBorders>
            <w:shd w:val="clear" w:color="000000" w:fill="E0E0E0"/>
            <w:vAlign w:val="center"/>
            <w:hideMark/>
          </w:tcPr>
          <w:p w14:paraId="6877A5D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190,000</w:t>
            </w:r>
          </w:p>
        </w:tc>
        <w:tc>
          <w:tcPr>
            <w:tcW w:w="800" w:type="dxa"/>
            <w:tcBorders>
              <w:top w:val="nil"/>
              <w:left w:val="nil"/>
              <w:bottom w:val="single" w:sz="4" w:space="0" w:color="auto"/>
              <w:right w:val="single" w:sz="4" w:space="0" w:color="auto"/>
            </w:tcBorders>
            <w:shd w:val="clear" w:color="000000" w:fill="E0E0E0"/>
            <w:vAlign w:val="center"/>
            <w:hideMark/>
          </w:tcPr>
          <w:p w14:paraId="5122CCCD" w14:textId="77777777" w:rsidR="00723A23" w:rsidRPr="00723A23" w:rsidRDefault="00723A23" w:rsidP="00723A23">
            <w:pPr>
              <w:jc w:val="right"/>
              <w:rPr>
                <w:rFonts w:ascii="Arial" w:eastAsia="Times New Roman" w:hAnsi="Arial" w:cs="Arial"/>
                <w:sz w:val="14"/>
                <w:szCs w:val="14"/>
                <w:lang w:val="cs-CZ" w:eastAsia="cs-CZ"/>
              </w:rPr>
            </w:pPr>
            <w:r w:rsidRPr="00723A23">
              <w:rPr>
                <w:rFonts w:ascii="Arial" w:eastAsia="Times New Roman" w:hAnsi="Arial" w:cs="Arial"/>
                <w:sz w:val="14"/>
                <w:szCs w:val="14"/>
                <w:lang w:val="cs-CZ" w:eastAsia="cs-CZ"/>
              </w:rPr>
              <w:t>851,000</w:t>
            </w:r>
          </w:p>
        </w:tc>
        <w:tc>
          <w:tcPr>
            <w:tcW w:w="800" w:type="dxa"/>
            <w:tcBorders>
              <w:top w:val="nil"/>
              <w:left w:val="nil"/>
              <w:bottom w:val="single" w:sz="4" w:space="0" w:color="auto"/>
              <w:right w:val="single" w:sz="4" w:space="0" w:color="auto"/>
            </w:tcBorders>
            <w:shd w:val="clear" w:color="000000" w:fill="E0E0E0"/>
            <w:vAlign w:val="center"/>
            <w:hideMark/>
          </w:tcPr>
          <w:p w14:paraId="3F17B32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1 256,000</w:t>
            </w:r>
          </w:p>
        </w:tc>
        <w:tc>
          <w:tcPr>
            <w:tcW w:w="800" w:type="dxa"/>
            <w:tcBorders>
              <w:top w:val="nil"/>
              <w:left w:val="nil"/>
              <w:bottom w:val="single" w:sz="4" w:space="0" w:color="auto"/>
              <w:right w:val="single" w:sz="4" w:space="0" w:color="auto"/>
            </w:tcBorders>
            <w:shd w:val="clear" w:color="000000" w:fill="E0E0E0"/>
            <w:vAlign w:val="center"/>
            <w:hideMark/>
          </w:tcPr>
          <w:p w14:paraId="0B41DC5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78AE5C9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5422805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4AA27D1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56A4F1DB"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4D09185D"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FF3622C"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170A14F8"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78D31F8B"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566E1334"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57E38788"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4ED35DD9"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tcBorders>
              <w:top w:val="nil"/>
              <w:left w:val="nil"/>
              <w:bottom w:val="single" w:sz="4" w:space="0" w:color="auto"/>
              <w:right w:val="single" w:sz="4" w:space="0" w:color="auto"/>
            </w:tcBorders>
            <w:shd w:val="clear" w:color="auto" w:fill="auto"/>
            <w:vAlign w:val="center"/>
            <w:hideMark/>
          </w:tcPr>
          <w:p w14:paraId="1DC427D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93882E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80282B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35D025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23094D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CCB8521" w14:textId="77777777" w:rsidR="00723A23" w:rsidRPr="00723A23" w:rsidRDefault="00723A23" w:rsidP="00723A23">
            <w:pPr>
              <w:jc w:val="right"/>
              <w:rPr>
                <w:rFonts w:ascii="Arial" w:eastAsia="Times New Roman" w:hAnsi="Arial" w:cs="Arial"/>
                <w:sz w:val="14"/>
                <w:szCs w:val="14"/>
                <w:lang w:val="cs-CZ" w:eastAsia="cs-CZ"/>
              </w:rPr>
            </w:pPr>
            <w:r w:rsidRPr="00723A23">
              <w:rPr>
                <w:rFonts w:ascii="Arial" w:eastAsia="Times New Roman" w:hAnsi="Arial" w:cs="Arial"/>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6BF083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9AB464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AB2F36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E3043F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CACC96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tcBorders>
              <w:top w:val="nil"/>
              <w:left w:val="nil"/>
              <w:bottom w:val="single" w:sz="4" w:space="0" w:color="auto"/>
              <w:right w:val="single" w:sz="4" w:space="0" w:color="auto"/>
            </w:tcBorders>
            <w:shd w:val="clear" w:color="auto" w:fill="auto"/>
            <w:vAlign w:val="center"/>
            <w:hideMark/>
          </w:tcPr>
          <w:p w14:paraId="6BB655D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61C885AB"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70F88538"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091BA298"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4394E68"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25818D34"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7612B7D0"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4722A20B"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tcBorders>
              <w:top w:val="nil"/>
              <w:left w:val="nil"/>
              <w:bottom w:val="single" w:sz="4" w:space="0" w:color="auto"/>
              <w:right w:val="single" w:sz="4" w:space="0" w:color="auto"/>
            </w:tcBorders>
            <w:shd w:val="clear" w:color="auto" w:fill="auto"/>
            <w:vAlign w:val="center"/>
            <w:hideMark/>
          </w:tcPr>
          <w:p w14:paraId="16AF670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21021A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FE7E0A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DA2507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6F5D15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F6D47A8" w14:textId="77777777" w:rsidR="00723A23" w:rsidRPr="00723A23" w:rsidRDefault="00723A23" w:rsidP="00723A23">
            <w:pPr>
              <w:jc w:val="right"/>
              <w:rPr>
                <w:rFonts w:ascii="Arial" w:eastAsia="Times New Roman" w:hAnsi="Arial" w:cs="Arial"/>
                <w:sz w:val="14"/>
                <w:szCs w:val="14"/>
                <w:lang w:val="cs-CZ" w:eastAsia="cs-CZ"/>
              </w:rPr>
            </w:pPr>
            <w:r w:rsidRPr="00723A23">
              <w:rPr>
                <w:rFonts w:ascii="Arial" w:eastAsia="Times New Roman" w:hAnsi="Arial" w:cs="Arial"/>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E62C97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ED8382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7EFA43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F7B763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E74256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tcBorders>
              <w:top w:val="nil"/>
              <w:left w:val="nil"/>
              <w:bottom w:val="single" w:sz="4" w:space="0" w:color="auto"/>
              <w:right w:val="single" w:sz="4" w:space="0" w:color="auto"/>
            </w:tcBorders>
            <w:shd w:val="clear" w:color="auto" w:fill="auto"/>
            <w:vAlign w:val="center"/>
            <w:hideMark/>
          </w:tcPr>
          <w:p w14:paraId="78CCBF0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5244A4F5" w14:textId="77777777" w:rsidTr="00FA0609">
        <w:trPr>
          <w:trHeight w:val="20"/>
        </w:trPr>
        <w:tc>
          <w:tcPr>
            <w:tcW w:w="505" w:type="dxa"/>
            <w:vMerge w:val="restart"/>
            <w:tcBorders>
              <w:top w:val="nil"/>
              <w:left w:val="single" w:sz="4" w:space="0" w:color="auto"/>
              <w:bottom w:val="single" w:sz="4" w:space="0" w:color="000000"/>
              <w:right w:val="single" w:sz="4" w:space="0" w:color="auto"/>
            </w:tcBorders>
            <w:shd w:val="clear" w:color="auto" w:fill="auto"/>
            <w:vAlign w:val="center"/>
            <w:hideMark/>
          </w:tcPr>
          <w:p w14:paraId="64BCD825"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50130</w:t>
            </w:r>
          </w:p>
        </w:tc>
        <w:tc>
          <w:tcPr>
            <w:tcW w:w="2447" w:type="dxa"/>
            <w:vMerge w:val="restart"/>
            <w:tcBorders>
              <w:top w:val="nil"/>
              <w:left w:val="single" w:sz="4" w:space="0" w:color="auto"/>
              <w:bottom w:val="single" w:sz="4" w:space="0" w:color="000000"/>
              <w:right w:val="single" w:sz="4" w:space="0" w:color="auto"/>
            </w:tcBorders>
            <w:shd w:val="clear" w:color="auto" w:fill="auto"/>
            <w:vAlign w:val="center"/>
            <w:hideMark/>
          </w:tcPr>
          <w:p w14:paraId="3BBCFA47"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Počet osob pracujících v rámci flexibilních forem práce</w:t>
            </w:r>
          </w:p>
        </w:tc>
        <w:tc>
          <w:tcPr>
            <w:tcW w:w="493" w:type="dxa"/>
            <w:vMerge w:val="restart"/>
            <w:tcBorders>
              <w:top w:val="nil"/>
              <w:left w:val="single" w:sz="4" w:space="0" w:color="auto"/>
              <w:bottom w:val="single" w:sz="4" w:space="0" w:color="000000"/>
              <w:right w:val="single" w:sz="4" w:space="0" w:color="auto"/>
            </w:tcBorders>
            <w:shd w:val="clear" w:color="auto" w:fill="auto"/>
            <w:vAlign w:val="center"/>
            <w:hideMark/>
          </w:tcPr>
          <w:p w14:paraId="5BDA52C7"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ESF</w:t>
            </w:r>
          </w:p>
        </w:tc>
        <w:tc>
          <w:tcPr>
            <w:tcW w:w="1175" w:type="dxa"/>
            <w:vMerge w:val="restart"/>
            <w:tcBorders>
              <w:top w:val="nil"/>
              <w:left w:val="single" w:sz="4" w:space="0" w:color="auto"/>
              <w:bottom w:val="single" w:sz="4" w:space="0" w:color="000000"/>
              <w:right w:val="single" w:sz="4" w:space="0" w:color="auto"/>
            </w:tcBorders>
            <w:shd w:val="clear" w:color="auto" w:fill="auto"/>
            <w:vAlign w:val="center"/>
            <w:hideMark/>
          </w:tcPr>
          <w:p w14:paraId="61A68617"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Více rozvinuté regiony</w:t>
            </w:r>
          </w:p>
        </w:tc>
        <w:tc>
          <w:tcPr>
            <w:tcW w:w="798" w:type="dxa"/>
            <w:vMerge w:val="restart"/>
            <w:tcBorders>
              <w:top w:val="nil"/>
              <w:left w:val="single" w:sz="4" w:space="0" w:color="auto"/>
              <w:bottom w:val="single" w:sz="4" w:space="0" w:color="000000"/>
              <w:right w:val="single" w:sz="4" w:space="0" w:color="auto"/>
            </w:tcBorders>
            <w:shd w:val="clear" w:color="auto" w:fill="auto"/>
            <w:vAlign w:val="center"/>
            <w:hideMark/>
          </w:tcPr>
          <w:p w14:paraId="4C730C7A"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Osoby</w:t>
            </w:r>
          </w:p>
        </w:tc>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74B28247"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4" w:type="dxa"/>
            <w:vMerge w:val="restart"/>
            <w:tcBorders>
              <w:top w:val="nil"/>
              <w:left w:val="single" w:sz="4" w:space="0" w:color="auto"/>
              <w:bottom w:val="nil"/>
              <w:right w:val="single" w:sz="4" w:space="0" w:color="auto"/>
            </w:tcBorders>
            <w:shd w:val="clear" w:color="000000" w:fill="E0E0E0"/>
            <w:vAlign w:val="bottom"/>
            <w:hideMark/>
          </w:tcPr>
          <w:p w14:paraId="7F3CD57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59,000</w:t>
            </w:r>
          </w:p>
        </w:tc>
        <w:tc>
          <w:tcPr>
            <w:tcW w:w="800" w:type="dxa"/>
            <w:tcBorders>
              <w:top w:val="nil"/>
              <w:left w:val="nil"/>
              <w:bottom w:val="single" w:sz="4" w:space="0" w:color="auto"/>
              <w:right w:val="single" w:sz="4" w:space="0" w:color="auto"/>
            </w:tcBorders>
            <w:shd w:val="clear" w:color="000000" w:fill="E0E0E0"/>
            <w:vAlign w:val="center"/>
            <w:hideMark/>
          </w:tcPr>
          <w:p w14:paraId="5BD5A02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2D6CD58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43475C3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5,000</w:t>
            </w:r>
          </w:p>
        </w:tc>
        <w:tc>
          <w:tcPr>
            <w:tcW w:w="800" w:type="dxa"/>
            <w:tcBorders>
              <w:top w:val="nil"/>
              <w:left w:val="nil"/>
              <w:bottom w:val="single" w:sz="4" w:space="0" w:color="auto"/>
              <w:right w:val="single" w:sz="4" w:space="0" w:color="auto"/>
            </w:tcBorders>
            <w:shd w:val="clear" w:color="000000" w:fill="E0E0E0"/>
            <w:vAlign w:val="center"/>
            <w:hideMark/>
          </w:tcPr>
          <w:p w14:paraId="23A9F6E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3,000</w:t>
            </w:r>
          </w:p>
        </w:tc>
        <w:tc>
          <w:tcPr>
            <w:tcW w:w="800" w:type="dxa"/>
            <w:tcBorders>
              <w:top w:val="nil"/>
              <w:left w:val="nil"/>
              <w:bottom w:val="single" w:sz="4" w:space="0" w:color="auto"/>
              <w:right w:val="single" w:sz="4" w:space="0" w:color="auto"/>
            </w:tcBorders>
            <w:shd w:val="clear" w:color="000000" w:fill="E0E0E0"/>
            <w:vAlign w:val="center"/>
            <w:hideMark/>
          </w:tcPr>
          <w:p w14:paraId="4A721A5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138,000</w:t>
            </w:r>
          </w:p>
        </w:tc>
        <w:tc>
          <w:tcPr>
            <w:tcW w:w="800" w:type="dxa"/>
            <w:tcBorders>
              <w:top w:val="nil"/>
              <w:left w:val="nil"/>
              <w:bottom w:val="single" w:sz="4" w:space="0" w:color="auto"/>
              <w:right w:val="single" w:sz="4" w:space="0" w:color="auto"/>
            </w:tcBorders>
            <w:shd w:val="clear" w:color="000000" w:fill="E0E0E0"/>
            <w:vAlign w:val="center"/>
            <w:hideMark/>
          </w:tcPr>
          <w:p w14:paraId="16686ED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42,000</w:t>
            </w:r>
          </w:p>
        </w:tc>
        <w:tc>
          <w:tcPr>
            <w:tcW w:w="800" w:type="dxa"/>
            <w:tcBorders>
              <w:top w:val="nil"/>
              <w:left w:val="nil"/>
              <w:bottom w:val="single" w:sz="4" w:space="0" w:color="auto"/>
              <w:right w:val="single" w:sz="4" w:space="0" w:color="auto"/>
            </w:tcBorders>
            <w:shd w:val="clear" w:color="000000" w:fill="E0E0E0"/>
            <w:vAlign w:val="center"/>
            <w:hideMark/>
          </w:tcPr>
          <w:p w14:paraId="3F70162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4A0EA1E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2E66A6B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3316750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val="restart"/>
            <w:tcBorders>
              <w:top w:val="nil"/>
              <w:left w:val="single" w:sz="4" w:space="0" w:color="auto"/>
              <w:bottom w:val="single" w:sz="4" w:space="0" w:color="000000"/>
              <w:right w:val="single" w:sz="4" w:space="0" w:color="auto"/>
            </w:tcBorders>
            <w:shd w:val="clear" w:color="000000" w:fill="E0E0E0"/>
            <w:vAlign w:val="bottom"/>
            <w:hideMark/>
          </w:tcPr>
          <w:p w14:paraId="7F93558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318,644</w:t>
            </w:r>
          </w:p>
        </w:tc>
      </w:tr>
      <w:tr w:rsidR="00723A23" w:rsidRPr="00723A23" w14:paraId="6F221C5E"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2E793C86"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7C139B45"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738A7EC"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738EB3F7"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449B0384"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09E2B14E"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nil"/>
              <w:right w:val="single" w:sz="4" w:space="0" w:color="auto"/>
            </w:tcBorders>
            <w:vAlign w:val="center"/>
            <w:hideMark/>
          </w:tcPr>
          <w:p w14:paraId="58B8A259"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3E39263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17B1B4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AD2B88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0FDFA4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A77F4A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6F06EC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0D5804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9A8384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583027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E0325F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49D4432E"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5B3D14A9"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0AA72821"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49BB35B5"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2E0831AE"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0B669A49"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7A398D3A"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0CEBD871"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nil"/>
              <w:right w:val="single" w:sz="4" w:space="0" w:color="auto"/>
            </w:tcBorders>
            <w:vAlign w:val="center"/>
            <w:hideMark/>
          </w:tcPr>
          <w:p w14:paraId="4EDB2FF5"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auto" w:fill="auto"/>
            <w:vAlign w:val="center"/>
            <w:hideMark/>
          </w:tcPr>
          <w:p w14:paraId="49CB99B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2D5589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DB4D23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CF1E37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6AF674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21ADB7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B629D6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13C65B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516B7E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39B03E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6CF056C1"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127919E6"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14E7C9F"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4B0FC8D0"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797A05D"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EEFF098"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65EDC4C4"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6DA29354"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vMerge/>
            <w:tcBorders>
              <w:top w:val="nil"/>
              <w:left w:val="single" w:sz="4" w:space="0" w:color="auto"/>
              <w:bottom w:val="nil"/>
              <w:right w:val="single" w:sz="4" w:space="0" w:color="auto"/>
            </w:tcBorders>
            <w:vAlign w:val="center"/>
            <w:hideMark/>
          </w:tcPr>
          <w:p w14:paraId="10FAEE96" w14:textId="77777777" w:rsidR="00723A23" w:rsidRPr="00723A23" w:rsidRDefault="00723A23" w:rsidP="00723A23">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0E0E0"/>
            <w:vAlign w:val="center"/>
            <w:hideMark/>
          </w:tcPr>
          <w:p w14:paraId="059FA7B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58F1EC4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0E0E0"/>
            <w:vAlign w:val="center"/>
            <w:hideMark/>
          </w:tcPr>
          <w:p w14:paraId="5403112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5,000</w:t>
            </w:r>
          </w:p>
        </w:tc>
        <w:tc>
          <w:tcPr>
            <w:tcW w:w="800" w:type="dxa"/>
            <w:tcBorders>
              <w:top w:val="nil"/>
              <w:left w:val="nil"/>
              <w:bottom w:val="single" w:sz="4" w:space="0" w:color="auto"/>
              <w:right w:val="single" w:sz="4" w:space="0" w:color="auto"/>
            </w:tcBorders>
            <w:shd w:val="clear" w:color="000000" w:fill="E0E0E0"/>
            <w:vAlign w:val="center"/>
            <w:hideMark/>
          </w:tcPr>
          <w:p w14:paraId="14B4D99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8,000</w:t>
            </w:r>
          </w:p>
        </w:tc>
        <w:tc>
          <w:tcPr>
            <w:tcW w:w="800" w:type="dxa"/>
            <w:tcBorders>
              <w:top w:val="nil"/>
              <w:left w:val="nil"/>
              <w:bottom w:val="single" w:sz="4" w:space="0" w:color="auto"/>
              <w:right w:val="single" w:sz="4" w:space="0" w:color="auto"/>
            </w:tcBorders>
            <w:shd w:val="clear" w:color="000000" w:fill="E0E0E0"/>
            <w:vAlign w:val="center"/>
            <w:hideMark/>
          </w:tcPr>
          <w:p w14:paraId="790C049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146,000</w:t>
            </w:r>
          </w:p>
        </w:tc>
        <w:tc>
          <w:tcPr>
            <w:tcW w:w="800" w:type="dxa"/>
            <w:tcBorders>
              <w:top w:val="nil"/>
              <w:left w:val="nil"/>
              <w:bottom w:val="single" w:sz="4" w:space="0" w:color="auto"/>
              <w:right w:val="single" w:sz="4" w:space="0" w:color="auto"/>
            </w:tcBorders>
            <w:shd w:val="clear" w:color="000000" w:fill="E0E0E0"/>
            <w:vAlign w:val="center"/>
            <w:hideMark/>
          </w:tcPr>
          <w:p w14:paraId="5D19F2E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188,000</w:t>
            </w:r>
          </w:p>
        </w:tc>
        <w:tc>
          <w:tcPr>
            <w:tcW w:w="800" w:type="dxa"/>
            <w:tcBorders>
              <w:top w:val="nil"/>
              <w:left w:val="nil"/>
              <w:bottom w:val="single" w:sz="4" w:space="0" w:color="auto"/>
              <w:right w:val="single" w:sz="4" w:space="0" w:color="auto"/>
            </w:tcBorders>
            <w:shd w:val="clear" w:color="000000" w:fill="E0E0E0"/>
            <w:vAlign w:val="center"/>
            <w:hideMark/>
          </w:tcPr>
          <w:p w14:paraId="4789133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70B1EEE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7527054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0E0E0"/>
            <w:vAlign w:val="center"/>
            <w:hideMark/>
          </w:tcPr>
          <w:p w14:paraId="7502949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6" w:type="dxa"/>
            <w:vMerge/>
            <w:tcBorders>
              <w:top w:val="nil"/>
              <w:left w:val="single" w:sz="4" w:space="0" w:color="auto"/>
              <w:bottom w:val="single" w:sz="4" w:space="0" w:color="000000"/>
              <w:right w:val="single" w:sz="4" w:space="0" w:color="auto"/>
            </w:tcBorders>
            <w:vAlign w:val="center"/>
            <w:hideMark/>
          </w:tcPr>
          <w:p w14:paraId="7F0C35CE"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7264D79E"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4AE33BFC"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0A810B91"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3A56510"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B22D0CF"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11B15F4E"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CA1FF76"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tcBorders>
              <w:top w:val="single" w:sz="4" w:space="0" w:color="auto"/>
              <w:left w:val="nil"/>
              <w:bottom w:val="single" w:sz="4" w:space="0" w:color="auto"/>
              <w:right w:val="single" w:sz="4" w:space="0" w:color="auto"/>
            </w:tcBorders>
            <w:shd w:val="clear" w:color="auto" w:fill="auto"/>
            <w:vAlign w:val="center"/>
            <w:hideMark/>
          </w:tcPr>
          <w:p w14:paraId="4DD240B0"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16086C38"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5C2C505F"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2B1436E9"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418B5FC9"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1AE68561"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1897882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084FC0BA"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76A150A5"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259FC92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7DF560F1"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666" w:type="dxa"/>
            <w:tcBorders>
              <w:top w:val="nil"/>
              <w:left w:val="nil"/>
              <w:bottom w:val="single" w:sz="4" w:space="0" w:color="auto"/>
              <w:right w:val="single" w:sz="4" w:space="0" w:color="auto"/>
            </w:tcBorders>
            <w:shd w:val="clear" w:color="auto" w:fill="auto"/>
            <w:vAlign w:val="center"/>
            <w:hideMark/>
          </w:tcPr>
          <w:p w14:paraId="4994F416"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185B6731"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21B0AA42" w14:textId="77777777" w:rsidR="00723A23" w:rsidRPr="00723A23" w:rsidRDefault="00723A23" w:rsidP="00723A23">
            <w:pPr>
              <w:rPr>
                <w:rFonts w:ascii="Arial" w:eastAsia="Times New Roman" w:hAnsi="Arial" w:cs="Arial"/>
                <w:color w:val="000000"/>
                <w:sz w:val="14"/>
                <w:szCs w:val="14"/>
                <w:lang w:val="cs-CZ" w:eastAsia="cs-CZ"/>
              </w:rPr>
            </w:pPr>
          </w:p>
        </w:tc>
        <w:tc>
          <w:tcPr>
            <w:tcW w:w="2447" w:type="dxa"/>
            <w:vMerge/>
            <w:tcBorders>
              <w:top w:val="nil"/>
              <w:left w:val="single" w:sz="4" w:space="0" w:color="auto"/>
              <w:bottom w:val="single" w:sz="4" w:space="0" w:color="000000"/>
              <w:right w:val="single" w:sz="4" w:space="0" w:color="auto"/>
            </w:tcBorders>
            <w:vAlign w:val="center"/>
            <w:hideMark/>
          </w:tcPr>
          <w:p w14:paraId="11806226" w14:textId="77777777" w:rsidR="00723A23" w:rsidRPr="00723A23" w:rsidRDefault="00723A23" w:rsidP="00723A23">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541F9D1" w14:textId="77777777" w:rsidR="00723A23" w:rsidRPr="00723A23" w:rsidRDefault="00723A23" w:rsidP="00723A23">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F196845"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vMerge/>
            <w:tcBorders>
              <w:top w:val="nil"/>
              <w:left w:val="single" w:sz="4" w:space="0" w:color="auto"/>
              <w:bottom w:val="single" w:sz="4" w:space="0" w:color="000000"/>
              <w:right w:val="single" w:sz="4" w:space="0" w:color="auto"/>
            </w:tcBorders>
            <w:vAlign w:val="center"/>
            <w:hideMark/>
          </w:tcPr>
          <w:p w14:paraId="1CC1F264" w14:textId="77777777" w:rsidR="00723A23" w:rsidRPr="00723A23" w:rsidRDefault="00723A23" w:rsidP="00723A23">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77C9934" w14:textId="77777777" w:rsidR="00723A23" w:rsidRPr="00723A23" w:rsidRDefault="00723A23" w:rsidP="00723A23">
            <w:pPr>
              <w:rPr>
                <w:rFonts w:ascii="Arial" w:eastAsia="Times New Roman" w:hAnsi="Arial" w:cs="Arial"/>
                <w:color w:val="000000"/>
                <w:sz w:val="14"/>
                <w:szCs w:val="14"/>
                <w:lang w:val="cs-CZ" w:eastAsia="cs-CZ"/>
              </w:rPr>
            </w:pPr>
          </w:p>
        </w:tc>
        <w:tc>
          <w:tcPr>
            <w:tcW w:w="704" w:type="dxa"/>
            <w:tcBorders>
              <w:top w:val="nil"/>
              <w:left w:val="nil"/>
              <w:bottom w:val="single" w:sz="4" w:space="0" w:color="auto"/>
              <w:right w:val="single" w:sz="4" w:space="0" w:color="auto"/>
            </w:tcBorders>
            <w:shd w:val="clear" w:color="auto" w:fill="auto"/>
            <w:vAlign w:val="center"/>
            <w:hideMark/>
          </w:tcPr>
          <w:p w14:paraId="620E468A"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58B5167D"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362CAB01"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6AA906E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717B8976"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2B556C21"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0721F600"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3CE70078"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0509C45A"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62BE727B"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0" w:type="dxa"/>
            <w:tcBorders>
              <w:top w:val="nil"/>
              <w:left w:val="nil"/>
              <w:bottom w:val="single" w:sz="4" w:space="0" w:color="auto"/>
              <w:right w:val="single" w:sz="4" w:space="0" w:color="auto"/>
            </w:tcBorders>
            <w:shd w:val="clear" w:color="auto" w:fill="auto"/>
            <w:noWrap/>
            <w:vAlign w:val="bottom"/>
            <w:hideMark/>
          </w:tcPr>
          <w:p w14:paraId="3F3AC4F5"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666" w:type="dxa"/>
            <w:tcBorders>
              <w:top w:val="nil"/>
              <w:left w:val="nil"/>
              <w:bottom w:val="single" w:sz="4" w:space="0" w:color="auto"/>
              <w:right w:val="single" w:sz="4" w:space="0" w:color="auto"/>
            </w:tcBorders>
            <w:shd w:val="clear" w:color="auto" w:fill="auto"/>
            <w:vAlign w:val="center"/>
            <w:hideMark/>
          </w:tcPr>
          <w:p w14:paraId="4CA2B089" w14:textId="651DB346"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bl>
    <w:p w14:paraId="31D24B39" w14:textId="168E7944" w:rsidR="00767FBF" w:rsidRPr="002F2BE4" w:rsidRDefault="00767FBF" w:rsidP="00A722E5">
      <w:pPr>
        <w:ind w:right="108"/>
        <w:jc w:val="both"/>
        <w:rPr>
          <w:rFonts w:ascii="Arial" w:eastAsia="Arial" w:hAnsi="Arial" w:cs="Arial"/>
          <w:color w:val="000000"/>
          <w:sz w:val="20"/>
          <w:lang w:val="cs-CZ"/>
        </w:rPr>
      </w:pPr>
    </w:p>
    <w:p w14:paraId="342F5554"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03.1.52 Pomoc pracovníkům, podnikům a podnikatelům přizpůsobovat se změnám</w:t>
      </w:r>
    </w:p>
    <w:tbl>
      <w:tblPr>
        <w:tblW w:w="15801" w:type="dxa"/>
        <w:tblInd w:w="75" w:type="dxa"/>
        <w:tblCellMar>
          <w:left w:w="70" w:type="dxa"/>
          <w:right w:w="70" w:type="dxa"/>
        </w:tblCellMar>
        <w:tblLook w:val="04A0" w:firstRow="1" w:lastRow="0" w:firstColumn="1" w:lastColumn="0" w:noHBand="0" w:noVBand="1"/>
      </w:tblPr>
      <w:tblGrid>
        <w:gridCol w:w="531"/>
        <w:gridCol w:w="2430"/>
        <w:gridCol w:w="491"/>
        <w:gridCol w:w="1170"/>
        <w:gridCol w:w="795"/>
        <w:gridCol w:w="946"/>
        <w:gridCol w:w="702"/>
        <w:gridCol w:w="798"/>
        <w:gridCol w:w="798"/>
        <w:gridCol w:w="798"/>
        <w:gridCol w:w="798"/>
        <w:gridCol w:w="798"/>
        <w:gridCol w:w="798"/>
        <w:gridCol w:w="798"/>
        <w:gridCol w:w="798"/>
        <w:gridCol w:w="798"/>
        <w:gridCol w:w="798"/>
        <w:gridCol w:w="8"/>
        <w:gridCol w:w="748"/>
      </w:tblGrid>
      <w:tr w:rsidR="00723A23" w:rsidRPr="00723A23" w14:paraId="59CD4FE9" w14:textId="77777777" w:rsidTr="00FA0609">
        <w:trPr>
          <w:trHeight w:val="20"/>
          <w:tblHeader/>
        </w:trPr>
        <w:tc>
          <w:tcPr>
            <w:tcW w:w="5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91DB4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ID</w:t>
            </w:r>
          </w:p>
        </w:tc>
        <w:tc>
          <w:tcPr>
            <w:tcW w:w="24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96DBF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Indikátor</w:t>
            </w:r>
          </w:p>
        </w:tc>
        <w:tc>
          <w:tcPr>
            <w:tcW w:w="4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2812EA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ESF / YEI</w:t>
            </w:r>
          </w:p>
        </w:tc>
        <w:tc>
          <w:tcPr>
            <w:tcW w:w="11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E8998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Kategorie regionu (je-li relevantní)</w:t>
            </w:r>
          </w:p>
        </w:tc>
        <w:tc>
          <w:tcPr>
            <w:tcW w:w="7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56EBD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Měrná jednotka</w:t>
            </w:r>
          </w:p>
        </w:tc>
        <w:tc>
          <w:tcPr>
            <w:tcW w:w="94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FA1A2F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Jednotka měření pro výchozí hodnotu a cíl</w:t>
            </w:r>
          </w:p>
        </w:tc>
        <w:tc>
          <w:tcPr>
            <w:tcW w:w="7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F5C91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Cílová hodnota (2023)</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5E30CF7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2014</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119342E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2015</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597B30E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2016</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660FC73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2017</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065B474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2018</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76CA39A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2019</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47125A6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2020</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2622741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2021</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12CC4DF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2022</w:t>
            </w:r>
          </w:p>
        </w:tc>
        <w:tc>
          <w:tcPr>
            <w:tcW w:w="798" w:type="dxa"/>
            <w:tcBorders>
              <w:top w:val="single" w:sz="4" w:space="0" w:color="auto"/>
              <w:left w:val="nil"/>
              <w:bottom w:val="single" w:sz="4" w:space="0" w:color="auto"/>
              <w:right w:val="single" w:sz="4" w:space="0" w:color="auto"/>
            </w:tcBorders>
            <w:shd w:val="clear" w:color="000000" w:fill="FFFFFF"/>
            <w:vAlign w:val="center"/>
            <w:hideMark/>
          </w:tcPr>
          <w:p w14:paraId="42D75AF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2023</w:t>
            </w:r>
          </w:p>
        </w:tc>
        <w:tc>
          <w:tcPr>
            <w:tcW w:w="75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C8861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Míra splnění</w:t>
            </w:r>
          </w:p>
        </w:tc>
      </w:tr>
      <w:tr w:rsidR="00723A23" w:rsidRPr="00723A23" w14:paraId="3C593560"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347F8DE3"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2" w:type="dxa"/>
            <w:vMerge/>
            <w:tcBorders>
              <w:top w:val="single" w:sz="4" w:space="0" w:color="auto"/>
              <w:left w:val="single" w:sz="4" w:space="0" w:color="auto"/>
              <w:bottom w:val="single" w:sz="4" w:space="0" w:color="auto"/>
              <w:right w:val="single" w:sz="4" w:space="0" w:color="auto"/>
            </w:tcBorders>
            <w:vAlign w:val="center"/>
            <w:hideMark/>
          </w:tcPr>
          <w:p w14:paraId="1C731B0E" w14:textId="77777777" w:rsidR="00723A23" w:rsidRPr="00723A23" w:rsidRDefault="00723A23" w:rsidP="00723A23">
            <w:pPr>
              <w:rPr>
                <w:rFonts w:ascii="Arial" w:eastAsia="Times New Roman" w:hAnsi="Arial" w:cs="Arial"/>
                <w:b/>
                <w:bCs/>
                <w:color w:val="000000"/>
                <w:sz w:val="14"/>
                <w:szCs w:val="14"/>
                <w:lang w:val="cs-CZ" w:eastAsia="cs-CZ"/>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06E1968C"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17591DA7" w14:textId="77777777" w:rsidR="00723A23" w:rsidRPr="00723A23" w:rsidRDefault="00723A23" w:rsidP="00723A23">
            <w:pPr>
              <w:rPr>
                <w:rFonts w:ascii="Arial" w:eastAsia="Times New Roman" w:hAnsi="Arial" w:cs="Arial"/>
                <w:b/>
                <w:bCs/>
                <w:color w:val="000000"/>
                <w:sz w:val="14"/>
                <w:szCs w:val="14"/>
                <w:lang w:val="cs-CZ" w:eastAsia="cs-CZ"/>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50D34A43" w14:textId="77777777" w:rsidR="00723A23" w:rsidRPr="00723A23" w:rsidRDefault="00723A23" w:rsidP="00723A23">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54D4C7D4" w14:textId="77777777" w:rsidR="00723A23" w:rsidRPr="00723A23" w:rsidRDefault="00723A23" w:rsidP="00723A23">
            <w:pPr>
              <w:rPr>
                <w:rFonts w:ascii="Arial" w:eastAsia="Times New Roman" w:hAnsi="Arial" w:cs="Arial"/>
                <w:b/>
                <w:bCs/>
                <w:color w:val="000000"/>
                <w:sz w:val="14"/>
                <w:szCs w:val="14"/>
                <w:lang w:val="cs-CZ" w:eastAsia="cs-CZ"/>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0202E18B"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8" w:type="dxa"/>
            <w:gridSpan w:val="11"/>
            <w:tcBorders>
              <w:top w:val="single" w:sz="4" w:space="0" w:color="auto"/>
              <w:left w:val="nil"/>
              <w:bottom w:val="single" w:sz="4" w:space="0" w:color="auto"/>
              <w:right w:val="single" w:sz="4" w:space="0" w:color="auto"/>
            </w:tcBorders>
            <w:shd w:val="clear" w:color="000000" w:fill="FFFFFF"/>
            <w:vAlign w:val="center"/>
            <w:hideMark/>
          </w:tcPr>
          <w:p w14:paraId="4393369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Roční hodnota</w:t>
            </w: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01A1EEF7"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27026F09"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45616DD5"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2" w:type="dxa"/>
            <w:vMerge/>
            <w:tcBorders>
              <w:top w:val="single" w:sz="4" w:space="0" w:color="auto"/>
              <w:left w:val="single" w:sz="4" w:space="0" w:color="auto"/>
              <w:bottom w:val="single" w:sz="4" w:space="0" w:color="auto"/>
              <w:right w:val="single" w:sz="4" w:space="0" w:color="auto"/>
            </w:tcBorders>
            <w:vAlign w:val="center"/>
            <w:hideMark/>
          </w:tcPr>
          <w:p w14:paraId="45BF4E09" w14:textId="77777777" w:rsidR="00723A23" w:rsidRPr="00723A23" w:rsidRDefault="00723A23" w:rsidP="00723A23">
            <w:pPr>
              <w:rPr>
                <w:rFonts w:ascii="Arial" w:eastAsia="Times New Roman" w:hAnsi="Arial" w:cs="Arial"/>
                <w:b/>
                <w:bCs/>
                <w:color w:val="000000"/>
                <w:sz w:val="14"/>
                <w:szCs w:val="14"/>
                <w:lang w:val="cs-CZ" w:eastAsia="cs-CZ"/>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572177F3"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3A038676" w14:textId="77777777" w:rsidR="00723A23" w:rsidRPr="00723A23" w:rsidRDefault="00723A23" w:rsidP="00723A23">
            <w:pPr>
              <w:rPr>
                <w:rFonts w:ascii="Arial" w:eastAsia="Times New Roman" w:hAnsi="Arial" w:cs="Arial"/>
                <w:b/>
                <w:bCs/>
                <w:color w:val="000000"/>
                <w:sz w:val="14"/>
                <w:szCs w:val="14"/>
                <w:lang w:val="cs-CZ" w:eastAsia="cs-CZ"/>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344A26E6" w14:textId="77777777" w:rsidR="00723A23" w:rsidRPr="00723A23" w:rsidRDefault="00723A23" w:rsidP="00723A23">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1BC30AB7" w14:textId="77777777" w:rsidR="00723A23" w:rsidRPr="00723A23" w:rsidRDefault="00723A23" w:rsidP="00723A23">
            <w:pPr>
              <w:rPr>
                <w:rFonts w:ascii="Arial" w:eastAsia="Times New Roman" w:hAnsi="Arial" w:cs="Arial"/>
                <w:b/>
                <w:bCs/>
                <w:color w:val="000000"/>
                <w:sz w:val="14"/>
                <w:szCs w:val="14"/>
                <w:lang w:val="cs-CZ" w:eastAsia="cs-CZ"/>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247EDB0F"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E7E6E6"/>
            <w:vAlign w:val="center"/>
            <w:hideMark/>
          </w:tcPr>
          <w:p w14:paraId="31A69A5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5F7C489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3DFA615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49740F5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047CFE7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4A3B7CE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6733FAB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50272DC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0A14149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3F65E06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57" w:type="dxa"/>
            <w:gridSpan w:val="2"/>
            <w:vMerge/>
            <w:tcBorders>
              <w:top w:val="single" w:sz="4" w:space="0" w:color="auto"/>
              <w:left w:val="single" w:sz="4" w:space="0" w:color="auto"/>
              <w:bottom w:val="single" w:sz="4" w:space="0" w:color="auto"/>
              <w:right w:val="single" w:sz="4" w:space="0" w:color="auto"/>
            </w:tcBorders>
            <w:vAlign w:val="center"/>
            <w:hideMark/>
          </w:tcPr>
          <w:p w14:paraId="425DE40C"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4622BE70"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236A7B79"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2" w:type="dxa"/>
            <w:vMerge/>
            <w:tcBorders>
              <w:top w:val="single" w:sz="4" w:space="0" w:color="auto"/>
              <w:left w:val="single" w:sz="4" w:space="0" w:color="auto"/>
              <w:bottom w:val="single" w:sz="4" w:space="0" w:color="auto"/>
              <w:right w:val="single" w:sz="4" w:space="0" w:color="auto"/>
            </w:tcBorders>
            <w:vAlign w:val="center"/>
            <w:hideMark/>
          </w:tcPr>
          <w:p w14:paraId="470F8435" w14:textId="77777777" w:rsidR="00723A23" w:rsidRPr="00723A23" w:rsidRDefault="00723A23" w:rsidP="00723A23">
            <w:pPr>
              <w:rPr>
                <w:rFonts w:ascii="Arial" w:eastAsia="Times New Roman" w:hAnsi="Arial" w:cs="Arial"/>
                <w:b/>
                <w:bCs/>
                <w:color w:val="000000"/>
                <w:sz w:val="14"/>
                <w:szCs w:val="14"/>
                <w:lang w:val="cs-CZ" w:eastAsia="cs-CZ"/>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394FC863"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44C73D5B" w14:textId="77777777" w:rsidR="00723A23" w:rsidRPr="00723A23" w:rsidRDefault="00723A23" w:rsidP="00723A23">
            <w:pPr>
              <w:rPr>
                <w:rFonts w:ascii="Arial" w:eastAsia="Times New Roman" w:hAnsi="Arial" w:cs="Arial"/>
                <w:b/>
                <w:bCs/>
                <w:color w:val="000000"/>
                <w:sz w:val="14"/>
                <w:szCs w:val="14"/>
                <w:lang w:val="cs-CZ" w:eastAsia="cs-CZ"/>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2A899929" w14:textId="77777777" w:rsidR="00723A23" w:rsidRPr="00723A23" w:rsidRDefault="00723A23" w:rsidP="00723A23">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7BC59035" w14:textId="77777777" w:rsidR="00723A23" w:rsidRPr="00723A23" w:rsidRDefault="00723A23" w:rsidP="00723A23">
            <w:pPr>
              <w:rPr>
                <w:rFonts w:ascii="Arial" w:eastAsia="Times New Roman" w:hAnsi="Arial" w:cs="Arial"/>
                <w:b/>
                <w:bCs/>
                <w:color w:val="000000"/>
                <w:sz w:val="14"/>
                <w:szCs w:val="14"/>
                <w:lang w:val="cs-CZ" w:eastAsia="cs-CZ"/>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653A4B0C"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FFFFFF"/>
            <w:vAlign w:val="center"/>
            <w:hideMark/>
          </w:tcPr>
          <w:p w14:paraId="085DE6B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1568249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57516EB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6A11D1A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48A4C5B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7441D35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1C55DD5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25183A2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2D7AC55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59F0E9F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57" w:type="dxa"/>
            <w:gridSpan w:val="2"/>
            <w:vMerge/>
            <w:tcBorders>
              <w:top w:val="single" w:sz="4" w:space="0" w:color="auto"/>
              <w:left w:val="single" w:sz="4" w:space="0" w:color="auto"/>
              <w:bottom w:val="single" w:sz="4" w:space="0" w:color="auto"/>
              <w:right w:val="single" w:sz="4" w:space="0" w:color="auto"/>
            </w:tcBorders>
            <w:vAlign w:val="center"/>
            <w:hideMark/>
          </w:tcPr>
          <w:p w14:paraId="0A4CFA15"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492CC477"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3DF09B1D"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2" w:type="dxa"/>
            <w:vMerge/>
            <w:tcBorders>
              <w:top w:val="single" w:sz="4" w:space="0" w:color="auto"/>
              <w:left w:val="single" w:sz="4" w:space="0" w:color="auto"/>
              <w:bottom w:val="single" w:sz="4" w:space="0" w:color="auto"/>
              <w:right w:val="single" w:sz="4" w:space="0" w:color="auto"/>
            </w:tcBorders>
            <w:vAlign w:val="center"/>
            <w:hideMark/>
          </w:tcPr>
          <w:p w14:paraId="527B8BDD" w14:textId="77777777" w:rsidR="00723A23" w:rsidRPr="00723A23" w:rsidRDefault="00723A23" w:rsidP="00723A23">
            <w:pPr>
              <w:rPr>
                <w:rFonts w:ascii="Arial" w:eastAsia="Times New Roman" w:hAnsi="Arial" w:cs="Arial"/>
                <w:b/>
                <w:bCs/>
                <w:color w:val="000000"/>
                <w:sz w:val="14"/>
                <w:szCs w:val="14"/>
                <w:lang w:val="cs-CZ" w:eastAsia="cs-CZ"/>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68B17F70"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7C72E9F0" w14:textId="77777777" w:rsidR="00723A23" w:rsidRPr="00723A23" w:rsidRDefault="00723A23" w:rsidP="00723A23">
            <w:pPr>
              <w:rPr>
                <w:rFonts w:ascii="Arial" w:eastAsia="Times New Roman" w:hAnsi="Arial" w:cs="Arial"/>
                <w:b/>
                <w:bCs/>
                <w:color w:val="000000"/>
                <w:sz w:val="14"/>
                <w:szCs w:val="14"/>
                <w:lang w:val="cs-CZ" w:eastAsia="cs-CZ"/>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5F859EDC" w14:textId="77777777" w:rsidR="00723A23" w:rsidRPr="00723A23" w:rsidRDefault="00723A23" w:rsidP="00723A23">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242C55BC" w14:textId="77777777" w:rsidR="00723A23" w:rsidRPr="00723A23" w:rsidRDefault="00723A23" w:rsidP="00723A23">
            <w:pPr>
              <w:rPr>
                <w:rFonts w:ascii="Arial" w:eastAsia="Times New Roman" w:hAnsi="Arial" w:cs="Arial"/>
                <w:b/>
                <w:bCs/>
                <w:color w:val="000000"/>
                <w:sz w:val="14"/>
                <w:szCs w:val="14"/>
                <w:lang w:val="cs-CZ" w:eastAsia="cs-CZ"/>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53E1D1C8"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FFFFFF"/>
            <w:vAlign w:val="center"/>
            <w:hideMark/>
          </w:tcPr>
          <w:p w14:paraId="1939C03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5790FB8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700DCD7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5C91531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4E2E283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5BC9DE6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6A6540F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497A757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79F9040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611BC04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57" w:type="dxa"/>
            <w:gridSpan w:val="2"/>
            <w:vMerge/>
            <w:tcBorders>
              <w:top w:val="single" w:sz="4" w:space="0" w:color="auto"/>
              <w:left w:val="single" w:sz="4" w:space="0" w:color="auto"/>
              <w:bottom w:val="single" w:sz="4" w:space="0" w:color="auto"/>
              <w:right w:val="single" w:sz="4" w:space="0" w:color="auto"/>
            </w:tcBorders>
            <w:vAlign w:val="center"/>
            <w:hideMark/>
          </w:tcPr>
          <w:p w14:paraId="00AB5D73"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37675FC8"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5579F235"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2" w:type="dxa"/>
            <w:vMerge/>
            <w:tcBorders>
              <w:top w:val="single" w:sz="4" w:space="0" w:color="auto"/>
              <w:left w:val="single" w:sz="4" w:space="0" w:color="auto"/>
              <w:bottom w:val="single" w:sz="4" w:space="0" w:color="auto"/>
              <w:right w:val="single" w:sz="4" w:space="0" w:color="auto"/>
            </w:tcBorders>
            <w:vAlign w:val="center"/>
            <w:hideMark/>
          </w:tcPr>
          <w:p w14:paraId="424DAC8D" w14:textId="77777777" w:rsidR="00723A23" w:rsidRPr="00723A23" w:rsidRDefault="00723A23" w:rsidP="00723A23">
            <w:pPr>
              <w:rPr>
                <w:rFonts w:ascii="Arial" w:eastAsia="Times New Roman" w:hAnsi="Arial" w:cs="Arial"/>
                <w:b/>
                <w:bCs/>
                <w:color w:val="000000"/>
                <w:sz w:val="14"/>
                <w:szCs w:val="14"/>
                <w:lang w:val="cs-CZ" w:eastAsia="cs-CZ"/>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38E17A22"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3D174D2F" w14:textId="77777777" w:rsidR="00723A23" w:rsidRPr="00723A23" w:rsidRDefault="00723A23" w:rsidP="00723A23">
            <w:pPr>
              <w:rPr>
                <w:rFonts w:ascii="Arial" w:eastAsia="Times New Roman" w:hAnsi="Arial" w:cs="Arial"/>
                <w:b/>
                <w:bCs/>
                <w:color w:val="000000"/>
                <w:sz w:val="14"/>
                <w:szCs w:val="14"/>
                <w:lang w:val="cs-CZ" w:eastAsia="cs-CZ"/>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41F8CDF4" w14:textId="77777777" w:rsidR="00723A23" w:rsidRPr="00723A23" w:rsidRDefault="00723A23" w:rsidP="00723A23">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0101E73B" w14:textId="77777777" w:rsidR="00723A23" w:rsidRPr="00723A23" w:rsidRDefault="00723A23" w:rsidP="00723A23">
            <w:pPr>
              <w:rPr>
                <w:rFonts w:ascii="Arial" w:eastAsia="Times New Roman" w:hAnsi="Arial" w:cs="Arial"/>
                <w:b/>
                <w:bCs/>
                <w:color w:val="000000"/>
                <w:sz w:val="14"/>
                <w:szCs w:val="14"/>
                <w:lang w:val="cs-CZ" w:eastAsia="cs-CZ"/>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411070E4" w14:textId="77777777" w:rsidR="00723A23" w:rsidRPr="00723A23" w:rsidRDefault="00723A23" w:rsidP="00723A23">
            <w:pPr>
              <w:rPr>
                <w:rFonts w:ascii="Arial" w:eastAsia="Times New Roman" w:hAnsi="Arial" w:cs="Arial"/>
                <w:b/>
                <w:bCs/>
                <w:color w:val="000000"/>
                <w:sz w:val="14"/>
                <w:szCs w:val="14"/>
                <w:lang w:val="cs-CZ" w:eastAsia="cs-CZ"/>
              </w:rPr>
            </w:pPr>
          </w:p>
        </w:tc>
        <w:tc>
          <w:tcPr>
            <w:tcW w:w="7988" w:type="dxa"/>
            <w:gridSpan w:val="11"/>
            <w:tcBorders>
              <w:top w:val="single" w:sz="4" w:space="0" w:color="auto"/>
              <w:left w:val="nil"/>
              <w:bottom w:val="single" w:sz="4" w:space="0" w:color="auto"/>
              <w:right w:val="single" w:sz="4" w:space="0" w:color="auto"/>
            </w:tcBorders>
            <w:shd w:val="clear" w:color="000000" w:fill="FFFFFF"/>
            <w:vAlign w:val="center"/>
            <w:hideMark/>
          </w:tcPr>
          <w:p w14:paraId="2EC7A5F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Kumulativní hodnota</w:t>
            </w: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C377A9B"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01197462"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13D23C79"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2" w:type="dxa"/>
            <w:vMerge/>
            <w:tcBorders>
              <w:top w:val="single" w:sz="4" w:space="0" w:color="auto"/>
              <w:left w:val="single" w:sz="4" w:space="0" w:color="auto"/>
              <w:bottom w:val="single" w:sz="4" w:space="0" w:color="auto"/>
              <w:right w:val="single" w:sz="4" w:space="0" w:color="auto"/>
            </w:tcBorders>
            <w:vAlign w:val="center"/>
            <w:hideMark/>
          </w:tcPr>
          <w:p w14:paraId="0366A602" w14:textId="77777777" w:rsidR="00723A23" w:rsidRPr="00723A23" w:rsidRDefault="00723A23" w:rsidP="00723A23">
            <w:pPr>
              <w:rPr>
                <w:rFonts w:ascii="Arial" w:eastAsia="Times New Roman" w:hAnsi="Arial" w:cs="Arial"/>
                <w:b/>
                <w:bCs/>
                <w:color w:val="000000"/>
                <w:sz w:val="14"/>
                <w:szCs w:val="14"/>
                <w:lang w:val="cs-CZ" w:eastAsia="cs-CZ"/>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13FB491C"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2A307B5C" w14:textId="77777777" w:rsidR="00723A23" w:rsidRPr="00723A23" w:rsidRDefault="00723A23" w:rsidP="00723A23">
            <w:pPr>
              <w:rPr>
                <w:rFonts w:ascii="Arial" w:eastAsia="Times New Roman" w:hAnsi="Arial" w:cs="Arial"/>
                <w:b/>
                <w:bCs/>
                <w:color w:val="000000"/>
                <w:sz w:val="14"/>
                <w:szCs w:val="14"/>
                <w:lang w:val="cs-CZ" w:eastAsia="cs-CZ"/>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20F93724" w14:textId="77777777" w:rsidR="00723A23" w:rsidRPr="00723A23" w:rsidRDefault="00723A23" w:rsidP="00723A23">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13C514D5" w14:textId="77777777" w:rsidR="00723A23" w:rsidRPr="00723A23" w:rsidRDefault="00723A23" w:rsidP="00723A23">
            <w:pPr>
              <w:rPr>
                <w:rFonts w:ascii="Arial" w:eastAsia="Times New Roman" w:hAnsi="Arial" w:cs="Arial"/>
                <w:b/>
                <w:bCs/>
                <w:color w:val="000000"/>
                <w:sz w:val="14"/>
                <w:szCs w:val="14"/>
                <w:lang w:val="cs-CZ" w:eastAsia="cs-CZ"/>
              </w:rPr>
            </w:pPr>
          </w:p>
        </w:tc>
        <w:tc>
          <w:tcPr>
            <w:tcW w:w="702" w:type="dxa"/>
            <w:tcBorders>
              <w:top w:val="nil"/>
              <w:left w:val="nil"/>
              <w:bottom w:val="single" w:sz="4" w:space="0" w:color="auto"/>
              <w:right w:val="single" w:sz="4" w:space="0" w:color="auto"/>
            </w:tcBorders>
            <w:shd w:val="clear" w:color="000000" w:fill="E7E6E6"/>
            <w:vAlign w:val="center"/>
            <w:hideMark/>
          </w:tcPr>
          <w:p w14:paraId="0ABCDE1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0A9FC58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2E68E0D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0885B4E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0C79C8E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371C13B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4B2E15B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4205234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5A27C51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42C1032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98" w:type="dxa"/>
            <w:tcBorders>
              <w:top w:val="nil"/>
              <w:left w:val="nil"/>
              <w:bottom w:val="single" w:sz="4" w:space="0" w:color="auto"/>
              <w:right w:val="single" w:sz="4" w:space="0" w:color="auto"/>
            </w:tcBorders>
            <w:shd w:val="clear" w:color="000000" w:fill="E7E6E6"/>
            <w:vAlign w:val="center"/>
            <w:hideMark/>
          </w:tcPr>
          <w:p w14:paraId="01A3F74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757" w:type="dxa"/>
            <w:gridSpan w:val="2"/>
            <w:tcBorders>
              <w:top w:val="nil"/>
              <w:left w:val="nil"/>
              <w:bottom w:val="single" w:sz="4" w:space="0" w:color="auto"/>
              <w:right w:val="single" w:sz="4" w:space="0" w:color="auto"/>
            </w:tcBorders>
            <w:shd w:val="clear" w:color="000000" w:fill="E7E6E6"/>
            <w:vAlign w:val="center"/>
            <w:hideMark/>
          </w:tcPr>
          <w:p w14:paraId="0A51D9B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r>
      <w:tr w:rsidR="00723A23" w:rsidRPr="00723A23" w14:paraId="01A3B66D"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4892961A"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2" w:type="dxa"/>
            <w:vMerge/>
            <w:tcBorders>
              <w:top w:val="single" w:sz="4" w:space="0" w:color="auto"/>
              <w:left w:val="single" w:sz="4" w:space="0" w:color="auto"/>
              <w:bottom w:val="single" w:sz="4" w:space="0" w:color="auto"/>
              <w:right w:val="single" w:sz="4" w:space="0" w:color="auto"/>
            </w:tcBorders>
            <w:vAlign w:val="center"/>
            <w:hideMark/>
          </w:tcPr>
          <w:p w14:paraId="3A953202" w14:textId="77777777" w:rsidR="00723A23" w:rsidRPr="00723A23" w:rsidRDefault="00723A23" w:rsidP="00723A23">
            <w:pPr>
              <w:rPr>
                <w:rFonts w:ascii="Arial" w:eastAsia="Times New Roman" w:hAnsi="Arial" w:cs="Arial"/>
                <w:b/>
                <w:bCs/>
                <w:color w:val="000000"/>
                <w:sz w:val="14"/>
                <w:szCs w:val="14"/>
                <w:lang w:val="cs-CZ" w:eastAsia="cs-CZ"/>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08AC5A29"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570B8BCB" w14:textId="77777777" w:rsidR="00723A23" w:rsidRPr="00723A23" w:rsidRDefault="00723A23" w:rsidP="00723A23">
            <w:pPr>
              <w:rPr>
                <w:rFonts w:ascii="Arial" w:eastAsia="Times New Roman" w:hAnsi="Arial" w:cs="Arial"/>
                <w:b/>
                <w:bCs/>
                <w:color w:val="000000"/>
                <w:sz w:val="14"/>
                <w:szCs w:val="14"/>
                <w:lang w:val="cs-CZ" w:eastAsia="cs-CZ"/>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70FECDB9" w14:textId="77777777" w:rsidR="00723A23" w:rsidRPr="00723A23" w:rsidRDefault="00723A23" w:rsidP="00723A23">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7A273062" w14:textId="77777777" w:rsidR="00723A23" w:rsidRPr="00723A23" w:rsidRDefault="00723A23" w:rsidP="00723A23">
            <w:pPr>
              <w:rPr>
                <w:rFonts w:ascii="Arial" w:eastAsia="Times New Roman" w:hAnsi="Arial" w:cs="Arial"/>
                <w:b/>
                <w:bCs/>
                <w:color w:val="000000"/>
                <w:sz w:val="14"/>
                <w:szCs w:val="14"/>
                <w:lang w:val="cs-CZ" w:eastAsia="cs-CZ"/>
              </w:rPr>
            </w:pPr>
          </w:p>
        </w:tc>
        <w:tc>
          <w:tcPr>
            <w:tcW w:w="702" w:type="dxa"/>
            <w:tcBorders>
              <w:top w:val="nil"/>
              <w:left w:val="nil"/>
              <w:bottom w:val="single" w:sz="4" w:space="0" w:color="auto"/>
              <w:right w:val="single" w:sz="4" w:space="0" w:color="auto"/>
            </w:tcBorders>
            <w:shd w:val="clear" w:color="000000" w:fill="FFFFFF"/>
            <w:vAlign w:val="center"/>
            <w:hideMark/>
          </w:tcPr>
          <w:p w14:paraId="4C781B4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36BC7B5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77D4AA0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348C685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098BFE0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5A9CB79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493B26E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7D4FE44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7CF53D6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6741688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000000" w:fill="FFFFFF"/>
            <w:vAlign w:val="center"/>
            <w:hideMark/>
          </w:tcPr>
          <w:p w14:paraId="5353708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757" w:type="dxa"/>
            <w:gridSpan w:val="2"/>
            <w:tcBorders>
              <w:top w:val="nil"/>
              <w:left w:val="nil"/>
              <w:bottom w:val="single" w:sz="4" w:space="0" w:color="auto"/>
              <w:right w:val="single" w:sz="4" w:space="0" w:color="auto"/>
            </w:tcBorders>
            <w:shd w:val="clear" w:color="000000" w:fill="FFFFFF"/>
            <w:vAlign w:val="center"/>
            <w:hideMark/>
          </w:tcPr>
          <w:p w14:paraId="431116C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r>
      <w:tr w:rsidR="00723A23" w:rsidRPr="00723A23" w14:paraId="4EC0FDE4"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009A16D1" w14:textId="77777777" w:rsidR="00723A23" w:rsidRPr="00723A23" w:rsidRDefault="00723A23" w:rsidP="00723A23">
            <w:pPr>
              <w:rPr>
                <w:rFonts w:ascii="Arial" w:eastAsia="Times New Roman" w:hAnsi="Arial" w:cs="Arial"/>
                <w:b/>
                <w:bCs/>
                <w:color w:val="000000"/>
                <w:sz w:val="14"/>
                <w:szCs w:val="14"/>
                <w:lang w:val="cs-CZ" w:eastAsia="cs-CZ"/>
              </w:rPr>
            </w:pPr>
          </w:p>
        </w:tc>
        <w:tc>
          <w:tcPr>
            <w:tcW w:w="2442" w:type="dxa"/>
            <w:vMerge/>
            <w:tcBorders>
              <w:top w:val="single" w:sz="4" w:space="0" w:color="auto"/>
              <w:left w:val="single" w:sz="4" w:space="0" w:color="auto"/>
              <w:bottom w:val="single" w:sz="4" w:space="0" w:color="auto"/>
              <w:right w:val="single" w:sz="4" w:space="0" w:color="auto"/>
            </w:tcBorders>
            <w:vAlign w:val="center"/>
            <w:hideMark/>
          </w:tcPr>
          <w:p w14:paraId="326A11A4" w14:textId="77777777" w:rsidR="00723A23" w:rsidRPr="00723A23" w:rsidRDefault="00723A23" w:rsidP="00723A23">
            <w:pPr>
              <w:rPr>
                <w:rFonts w:ascii="Arial" w:eastAsia="Times New Roman" w:hAnsi="Arial" w:cs="Arial"/>
                <w:b/>
                <w:bCs/>
                <w:color w:val="000000"/>
                <w:sz w:val="14"/>
                <w:szCs w:val="14"/>
                <w:lang w:val="cs-CZ" w:eastAsia="cs-CZ"/>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14:paraId="2A338B05"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1669001F" w14:textId="77777777" w:rsidR="00723A23" w:rsidRPr="00723A23" w:rsidRDefault="00723A23" w:rsidP="00723A23">
            <w:pPr>
              <w:rPr>
                <w:rFonts w:ascii="Arial" w:eastAsia="Times New Roman" w:hAnsi="Arial" w:cs="Arial"/>
                <w:b/>
                <w:bCs/>
                <w:color w:val="000000"/>
                <w:sz w:val="14"/>
                <w:szCs w:val="14"/>
                <w:lang w:val="cs-CZ" w:eastAsia="cs-CZ"/>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5536510E" w14:textId="77777777" w:rsidR="00723A23" w:rsidRPr="00723A23" w:rsidRDefault="00723A23" w:rsidP="00723A23">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1FD07997" w14:textId="77777777" w:rsidR="00723A23" w:rsidRPr="00723A23" w:rsidRDefault="00723A23" w:rsidP="00723A23">
            <w:pPr>
              <w:rPr>
                <w:rFonts w:ascii="Arial" w:eastAsia="Times New Roman" w:hAnsi="Arial" w:cs="Arial"/>
                <w:b/>
                <w:bCs/>
                <w:color w:val="000000"/>
                <w:sz w:val="14"/>
                <w:szCs w:val="14"/>
                <w:lang w:val="cs-CZ" w:eastAsia="cs-CZ"/>
              </w:rPr>
            </w:pPr>
          </w:p>
        </w:tc>
        <w:tc>
          <w:tcPr>
            <w:tcW w:w="702" w:type="dxa"/>
            <w:tcBorders>
              <w:top w:val="nil"/>
              <w:left w:val="nil"/>
              <w:bottom w:val="single" w:sz="4" w:space="0" w:color="auto"/>
              <w:right w:val="single" w:sz="4" w:space="0" w:color="auto"/>
            </w:tcBorders>
            <w:shd w:val="clear" w:color="000000" w:fill="FFFFFF"/>
            <w:vAlign w:val="center"/>
            <w:hideMark/>
          </w:tcPr>
          <w:p w14:paraId="1BD55C7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6348129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5EFD5BB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38B4F5F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114CE73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4E4DE9D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1E10A8E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002DABC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7323815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3425486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000000" w:fill="FFFFFF"/>
            <w:vAlign w:val="center"/>
            <w:hideMark/>
          </w:tcPr>
          <w:p w14:paraId="1557C4B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757" w:type="dxa"/>
            <w:gridSpan w:val="2"/>
            <w:tcBorders>
              <w:top w:val="nil"/>
              <w:left w:val="nil"/>
              <w:bottom w:val="single" w:sz="4" w:space="0" w:color="auto"/>
              <w:right w:val="single" w:sz="4" w:space="0" w:color="auto"/>
            </w:tcBorders>
            <w:shd w:val="clear" w:color="000000" w:fill="FFFFFF"/>
            <w:vAlign w:val="center"/>
            <w:hideMark/>
          </w:tcPr>
          <w:p w14:paraId="6322F29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r>
      <w:tr w:rsidR="00723A23" w:rsidRPr="00723A23" w14:paraId="38318C94" w14:textId="77777777" w:rsidTr="00FA0609">
        <w:trPr>
          <w:trHeight w:val="20"/>
        </w:trPr>
        <w:tc>
          <w:tcPr>
            <w:tcW w:w="5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D903C5"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62010</w:t>
            </w:r>
          </w:p>
        </w:tc>
        <w:tc>
          <w:tcPr>
            <w:tcW w:w="244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7284A5"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Populace zasažená aktivitou na podporu sociálního dialogu</w:t>
            </w:r>
          </w:p>
        </w:tc>
        <w:tc>
          <w:tcPr>
            <w:tcW w:w="4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576CE2"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ESF</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F8E3C1"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Méně rozvinuté regiony</w:t>
            </w:r>
          </w:p>
        </w:tc>
        <w:tc>
          <w:tcPr>
            <w:tcW w:w="79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B465228"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Osoby</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CAA9B8"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2"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10DD9B9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437,000</w:t>
            </w:r>
          </w:p>
        </w:tc>
        <w:tc>
          <w:tcPr>
            <w:tcW w:w="798" w:type="dxa"/>
            <w:tcBorders>
              <w:top w:val="nil"/>
              <w:left w:val="nil"/>
              <w:bottom w:val="single" w:sz="4" w:space="0" w:color="auto"/>
              <w:right w:val="single" w:sz="4" w:space="0" w:color="auto"/>
            </w:tcBorders>
            <w:shd w:val="clear" w:color="000000" w:fill="E0E0E0"/>
            <w:vAlign w:val="center"/>
            <w:hideMark/>
          </w:tcPr>
          <w:p w14:paraId="20A6959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798" w:type="dxa"/>
            <w:tcBorders>
              <w:top w:val="nil"/>
              <w:left w:val="nil"/>
              <w:bottom w:val="single" w:sz="4" w:space="0" w:color="auto"/>
              <w:right w:val="single" w:sz="4" w:space="0" w:color="auto"/>
            </w:tcBorders>
            <w:shd w:val="clear" w:color="000000" w:fill="E0E0E0"/>
            <w:vAlign w:val="center"/>
            <w:hideMark/>
          </w:tcPr>
          <w:p w14:paraId="31C6BD3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798" w:type="dxa"/>
            <w:tcBorders>
              <w:top w:val="nil"/>
              <w:left w:val="nil"/>
              <w:bottom w:val="single" w:sz="4" w:space="0" w:color="auto"/>
              <w:right w:val="single" w:sz="4" w:space="0" w:color="auto"/>
            </w:tcBorders>
            <w:shd w:val="clear" w:color="000000" w:fill="E0E0E0"/>
            <w:vAlign w:val="center"/>
            <w:hideMark/>
          </w:tcPr>
          <w:p w14:paraId="3055D99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483,156</w:t>
            </w:r>
          </w:p>
        </w:tc>
        <w:tc>
          <w:tcPr>
            <w:tcW w:w="798" w:type="dxa"/>
            <w:tcBorders>
              <w:top w:val="nil"/>
              <w:left w:val="nil"/>
              <w:bottom w:val="single" w:sz="4" w:space="0" w:color="auto"/>
              <w:right w:val="single" w:sz="4" w:space="0" w:color="auto"/>
            </w:tcBorders>
            <w:shd w:val="clear" w:color="000000" w:fill="E0E0E0"/>
            <w:vAlign w:val="center"/>
            <w:hideMark/>
          </w:tcPr>
          <w:p w14:paraId="688A7F2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2 663,310</w:t>
            </w:r>
          </w:p>
        </w:tc>
        <w:tc>
          <w:tcPr>
            <w:tcW w:w="798" w:type="dxa"/>
            <w:tcBorders>
              <w:top w:val="nil"/>
              <w:left w:val="nil"/>
              <w:bottom w:val="single" w:sz="4" w:space="0" w:color="auto"/>
              <w:right w:val="single" w:sz="4" w:space="0" w:color="auto"/>
            </w:tcBorders>
            <w:shd w:val="clear" w:color="000000" w:fill="E0E0E0"/>
            <w:vAlign w:val="center"/>
            <w:hideMark/>
          </w:tcPr>
          <w:p w14:paraId="243CE59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3 846,630</w:t>
            </w:r>
          </w:p>
        </w:tc>
        <w:tc>
          <w:tcPr>
            <w:tcW w:w="798" w:type="dxa"/>
            <w:tcBorders>
              <w:top w:val="nil"/>
              <w:left w:val="nil"/>
              <w:bottom w:val="single" w:sz="4" w:space="0" w:color="auto"/>
              <w:right w:val="single" w:sz="4" w:space="0" w:color="auto"/>
            </w:tcBorders>
            <w:shd w:val="clear" w:color="000000" w:fill="E0E0E0"/>
            <w:vAlign w:val="center"/>
            <w:hideMark/>
          </w:tcPr>
          <w:p w14:paraId="4F3FC2D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1 751,760</w:t>
            </w:r>
          </w:p>
        </w:tc>
        <w:tc>
          <w:tcPr>
            <w:tcW w:w="798" w:type="dxa"/>
            <w:tcBorders>
              <w:top w:val="nil"/>
              <w:left w:val="nil"/>
              <w:bottom w:val="single" w:sz="4" w:space="0" w:color="auto"/>
              <w:right w:val="single" w:sz="4" w:space="0" w:color="auto"/>
            </w:tcBorders>
            <w:shd w:val="clear" w:color="000000" w:fill="E0E0E0"/>
            <w:vAlign w:val="center"/>
            <w:hideMark/>
          </w:tcPr>
          <w:p w14:paraId="5C21AF4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0E0E0"/>
            <w:vAlign w:val="center"/>
            <w:hideMark/>
          </w:tcPr>
          <w:p w14:paraId="134E317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39CBEFE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5FBE622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25C9579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2 001,112</w:t>
            </w:r>
          </w:p>
        </w:tc>
      </w:tr>
      <w:tr w:rsidR="00723A23" w:rsidRPr="00723A23" w14:paraId="4DDC553B"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FEACC00"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4DA10BB8"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364B6504"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056F15C3"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11A27C03"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17C2BF9"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vMerge/>
            <w:tcBorders>
              <w:top w:val="nil"/>
              <w:left w:val="single" w:sz="4" w:space="0" w:color="auto"/>
              <w:bottom w:val="single" w:sz="4" w:space="0" w:color="000000"/>
              <w:right w:val="single" w:sz="4" w:space="0" w:color="auto"/>
            </w:tcBorders>
            <w:vAlign w:val="center"/>
            <w:hideMark/>
          </w:tcPr>
          <w:p w14:paraId="33AFC1BB"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FFFFFF"/>
            <w:vAlign w:val="center"/>
            <w:hideMark/>
          </w:tcPr>
          <w:p w14:paraId="78A7E75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C62EE9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A67E59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EE0417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C3CBAD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20D7A11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0B4AEB6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435D3A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300512C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4DADE16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vMerge/>
            <w:tcBorders>
              <w:top w:val="nil"/>
              <w:left w:val="single" w:sz="4" w:space="0" w:color="auto"/>
              <w:bottom w:val="single" w:sz="4" w:space="0" w:color="000000"/>
              <w:right w:val="single" w:sz="4" w:space="0" w:color="auto"/>
            </w:tcBorders>
            <w:vAlign w:val="center"/>
            <w:hideMark/>
          </w:tcPr>
          <w:p w14:paraId="22AC7A4B"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5356B1B1"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18BE84F0"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5FFEB01F"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48B7734C"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40CF02E0"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60AE242A"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13AE4277"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vMerge/>
            <w:tcBorders>
              <w:top w:val="nil"/>
              <w:left w:val="single" w:sz="4" w:space="0" w:color="auto"/>
              <w:bottom w:val="single" w:sz="4" w:space="0" w:color="000000"/>
              <w:right w:val="single" w:sz="4" w:space="0" w:color="auto"/>
            </w:tcBorders>
            <w:vAlign w:val="center"/>
            <w:hideMark/>
          </w:tcPr>
          <w:p w14:paraId="1F389597"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FFFFFF"/>
            <w:vAlign w:val="center"/>
            <w:hideMark/>
          </w:tcPr>
          <w:p w14:paraId="58CF8AD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2D0E0A7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0EB3243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0981D87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559BEF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6F0102D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14D6F9E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163CE55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3935E6D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63E6539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vMerge/>
            <w:tcBorders>
              <w:top w:val="nil"/>
              <w:left w:val="single" w:sz="4" w:space="0" w:color="auto"/>
              <w:bottom w:val="single" w:sz="4" w:space="0" w:color="000000"/>
              <w:right w:val="single" w:sz="4" w:space="0" w:color="auto"/>
            </w:tcBorders>
            <w:vAlign w:val="center"/>
            <w:hideMark/>
          </w:tcPr>
          <w:p w14:paraId="1622E277"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51214FE2"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3FEBB190"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5007A81E"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50C979B0"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5C4E3944"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3FF7C7DC"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1FBB1AD1"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vMerge/>
            <w:tcBorders>
              <w:top w:val="nil"/>
              <w:left w:val="single" w:sz="4" w:space="0" w:color="auto"/>
              <w:bottom w:val="single" w:sz="4" w:space="0" w:color="000000"/>
              <w:right w:val="single" w:sz="4" w:space="0" w:color="auto"/>
            </w:tcBorders>
            <w:vAlign w:val="center"/>
            <w:hideMark/>
          </w:tcPr>
          <w:p w14:paraId="680079DF"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E0E0E0"/>
            <w:vAlign w:val="center"/>
            <w:hideMark/>
          </w:tcPr>
          <w:p w14:paraId="755057D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798" w:type="dxa"/>
            <w:tcBorders>
              <w:top w:val="nil"/>
              <w:left w:val="nil"/>
              <w:bottom w:val="single" w:sz="4" w:space="0" w:color="auto"/>
              <w:right w:val="single" w:sz="4" w:space="0" w:color="auto"/>
            </w:tcBorders>
            <w:shd w:val="clear" w:color="000000" w:fill="E0E0E0"/>
            <w:vAlign w:val="center"/>
            <w:hideMark/>
          </w:tcPr>
          <w:p w14:paraId="2645FE2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798" w:type="dxa"/>
            <w:tcBorders>
              <w:top w:val="nil"/>
              <w:left w:val="nil"/>
              <w:bottom w:val="single" w:sz="4" w:space="0" w:color="auto"/>
              <w:right w:val="single" w:sz="4" w:space="0" w:color="auto"/>
            </w:tcBorders>
            <w:shd w:val="clear" w:color="000000" w:fill="E0E0E0"/>
            <w:vAlign w:val="center"/>
            <w:hideMark/>
          </w:tcPr>
          <w:p w14:paraId="66335F7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483,156</w:t>
            </w:r>
          </w:p>
        </w:tc>
        <w:tc>
          <w:tcPr>
            <w:tcW w:w="798" w:type="dxa"/>
            <w:tcBorders>
              <w:top w:val="nil"/>
              <w:left w:val="nil"/>
              <w:bottom w:val="single" w:sz="4" w:space="0" w:color="auto"/>
              <w:right w:val="single" w:sz="4" w:space="0" w:color="auto"/>
            </w:tcBorders>
            <w:shd w:val="clear" w:color="000000" w:fill="E0E0E0"/>
            <w:vAlign w:val="center"/>
            <w:hideMark/>
          </w:tcPr>
          <w:p w14:paraId="5BE1BDB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3 146,470</w:t>
            </w:r>
          </w:p>
        </w:tc>
        <w:tc>
          <w:tcPr>
            <w:tcW w:w="798" w:type="dxa"/>
            <w:tcBorders>
              <w:top w:val="nil"/>
              <w:left w:val="nil"/>
              <w:bottom w:val="single" w:sz="4" w:space="0" w:color="auto"/>
              <w:right w:val="single" w:sz="4" w:space="0" w:color="auto"/>
            </w:tcBorders>
            <w:shd w:val="clear" w:color="000000" w:fill="E0E0E0"/>
            <w:vAlign w:val="center"/>
            <w:hideMark/>
          </w:tcPr>
          <w:p w14:paraId="7E37970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6 993,100</w:t>
            </w:r>
          </w:p>
        </w:tc>
        <w:tc>
          <w:tcPr>
            <w:tcW w:w="798" w:type="dxa"/>
            <w:tcBorders>
              <w:top w:val="nil"/>
              <w:left w:val="nil"/>
              <w:bottom w:val="single" w:sz="4" w:space="0" w:color="auto"/>
              <w:right w:val="single" w:sz="4" w:space="0" w:color="auto"/>
            </w:tcBorders>
            <w:shd w:val="clear" w:color="000000" w:fill="E0E0E0"/>
            <w:vAlign w:val="center"/>
            <w:hideMark/>
          </w:tcPr>
          <w:p w14:paraId="35AAC6C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8 744,860</w:t>
            </w:r>
          </w:p>
        </w:tc>
        <w:tc>
          <w:tcPr>
            <w:tcW w:w="798" w:type="dxa"/>
            <w:tcBorders>
              <w:top w:val="nil"/>
              <w:left w:val="nil"/>
              <w:bottom w:val="single" w:sz="4" w:space="0" w:color="auto"/>
              <w:right w:val="single" w:sz="4" w:space="0" w:color="auto"/>
            </w:tcBorders>
            <w:shd w:val="clear" w:color="000000" w:fill="E7E6E6"/>
            <w:vAlign w:val="center"/>
            <w:hideMark/>
          </w:tcPr>
          <w:p w14:paraId="7399BB0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6BA9E95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7069A61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20169BF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vMerge/>
            <w:tcBorders>
              <w:top w:val="nil"/>
              <w:left w:val="single" w:sz="4" w:space="0" w:color="auto"/>
              <w:bottom w:val="single" w:sz="4" w:space="0" w:color="000000"/>
              <w:right w:val="single" w:sz="4" w:space="0" w:color="auto"/>
            </w:tcBorders>
            <w:vAlign w:val="center"/>
            <w:hideMark/>
          </w:tcPr>
          <w:p w14:paraId="1E698508"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5FFFBA27"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060271FD"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26DBA511"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535852D1"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7E6E0D5D"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5F03A923"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A7C8366"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tcBorders>
              <w:top w:val="nil"/>
              <w:left w:val="nil"/>
              <w:bottom w:val="single" w:sz="4" w:space="0" w:color="auto"/>
              <w:right w:val="single" w:sz="4" w:space="0" w:color="auto"/>
            </w:tcBorders>
            <w:shd w:val="clear" w:color="auto" w:fill="auto"/>
            <w:vAlign w:val="center"/>
            <w:hideMark/>
          </w:tcPr>
          <w:p w14:paraId="05C9B82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6AB3AD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1FD0F3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43C906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27CDC2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B17372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4ABFC0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4F18EF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206401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4D5B28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52FE9B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tcBorders>
              <w:top w:val="nil"/>
              <w:left w:val="nil"/>
              <w:bottom w:val="single" w:sz="4" w:space="0" w:color="auto"/>
              <w:right w:val="single" w:sz="4" w:space="0" w:color="auto"/>
            </w:tcBorders>
            <w:shd w:val="clear" w:color="auto" w:fill="auto"/>
            <w:vAlign w:val="center"/>
            <w:hideMark/>
          </w:tcPr>
          <w:p w14:paraId="5A25321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75B1A854"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70955889"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2C726EF7"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3D17C27D"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538CF732"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61F4256F"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6E4CFF38"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tcBorders>
              <w:top w:val="nil"/>
              <w:left w:val="nil"/>
              <w:bottom w:val="single" w:sz="4" w:space="0" w:color="auto"/>
              <w:right w:val="single" w:sz="4" w:space="0" w:color="auto"/>
            </w:tcBorders>
            <w:shd w:val="clear" w:color="auto" w:fill="auto"/>
            <w:vAlign w:val="center"/>
            <w:hideMark/>
          </w:tcPr>
          <w:p w14:paraId="1AE7F6C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FF2749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36F0E2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67EFDC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0DBA98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6040DF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497A53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8AA7CC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F814BD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E481CE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F89858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tcBorders>
              <w:top w:val="nil"/>
              <w:left w:val="nil"/>
              <w:bottom w:val="single" w:sz="4" w:space="0" w:color="auto"/>
              <w:right w:val="single" w:sz="4" w:space="0" w:color="auto"/>
            </w:tcBorders>
            <w:shd w:val="clear" w:color="auto" w:fill="auto"/>
            <w:vAlign w:val="center"/>
            <w:hideMark/>
          </w:tcPr>
          <w:p w14:paraId="59D5AF4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76DB905F" w14:textId="77777777" w:rsidTr="00FA0609">
        <w:trPr>
          <w:trHeight w:val="20"/>
        </w:trPr>
        <w:tc>
          <w:tcPr>
            <w:tcW w:w="5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939C8C"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62010</w:t>
            </w:r>
          </w:p>
        </w:tc>
        <w:tc>
          <w:tcPr>
            <w:tcW w:w="244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E96E6B"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Populace zasažená aktivitou na podporu sociálního dialogu</w:t>
            </w:r>
          </w:p>
        </w:tc>
        <w:tc>
          <w:tcPr>
            <w:tcW w:w="4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E3DC442"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ESF</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9ED318"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Více rozvinuté regiony</w:t>
            </w:r>
          </w:p>
        </w:tc>
        <w:tc>
          <w:tcPr>
            <w:tcW w:w="79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15259F"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Osoby</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511FCC"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2"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33DC98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63,000</w:t>
            </w:r>
          </w:p>
        </w:tc>
        <w:tc>
          <w:tcPr>
            <w:tcW w:w="798" w:type="dxa"/>
            <w:tcBorders>
              <w:top w:val="nil"/>
              <w:left w:val="nil"/>
              <w:bottom w:val="single" w:sz="4" w:space="0" w:color="auto"/>
              <w:right w:val="single" w:sz="4" w:space="0" w:color="auto"/>
            </w:tcBorders>
            <w:shd w:val="clear" w:color="000000" w:fill="E0E0E0"/>
            <w:vAlign w:val="center"/>
            <w:hideMark/>
          </w:tcPr>
          <w:p w14:paraId="1469E40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798" w:type="dxa"/>
            <w:tcBorders>
              <w:top w:val="nil"/>
              <w:left w:val="nil"/>
              <w:bottom w:val="single" w:sz="4" w:space="0" w:color="auto"/>
              <w:right w:val="single" w:sz="4" w:space="0" w:color="auto"/>
            </w:tcBorders>
            <w:shd w:val="clear" w:color="000000" w:fill="E0E0E0"/>
            <w:vAlign w:val="center"/>
            <w:hideMark/>
          </w:tcPr>
          <w:p w14:paraId="3D5E27D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798" w:type="dxa"/>
            <w:tcBorders>
              <w:top w:val="nil"/>
              <w:left w:val="nil"/>
              <w:bottom w:val="single" w:sz="4" w:space="0" w:color="auto"/>
              <w:right w:val="single" w:sz="4" w:space="0" w:color="auto"/>
            </w:tcBorders>
            <w:shd w:val="clear" w:color="000000" w:fill="E0E0E0"/>
            <w:vAlign w:val="center"/>
            <w:hideMark/>
          </w:tcPr>
          <w:p w14:paraId="602BB65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69,844</w:t>
            </w:r>
          </w:p>
        </w:tc>
        <w:tc>
          <w:tcPr>
            <w:tcW w:w="798" w:type="dxa"/>
            <w:tcBorders>
              <w:top w:val="nil"/>
              <w:left w:val="nil"/>
              <w:bottom w:val="single" w:sz="4" w:space="0" w:color="auto"/>
              <w:right w:val="single" w:sz="4" w:space="0" w:color="auto"/>
            </w:tcBorders>
            <w:shd w:val="clear" w:color="000000" w:fill="E0E0E0"/>
            <w:vAlign w:val="center"/>
            <w:hideMark/>
          </w:tcPr>
          <w:p w14:paraId="07FE901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370,690</w:t>
            </w:r>
          </w:p>
        </w:tc>
        <w:tc>
          <w:tcPr>
            <w:tcW w:w="798" w:type="dxa"/>
            <w:tcBorders>
              <w:top w:val="nil"/>
              <w:left w:val="nil"/>
              <w:bottom w:val="single" w:sz="4" w:space="0" w:color="auto"/>
              <w:right w:val="single" w:sz="4" w:space="0" w:color="auto"/>
            </w:tcBorders>
            <w:shd w:val="clear" w:color="000000" w:fill="E0E0E0"/>
            <w:vAlign w:val="center"/>
            <w:hideMark/>
          </w:tcPr>
          <w:p w14:paraId="4BEA27C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570,371</w:t>
            </w:r>
          </w:p>
        </w:tc>
        <w:tc>
          <w:tcPr>
            <w:tcW w:w="798" w:type="dxa"/>
            <w:tcBorders>
              <w:top w:val="nil"/>
              <w:left w:val="nil"/>
              <w:bottom w:val="single" w:sz="4" w:space="0" w:color="auto"/>
              <w:right w:val="single" w:sz="4" w:space="0" w:color="auto"/>
            </w:tcBorders>
            <w:shd w:val="clear" w:color="000000" w:fill="E0E0E0"/>
            <w:vAlign w:val="center"/>
            <w:hideMark/>
          </w:tcPr>
          <w:p w14:paraId="710404C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253,240</w:t>
            </w:r>
          </w:p>
        </w:tc>
        <w:tc>
          <w:tcPr>
            <w:tcW w:w="798" w:type="dxa"/>
            <w:tcBorders>
              <w:top w:val="nil"/>
              <w:left w:val="nil"/>
              <w:bottom w:val="single" w:sz="4" w:space="0" w:color="auto"/>
              <w:right w:val="single" w:sz="4" w:space="0" w:color="auto"/>
            </w:tcBorders>
            <w:shd w:val="clear" w:color="000000" w:fill="E7E6E6"/>
            <w:vAlign w:val="center"/>
            <w:hideMark/>
          </w:tcPr>
          <w:p w14:paraId="4239500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2BC07D8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129D75F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3DC38C9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11F4C94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2 006,571</w:t>
            </w:r>
          </w:p>
        </w:tc>
      </w:tr>
      <w:tr w:rsidR="00723A23" w:rsidRPr="00723A23" w14:paraId="375F0E45"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603E80F3"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58E5CE9B"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0333F278"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7AE9971E"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6E575C93"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8875BEE"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vMerge/>
            <w:tcBorders>
              <w:top w:val="nil"/>
              <w:left w:val="single" w:sz="4" w:space="0" w:color="auto"/>
              <w:bottom w:val="single" w:sz="4" w:space="0" w:color="000000"/>
              <w:right w:val="single" w:sz="4" w:space="0" w:color="auto"/>
            </w:tcBorders>
            <w:vAlign w:val="center"/>
            <w:hideMark/>
          </w:tcPr>
          <w:p w14:paraId="6BDE7BEC"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FFFFFF"/>
            <w:vAlign w:val="center"/>
            <w:hideMark/>
          </w:tcPr>
          <w:p w14:paraId="5144EAF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BF7FF9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415449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4EF4E43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23E3F4E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7B36794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73D8CB8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F04CF6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5694DE9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282CD1C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vMerge/>
            <w:tcBorders>
              <w:top w:val="nil"/>
              <w:left w:val="single" w:sz="4" w:space="0" w:color="auto"/>
              <w:bottom w:val="single" w:sz="4" w:space="0" w:color="000000"/>
              <w:right w:val="single" w:sz="4" w:space="0" w:color="auto"/>
            </w:tcBorders>
            <w:vAlign w:val="center"/>
            <w:hideMark/>
          </w:tcPr>
          <w:p w14:paraId="5A778CBD"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6CC16130"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4B33E36"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7B6692F4"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292085B7"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5FB686AF"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7859D32B"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9071288"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vMerge/>
            <w:tcBorders>
              <w:top w:val="nil"/>
              <w:left w:val="single" w:sz="4" w:space="0" w:color="auto"/>
              <w:bottom w:val="single" w:sz="4" w:space="0" w:color="000000"/>
              <w:right w:val="single" w:sz="4" w:space="0" w:color="auto"/>
            </w:tcBorders>
            <w:vAlign w:val="center"/>
            <w:hideMark/>
          </w:tcPr>
          <w:p w14:paraId="0F5EB344"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FFFFFF"/>
            <w:vAlign w:val="center"/>
            <w:hideMark/>
          </w:tcPr>
          <w:p w14:paraId="3F0FF29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61DAA89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1C821D2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46A5C79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60E61AC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769E565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3362AF0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6BE1899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46675A5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FFFFFF"/>
            <w:vAlign w:val="center"/>
            <w:hideMark/>
          </w:tcPr>
          <w:p w14:paraId="06018D5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vMerge/>
            <w:tcBorders>
              <w:top w:val="nil"/>
              <w:left w:val="single" w:sz="4" w:space="0" w:color="auto"/>
              <w:bottom w:val="single" w:sz="4" w:space="0" w:color="000000"/>
              <w:right w:val="single" w:sz="4" w:space="0" w:color="auto"/>
            </w:tcBorders>
            <w:vAlign w:val="center"/>
            <w:hideMark/>
          </w:tcPr>
          <w:p w14:paraId="0498960F"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59A98C96"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1BA60ED"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762552EA"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10EACDA7"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1AE02FD9"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259869CE"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631FD2BC"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vMerge/>
            <w:tcBorders>
              <w:top w:val="nil"/>
              <w:left w:val="single" w:sz="4" w:space="0" w:color="auto"/>
              <w:bottom w:val="single" w:sz="4" w:space="0" w:color="000000"/>
              <w:right w:val="single" w:sz="4" w:space="0" w:color="auto"/>
            </w:tcBorders>
            <w:vAlign w:val="center"/>
            <w:hideMark/>
          </w:tcPr>
          <w:p w14:paraId="56E45A66" w14:textId="77777777" w:rsidR="00723A23" w:rsidRPr="00723A23" w:rsidRDefault="00723A23" w:rsidP="00723A23">
            <w:pPr>
              <w:rPr>
                <w:rFonts w:ascii="Arial" w:eastAsia="Times New Roman" w:hAnsi="Arial" w:cs="Arial"/>
                <w:color w:val="000000"/>
                <w:sz w:val="14"/>
                <w:szCs w:val="14"/>
                <w:lang w:val="cs-CZ" w:eastAsia="cs-CZ"/>
              </w:rPr>
            </w:pPr>
          </w:p>
        </w:tc>
        <w:tc>
          <w:tcPr>
            <w:tcW w:w="798" w:type="dxa"/>
            <w:tcBorders>
              <w:top w:val="nil"/>
              <w:left w:val="nil"/>
              <w:bottom w:val="single" w:sz="4" w:space="0" w:color="auto"/>
              <w:right w:val="single" w:sz="4" w:space="0" w:color="auto"/>
            </w:tcBorders>
            <w:shd w:val="clear" w:color="000000" w:fill="E0E0E0"/>
            <w:vAlign w:val="center"/>
            <w:hideMark/>
          </w:tcPr>
          <w:p w14:paraId="116CEEA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798" w:type="dxa"/>
            <w:tcBorders>
              <w:top w:val="nil"/>
              <w:left w:val="nil"/>
              <w:bottom w:val="single" w:sz="4" w:space="0" w:color="auto"/>
              <w:right w:val="single" w:sz="4" w:space="0" w:color="auto"/>
            </w:tcBorders>
            <w:shd w:val="clear" w:color="000000" w:fill="E0E0E0"/>
            <w:vAlign w:val="center"/>
            <w:hideMark/>
          </w:tcPr>
          <w:p w14:paraId="1B0CFA6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798" w:type="dxa"/>
            <w:tcBorders>
              <w:top w:val="nil"/>
              <w:left w:val="nil"/>
              <w:bottom w:val="single" w:sz="4" w:space="0" w:color="auto"/>
              <w:right w:val="single" w:sz="4" w:space="0" w:color="auto"/>
            </w:tcBorders>
            <w:shd w:val="clear" w:color="000000" w:fill="E0E0E0"/>
            <w:vAlign w:val="center"/>
            <w:hideMark/>
          </w:tcPr>
          <w:p w14:paraId="5BEE101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69,844</w:t>
            </w:r>
          </w:p>
        </w:tc>
        <w:tc>
          <w:tcPr>
            <w:tcW w:w="798" w:type="dxa"/>
            <w:tcBorders>
              <w:top w:val="nil"/>
              <w:left w:val="nil"/>
              <w:bottom w:val="single" w:sz="4" w:space="0" w:color="auto"/>
              <w:right w:val="single" w:sz="4" w:space="0" w:color="auto"/>
            </w:tcBorders>
            <w:shd w:val="clear" w:color="000000" w:fill="E0E0E0"/>
            <w:vAlign w:val="center"/>
            <w:hideMark/>
          </w:tcPr>
          <w:p w14:paraId="56EB11D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440,534</w:t>
            </w:r>
          </w:p>
        </w:tc>
        <w:tc>
          <w:tcPr>
            <w:tcW w:w="798" w:type="dxa"/>
            <w:tcBorders>
              <w:top w:val="nil"/>
              <w:left w:val="nil"/>
              <w:bottom w:val="single" w:sz="4" w:space="0" w:color="auto"/>
              <w:right w:val="single" w:sz="4" w:space="0" w:color="auto"/>
            </w:tcBorders>
            <w:shd w:val="clear" w:color="000000" w:fill="E0E0E0"/>
            <w:vAlign w:val="center"/>
            <w:hideMark/>
          </w:tcPr>
          <w:p w14:paraId="1317A79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1 010,905</w:t>
            </w:r>
          </w:p>
        </w:tc>
        <w:tc>
          <w:tcPr>
            <w:tcW w:w="798" w:type="dxa"/>
            <w:tcBorders>
              <w:top w:val="nil"/>
              <w:left w:val="nil"/>
              <w:bottom w:val="single" w:sz="4" w:space="0" w:color="auto"/>
              <w:right w:val="single" w:sz="4" w:space="0" w:color="auto"/>
            </w:tcBorders>
            <w:shd w:val="clear" w:color="000000" w:fill="E0E0E0"/>
            <w:vAlign w:val="center"/>
            <w:hideMark/>
          </w:tcPr>
          <w:p w14:paraId="0D8520D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1 264,140</w:t>
            </w:r>
          </w:p>
        </w:tc>
        <w:tc>
          <w:tcPr>
            <w:tcW w:w="798" w:type="dxa"/>
            <w:tcBorders>
              <w:top w:val="nil"/>
              <w:left w:val="nil"/>
              <w:bottom w:val="single" w:sz="4" w:space="0" w:color="auto"/>
              <w:right w:val="single" w:sz="4" w:space="0" w:color="auto"/>
            </w:tcBorders>
            <w:shd w:val="clear" w:color="000000" w:fill="E7E6E6"/>
            <w:vAlign w:val="center"/>
            <w:hideMark/>
          </w:tcPr>
          <w:p w14:paraId="474917B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5A20ACB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328FAAE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000000" w:fill="E7E6E6"/>
            <w:vAlign w:val="center"/>
            <w:hideMark/>
          </w:tcPr>
          <w:p w14:paraId="4C9C040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57" w:type="dxa"/>
            <w:gridSpan w:val="2"/>
            <w:vMerge/>
            <w:tcBorders>
              <w:top w:val="nil"/>
              <w:left w:val="single" w:sz="4" w:space="0" w:color="auto"/>
              <w:bottom w:val="single" w:sz="4" w:space="0" w:color="000000"/>
              <w:right w:val="single" w:sz="4" w:space="0" w:color="auto"/>
            </w:tcBorders>
            <w:vAlign w:val="center"/>
            <w:hideMark/>
          </w:tcPr>
          <w:p w14:paraId="185395E1"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0812D38B"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8834B01"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3FE15083"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41DA81B0"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76AE1D71"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10AC7675"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3492A77"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tcBorders>
              <w:top w:val="nil"/>
              <w:left w:val="nil"/>
              <w:bottom w:val="single" w:sz="4" w:space="0" w:color="auto"/>
              <w:right w:val="single" w:sz="4" w:space="0" w:color="auto"/>
            </w:tcBorders>
            <w:shd w:val="clear" w:color="auto" w:fill="auto"/>
            <w:vAlign w:val="center"/>
            <w:hideMark/>
          </w:tcPr>
          <w:p w14:paraId="68EEE767"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303041E5"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465CC21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6F8F96CB"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7298D5CA"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6C4EA3E3"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1FF21EE6"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26981288"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330BAEFE"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624519F7"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100214D1"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57" w:type="dxa"/>
            <w:gridSpan w:val="2"/>
            <w:tcBorders>
              <w:top w:val="nil"/>
              <w:left w:val="nil"/>
              <w:bottom w:val="single" w:sz="4" w:space="0" w:color="auto"/>
              <w:right w:val="single" w:sz="4" w:space="0" w:color="auto"/>
            </w:tcBorders>
            <w:shd w:val="clear" w:color="auto" w:fill="auto"/>
            <w:vAlign w:val="center"/>
            <w:hideMark/>
          </w:tcPr>
          <w:p w14:paraId="3AE5419C"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6F2D3483"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54A351D" w14:textId="77777777" w:rsidR="00723A23" w:rsidRPr="00723A23" w:rsidRDefault="00723A23" w:rsidP="00723A23">
            <w:pPr>
              <w:rPr>
                <w:rFonts w:ascii="Arial" w:eastAsia="Times New Roman" w:hAnsi="Arial" w:cs="Arial"/>
                <w:color w:val="000000"/>
                <w:sz w:val="14"/>
                <w:szCs w:val="14"/>
                <w:lang w:val="cs-CZ" w:eastAsia="cs-CZ"/>
              </w:rPr>
            </w:pPr>
          </w:p>
        </w:tc>
        <w:tc>
          <w:tcPr>
            <w:tcW w:w="2442" w:type="dxa"/>
            <w:vMerge/>
            <w:tcBorders>
              <w:top w:val="nil"/>
              <w:left w:val="single" w:sz="4" w:space="0" w:color="auto"/>
              <w:bottom w:val="single" w:sz="4" w:space="0" w:color="000000"/>
              <w:right w:val="single" w:sz="4" w:space="0" w:color="auto"/>
            </w:tcBorders>
            <w:vAlign w:val="center"/>
            <w:hideMark/>
          </w:tcPr>
          <w:p w14:paraId="1AE48D87" w14:textId="77777777" w:rsidR="00723A23" w:rsidRPr="00723A23" w:rsidRDefault="00723A23" w:rsidP="00723A23">
            <w:pPr>
              <w:rPr>
                <w:rFonts w:ascii="Arial" w:eastAsia="Times New Roman" w:hAnsi="Arial" w:cs="Arial"/>
                <w:color w:val="000000"/>
                <w:sz w:val="14"/>
                <w:szCs w:val="14"/>
                <w:lang w:val="cs-CZ" w:eastAsia="cs-CZ"/>
              </w:rPr>
            </w:pPr>
          </w:p>
        </w:tc>
        <w:tc>
          <w:tcPr>
            <w:tcW w:w="492" w:type="dxa"/>
            <w:vMerge/>
            <w:tcBorders>
              <w:top w:val="nil"/>
              <w:left w:val="single" w:sz="4" w:space="0" w:color="auto"/>
              <w:bottom w:val="single" w:sz="4" w:space="0" w:color="000000"/>
              <w:right w:val="single" w:sz="4" w:space="0" w:color="auto"/>
            </w:tcBorders>
            <w:vAlign w:val="center"/>
            <w:hideMark/>
          </w:tcPr>
          <w:p w14:paraId="4D162E69" w14:textId="77777777" w:rsidR="00723A23" w:rsidRPr="00723A23" w:rsidRDefault="00723A23" w:rsidP="00723A23">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66FF5F17" w14:textId="77777777" w:rsidR="00723A23" w:rsidRPr="00723A23" w:rsidRDefault="00723A23" w:rsidP="00723A23">
            <w:pPr>
              <w:rPr>
                <w:rFonts w:ascii="Arial" w:eastAsia="Times New Roman" w:hAnsi="Arial" w:cs="Arial"/>
                <w:color w:val="000000"/>
                <w:sz w:val="14"/>
                <w:szCs w:val="14"/>
                <w:lang w:val="cs-CZ" w:eastAsia="cs-CZ"/>
              </w:rPr>
            </w:pPr>
          </w:p>
        </w:tc>
        <w:tc>
          <w:tcPr>
            <w:tcW w:w="796" w:type="dxa"/>
            <w:vMerge/>
            <w:tcBorders>
              <w:top w:val="nil"/>
              <w:left w:val="single" w:sz="4" w:space="0" w:color="auto"/>
              <w:bottom w:val="single" w:sz="4" w:space="0" w:color="000000"/>
              <w:right w:val="single" w:sz="4" w:space="0" w:color="auto"/>
            </w:tcBorders>
            <w:vAlign w:val="center"/>
            <w:hideMark/>
          </w:tcPr>
          <w:p w14:paraId="6DEFD33D" w14:textId="77777777" w:rsidR="00723A23" w:rsidRPr="00723A23" w:rsidRDefault="00723A23" w:rsidP="00723A23">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487BBDB" w14:textId="77777777" w:rsidR="00723A23" w:rsidRPr="00723A23" w:rsidRDefault="00723A23" w:rsidP="00723A23">
            <w:pPr>
              <w:rPr>
                <w:rFonts w:ascii="Arial" w:eastAsia="Times New Roman" w:hAnsi="Arial" w:cs="Arial"/>
                <w:color w:val="000000"/>
                <w:sz w:val="14"/>
                <w:szCs w:val="14"/>
                <w:lang w:val="cs-CZ" w:eastAsia="cs-CZ"/>
              </w:rPr>
            </w:pPr>
          </w:p>
        </w:tc>
        <w:tc>
          <w:tcPr>
            <w:tcW w:w="702" w:type="dxa"/>
            <w:tcBorders>
              <w:top w:val="nil"/>
              <w:left w:val="nil"/>
              <w:bottom w:val="single" w:sz="4" w:space="0" w:color="auto"/>
              <w:right w:val="single" w:sz="4" w:space="0" w:color="auto"/>
            </w:tcBorders>
            <w:shd w:val="clear" w:color="auto" w:fill="auto"/>
            <w:vAlign w:val="center"/>
            <w:hideMark/>
          </w:tcPr>
          <w:p w14:paraId="063E7B3B"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260A4287"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72A70271"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0C159B3F"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33F16C78"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4FDB145B"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22A8BBF4"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3E3F51C3"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1E3082AE"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461202B6"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98" w:type="dxa"/>
            <w:tcBorders>
              <w:top w:val="nil"/>
              <w:left w:val="nil"/>
              <w:bottom w:val="single" w:sz="4" w:space="0" w:color="auto"/>
              <w:right w:val="single" w:sz="4" w:space="0" w:color="auto"/>
            </w:tcBorders>
            <w:shd w:val="clear" w:color="auto" w:fill="auto"/>
            <w:noWrap/>
            <w:vAlign w:val="bottom"/>
            <w:hideMark/>
          </w:tcPr>
          <w:p w14:paraId="3BFECE1E"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757" w:type="dxa"/>
            <w:gridSpan w:val="2"/>
            <w:tcBorders>
              <w:top w:val="nil"/>
              <w:left w:val="nil"/>
              <w:bottom w:val="single" w:sz="4" w:space="0" w:color="auto"/>
              <w:right w:val="single" w:sz="4" w:space="0" w:color="auto"/>
            </w:tcBorders>
            <w:shd w:val="clear" w:color="auto" w:fill="auto"/>
            <w:vAlign w:val="center"/>
            <w:hideMark/>
          </w:tcPr>
          <w:p w14:paraId="3936321C" w14:textId="0E0D8379"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bl>
    <w:p w14:paraId="5192A7EA" w14:textId="4B7E5E7D" w:rsidR="009350D6" w:rsidRPr="002F2BE4" w:rsidRDefault="009350D6" w:rsidP="00A722E5">
      <w:pPr>
        <w:ind w:right="108"/>
        <w:jc w:val="both"/>
        <w:rPr>
          <w:rFonts w:ascii="Arial" w:eastAsia="Arial" w:hAnsi="Arial" w:cs="Arial"/>
          <w:color w:val="000000"/>
          <w:sz w:val="20"/>
          <w:lang w:val="cs-CZ"/>
        </w:rPr>
      </w:pPr>
    </w:p>
    <w:p w14:paraId="195BC4A6"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03.1.54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w:t>
      </w:r>
    </w:p>
    <w:tbl>
      <w:tblPr>
        <w:tblW w:w="15763" w:type="dxa"/>
        <w:tblInd w:w="75" w:type="dxa"/>
        <w:tblCellMar>
          <w:left w:w="70" w:type="dxa"/>
          <w:right w:w="70" w:type="dxa"/>
        </w:tblCellMar>
        <w:tblLook w:val="04A0" w:firstRow="1" w:lastRow="0" w:firstColumn="1" w:lastColumn="0" w:noHBand="0" w:noVBand="1"/>
      </w:tblPr>
      <w:tblGrid>
        <w:gridCol w:w="531"/>
        <w:gridCol w:w="2439"/>
        <w:gridCol w:w="493"/>
        <w:gridCol w:w="1173"/>
        <w:gridCol w:w="798"/>
        <w:gridCol w:w="947"/>
        <w:gridCol w:w="705"/>
        <w:gridCol w:w="801"/>
        <w:gridCol w:w="801"/>
        <w:gridCol w:w="801"/>
        <w:gridCol w:w="801"/>
        <w:gridCol w:w="801"/>
        <w:gridCol w:w="801"/>
        <w:gridCol w:w="801"/>
        <w:gridCol w:w="801"/>
        <w:gridCol w:w="801"/>
        <w:gridCol w:w="801"/>
        <w:gridCol w:w="7"/>
        <w:gridCol w:w="660"/>
      </w:tblGrid>
      <w:tr w:rsidR="0070459D" w:rsidRPr="00723A23" w14:paraId="7F6D806E" w14:textId="77777777" w:rsidTr="00FA0609">
        <w:trPr>
          <w:trHeight w:val="20"/>
          <w:tblHeader/>
        </w:trPr>
        <w:tc>
          <w:tcPr>
            <w:tcW w:w="5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6F8361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ID</w:t>
            </w:r>
          </w:p>
        </w:tc>
        <w:tc>
          <w:tcPr>
            <w:tcW w:w="24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B3F612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Indikátor</w:t>
            </w:r>
          </w:p>
        </w:tc>
        <w:tc>
          <w:tcPr>
            <w:tcW w:w="4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97EDE5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ESF / YEI</w:t>
            </w:r>
          </w:p>
        </w:tc>
        <w:tc>
          <w:tcPr>
            <w:tcW w:w="11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25CE3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Kategorie regionu (je-li relevantní)</w:t>
            </w:r>
          </w:p>
        </w:tc>
        <w:tc>
          <w:tcPr>
            <w:tcW w:w="7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63BB9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Měrná jednotka</w:t>
            </w:r>
          </w:p>
        </w:tc>
        <w:tc>
          <w:tcPr>
            <w:tcW w:w="9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920538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Jednotka měření pro výchozí hodnotu a cíl</w:t>
            </w:r>
          </w:p>
        </w:tc>
        <w:tc>
          <w:tcPr>
            <w:tcW w:w="7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30C9B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Cílová hodnota (2023)</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52B663D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2014</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3A2209F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2015</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46E4820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2016</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475C01D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2017</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2FC00FD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2018</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762B95E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2019</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0123662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2020</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461219A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2021</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3F6F7D8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2022</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332E8EA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2023</w:t>
            </w:r>
          </w:p>
        </w:tc>
        <w:tc>
          <w:tcPr>
            <w:tcW w:w="6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22D5B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Míra splnění</w:t>
            </w:r>
          </w:p>
        </w:tc>
      </w:tr>
      <w:tr w:rsidR="00723A23" w:rsidRPr="00723A23" w14:paraId="28F008DD"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26E4E995"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36E1C914" w14:textId="77777777" w:rsidR="00723A23" w:rsidRPr="00723A23" w:rsidRDefault="00723A23" w:rsidP="00723A23">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0EEBD6D7"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089DB007" w14:textId="77777777" w:rsidR="00723A23" w:rsidRPr="00723A23" w:rsidRDefault="00723A23" w:rsidP="00723A23">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2476BFAE" w14:textId="77777777" w:rsidR="00723A23" w:rsidRPr="00723A23" w:rsidRDefault="00723A23" w:rsidP="00723A23">
            <w:pPr>
              <w:rPr>
                <w:rFonts w:ascii="Arial" w:eastAsia="Times New Roman" w:hAnsi="Arial" w:cs="Arial"/>
                <w:b/>
                <w:bCs/>
                <w:color w:val="000000"/>
                <w:sz w:val="14"/>
                <w:szCs w:val="14"/>
                <w:lang w:val="cs-CZ" w:eastAsia="cs-CZ"/>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7AA44675" w14:textId="77777777" w:rsidR="00723A23" w:rsidRPr="00723A23" w:rsidRDefault="00723A23" w:rsidP="00723A23">
            <w:pPr>
              <w:rPr>
                <w:rFonts w:ascii="Arial" w:eastAsia="Times New Roman" w:hAnsi="Arial" w:cs="Arial"/>
                <w:b/>
                <w:bCs/>
                <w:color w:val="000000"/>
                <w:sz w:val="14"/>
                <w:szCs w:val="14"/>
                <w:lang w:val="cs-CZ" w:eastAsia="cs-CZ"/>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14:paraId="0B2FE4F4"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7" w:type="dxa"/>
            <w:gridSpan w:val="11"/>
            <w:tcBorders>
              <w:top w:val="single" w:sz="4" w:space="0" w:color="auto"/>
              <w:left w:val="nil"/>
              <w:bottom w:val="single" w:sz="4" w:space="0" w:color="auto"/>
              <w:right w:val="single" w:sz="4" w:space="0" w:color="auto"/>
            </w:tcBorders>
            <w:shd w:val="clear" w:color="000000" w:fill="FFFFFF"/>
            <w:vAlign w:val="center"/>
            <w:hideMark/>
          </w:tcPr>
          <w:p w14:paraId="476F0E3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Roční hodnota</w:t>
            </w:r>
          </w:p>
        </w:tc>
        <w:tc>
          <w:tcPr>
            <w:tcW w:w="667" w:type="dxa"/>
            <w:vMerge/>
            <w:tcBorders>
              <w:top w:val="single" w:sz="4" w:space="0" w:color="auto"/>
              <w:left w:val="single" w:sz="4" w:space="0" w:color="auto"/>
              <w:bottom w:val="single" w:sz="4" w:space="0" w:color="auto"/>
              <w:right w:val="single" w:sz="4" w:space="0" w:color="auto"/>
            </w:tcBorders>
            <w:vAlign w:val="center"/>
            <w:hideMark/>
          </w:tcPr>
          <w:p w14:paraId="0A8199A5"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1F33CDE2"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1B90C96C"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1C8C047C" w14:textId="77777777" w:rsidR="00723A23" w:rsidRPr="00723A23" w:rsidRDefault="00723A23" w:rsidP="00723A23">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4294D121"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6227AEC9" w14:textId="77777777" w:rsidR="00723A23" w:rsidRPr="00723A23" w:rsidRDefault="00723A23" w:rsidP="00723A23">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27694005" w14:textId="77777777" w:rsidR="00723A23" w:rsidRPr="00723A23" w:rsidRDefault="00723A23" w:rsidP="00723A23">
            <w:pPr>
              <w:rPr>
                <w:rFonts w:ascii="Arial" w:eastAsia="Times New Roman" w:hAnsi="Arial" w:cs="Arial"/>
                <w:b/>
                <w:bCs/>
                <w:color w:val="000000"/>
                <w:sz w:val="14"/>
                <w:szCs w:val="14"/>
                <w:lang w:val="cs-CZ" w:eastAsia="cs-CZ"/>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0BC9C1FB" w14:textId="77777777" w:rsidR="00723A23" w:rsidRPr="00723A23" w:rsidRDefault="00723A23" w:rsidP="00723A23">
            <w:pPr>
              <w:rPr>
                <w:rFonts w:ascii="Arial" w:eastAsia="Times New Roman" w:hAnsi="Arial" w:cs="Arial"/>
                <w:b/>
                <w:bCs/>
                <w:color w:val="000000"/>
                <w:sz w:val="14"/>
                <w:szCs w:val="14"/>
                <w:lang w:val="cs-CZ" w:eastAsia="cs-CZ"/>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14:paraId="56237C92"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E7E6E6"/>
            <w:vAlign w:val="center"/>
            <w:hideMark/>
          </w:tcPr>
          <w:p w14:paraId="2A6EC45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766EBBC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1127C04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3D073F2D"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5A0F78B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1E96D66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1BAB0F2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0C71CCD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04CC6DB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3199A08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667" w:type="dxa"/>
            <w:gridSpan w:val="2"/>
            <w:vMerge/>
            <w:tcBorders>
              <w:top w:val="single" w:sz="4" w:space="0" w:color="auto"/>
              <w:left w:val="single" w:sz="4" w:space="0" w:color="auto"/>
              <w:bottom w:val="single" w:sz="4" w:space="0" w:color="auto"/>
              <w:right w:val="single" w:sz="4" w:space="0" w:color="auto"/>
            </w:tcBorders>
            <w:vAlign w:val="center"/>
            <w:hideMark/>
          </w:tcPr>
          <w:p w14:paraId="6DB04AD5"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431D324E"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216E1E5C"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188F7F4C" w14:textId="77777777" w:rsidR="00723A23" w:rsidRPr="00723A23" w:rsidRDefault="00723A23" w:rsidP="00723A23">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54135236"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0445C606" w14:textId="77777777" w:rsidR="00723A23" w:rsidRPr="00723A23" w:rsidRDefault="00723A23" w:rsidP="00723A23">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03CA96F2" w14:textId="77777777" w:rsidR="00723A23" w:rsidRPr="00723A23" w:rsidRDefault="00723A23" w:rsidP="00723A23">
            <w:pPr>
              <w:rPr>
                <w:rFonts w:ascii="Arial" w:eastAsia="Times New Roman" w:hAnsi="Arial" w:cs="Arial"/>
                <w:b/>
                <w:bCs/>
                <w:color w:val="000000"/>
                <w:sz w:val="14"/>
                <w:szCs w:val="14"/>
                <w:lang w:val="cs-CZ" w:eastAsia="cs-CZ"/>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0E0D6F53" w14:textId="77777777" w:rsidR="00723A23" w:rsidRPr="00723A23" w:rsidRDefault="00723A23" w:rsidP="00723A23">
            <w:pPr>
              <w:rPr>
                <w:rFonts w:ascii="Arial" w:eastAsia="Times New Roman" w:hAnsi="Arial" w:cs="Arial"/>
                <w:b/>
                <w:bCs/>
                <w:color w:val="000000"/>
                <w:sz w:val="14"/>
                <w:szCs w:val="14"/>
                <w:lang w:val="cs-CZ" w:eastAsia="cs-CZ"/>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14:paraId="3474797A"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FFFFFF"/>
            <w:vAlign w:val="center"/>
            <w:hideMark/>
          </w:tcPr>
          <w:p w14:paraId="73650B3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066D462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29283C8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07A6C709"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242E5C6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219B440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5C8E1A0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528A96E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29CBF38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1049A90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667" w:type="dxa"/>
            <w:gridSpan w:val="2"/>
            <w:vMerge/>
            <w:tcBorders>
              <w:top w:val="single" w:sz="4" w:space="0" w:color="auto"/>
              <w:left w:val="single" w:sz="4" w:space="0" w:color="auto"/>
              <w:bottom w:val="single" w:sz="4" w:space="0" w:color="auto"/>
              <w:right w:val="single" w:sz="4" w:space="0" w:color="auto"/>
            </w:tcBorders>
            <w:vAlign w:val="center"/>
            <w:hideMark/>
          </w:tcPr>
          <w:p w14:paraId="74E65379"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7FBBCCE3"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521FC329"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278EDA28" w14:textId="77777777" w:rsidR="00723A23" w:rsidRPr="00723A23" w:rsidRDefault="00723A23" w:rsidP="00723A23">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2E53F757"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66449108" w14:textId="77777777" w:rsidR="00723A23" w:rsidRPr="00723A23" w:rsidRDefault="00723A23" w:rsidP="00723A23">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6F7CC43C" w14:textId="77777777" w:rsidR="00723A23" w:rsidRPr="00723A23" w:rsidRDefault="00723A23" w:rsidP="00723A23">
            <w:pPr>
              <w:rPr>
                <w:rFonts w:ascii="Arial" w:eastAsia="Times New Roman" w:hAnsi="Arial" w:cs="Arial"/>
                <w:b/>
                <w:bCs/>
                <w:color w:val="000000"/>
                <w:sz w:val="14"/>
                <w:szCs w:val="14"/>
                <w:lang w:val="cs-CZ" w:eastAsia="cs-CZ"/>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208113F5" w14:textId="77777777" w:rsidR="00723A23" w:rsidRPr="00723A23" w:rsidRDefault="00723A23" w:rsidP="00723A23">
            <w:pPr>
              <w:rPr>
                <w:rFonts w:ascii="Arial" w:eastAsia="Times New Roman" w:hAnsi="Arial" w:cs="Arial"/>
                <w:b/>
                <w:bCs/>
                <w:color w:val="000000"/>
                <w:sz w:val="14"/>
                <w:szCs w:val="14"/>
                <w:lang w:val="cs-CZ" w:eastAsia="cs-CZ"/>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14:paraId="12E74FAF"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FFFFFF"/>
            <w:vAlign w:val="center"/>
            <w:hideMark/>
          </w:tcPr>
          <w:p w14:paraId="4EE8B07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4FC6681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0993662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76C22042"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105C722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4592E9B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01C5B1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4ADF136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6AF89AB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5E54CDE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667" w:type="dxa"/>
            <w:gridSpan w:val="2"/>
            <w:vMerge/>
            <w:tcBorders>
              <w:top w:val="single" w:sz="4" w:space="0" w:color="auto"/>
              <w:left w:val="single" w:sz="4" w:space="0" w:color="auto"/>
              <w:bottom w:val="single" w:sz="4" w:space="0" w:color="auto"/>
              <w:right w:val="single" w:sz="4" w:space="0" w:color="auto"/>
            </w:tcBorders>
            <w:vAlign w:val="center"/>
            <w:hideMark/>
          </w:tcPr>
          <w:p w14:paraId="766AF166"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2E40DAE4"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62B023F6"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1A608C2E" w14:textId="77777777" w:rsidR="00723A23" w:rsidRPr="00723A23" w:rsidRDefault="00723A23" w:rsidP="00723A23">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04EE8533"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4D78A9C0" w14:textId="77777777" w:rsidR="00723A23" w:rsidRPr="00723A23" w:rsidRDefault="00723A23" w:rsidP="00723A23">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29151BBE" w14:textId="77777777" w:rsidR="00723A23" w:rsidRPr="00723A23" w:rsidRDefault="00723A23" w:rsidP="00723A23">
            <w:pPr>
              <w:rPr>
                <w:rFonts w:ascii="Arial" w:eastAsia="Times New Roman" w:hAnsi="Arial" w:cs="Arial"/>
                <w:b/>
                <w:bCs/>
                <w:color w:val="000000"/>
                <w:sz w:val="14"/>
                <w:szCs w:val="14"/>
                <w:lang w:val="cs-CZ" w:eastAsia="cs-CZ"/>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29D61E91" w14:textId="77777777" w:rsidR="00723A23" w:rsidRPr="00723A23" w:rsidRDefault="00723A23" w:rsidP="00723A23">
            <w:pPr>
              <w:rPr>
                <w:rFonts w:ascii="Arial" w:eastAsia="Times New Roman" w:hAnsi="Arial" w:cs="Arial"/>
                <w:b/>
                <w:bCs/>
                <w:color w:val="000000"/>
                <w:sz w:val="14"/>
                <w:szCs w:val="14"/>
                <w:lang w:val="cs-CZ" w:eastAsia="cs-CZ"/>
              </w:rPr>
            </w:pPr>
          </w:p>
        </w:tc>
        <w:tc>
          <w:tcPr>
            <w:tcW w:w="705" w:type="dxa"/>
            <w:vMerge/>
            <w:tcBorders>
              <w:top w:val="single" w:sz="4" w:space="0" w:color="auto"/>
              <w:left w:val="single" w:sz="4" w:space="0" w:color="auto"/>
              <w:bottom w:val="single" w:sz="4" w:space="0" w:color="auto"/>
              <w:right w:val="single" w:sz="4" w:space="0" w:color="auto"/>
            </w:tcBorders>
            <w:vAlign w:val="center"/>
            <w:hideMark/>
          </w:tcPr>
          <w:p w14:paraId="165F72A6" w14:textId="77777777" w:rsidR="00723A23" w:rsidRPr="00723A23" w:rsidRDefault="00723A23" w:rsidP="00723A23">
            <w:pPr>
              <w:rPr>
                <w:rFonts w:ascii="Arial" w:eastAsia="Times New Roman" w:hAnsi="Arial" w:cs="Arial"/>
                <w:b/>
                <w:bCs/>
                <w:color w:val="000000"/>
                <w:sz w:val="14"/>
                <w:szCs w:val="14"/>
                <w:lang w:val="cs-CZ" w:eastAsia="cs-CZ"/>
              </w:rPr>
            </w:pPr>
          </w:p>
        </w:tc>
        <w:tc>
          <w:tcPr>
            <w:tcW w:w="8017" w:type="dxa"/>
            <w:gridSpan w:val="11"/>
            <w:tcBorders>
              <w:top w:val="single" w:sz="4" w:space="0" w:color="auto"/>
              <w:left w:val="nil"/>
              <w:bottom w:val="single" w:sz="4" w:space="0" w:color="auto"/>
              <w:right w:val="single" w:sz="4" w:space="0" w:color="auto"/>
            </w:tcBorders>
            <w:shd w:val="clear" w:color="000000" w:fill="FFFFFF"/>
            <w:vAlign w:val="center"/>
            <w:hideMark/>
          </w:tcPr>
          <w:p w14:paraId="66BE193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Kumulativní hodnota</w:t>
            </w:r>
          </w:p>
        </w:tc>
        <w:tc>
          <w:tcPr>
            <w:tcW w:w="667" w:type="dxa"/>
            <w:vMerge/>
            <w:tcBorders>
              <w:top w:val="single" w:sz="4" w:space="0" w:color="auto"/>
              <w:left w:val="single" w:sz="4" w:space="0" w:color="auto"/>
              <w:bottom w:val="single" w:sz="4" w:space="0" w:color="auto"/>
              <w:right w:val="single" w:sz="4" w:space="0" w:color="auto"/>
            </w:tcBorders>
            <w:vAlign w:val="center"/>
            <w:hideMark/>
          </w:tcPr>
          <w:p w14:paraId="25D9C3FF" w14:textId="77777777" w:rsidR="00723A23" w:rsidRPr="00723A23" w:rsidRDefault="00723A23" w:rsidP="00723A23">
            <w:pPr>
              <w:rPr>
                <w:rFonts w:ascii="Arial" w:eastAsia="Times New Roman" w:hAnsi="Arial" w:cs="Arial"/>
                <w:b/>
                <w:bCs/>
                <w:color w:val="000000"/>
                <w:sz w:val="14"/>
                <w:szCs w:val="14"/>
                <w:lang w:val="cs-CZ" w:eastAsia="cs-CZ"/>
              </w:rPr>
            </w:pPr>
          </w:p>
        </w:tc>
      </w:tr>
      <w:tr w:rsidR="00723A23" w:rsidRPr="00723A23" w14:paraId="6E2E9BCC"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091A1AB9"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497FE008" w14:textId="77777777" w:rsidR="00723A23" w:rsidRPr="00723A23" w:rsidRDefault="00723A23" w:rsidP="00723A23">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49C26EEB"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4326094F" w14:textId="77777777" w:rsidR="00723A23" w:rsidRPr="00723A23" w:rsidRDefault="00723A23" w:rsidP="00723A23">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253FF0AB" w14:textId="77777777" w:rsidR="00723A23" w:rsidRPr="00723A23" w:rsidRDefault="00723A23" w:rsidP="00723A23">
            <w:pPr>
              <w:rPr>
                <w:rFonts w:ascii="Arial" w:eastAsia="Times New Roman" w:hAnsi="Arial" w:cs="Arial"/>
                <w:b/>
                <w:bCs/>
                <w:color w:val="000000"/>
                <w:sz w:val="14"/>
                <w:szCs w:val="14"/>
                <w:lang w:val="cs-CZ" w:eastAsia="cs-CZ"/>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2100A937" w14:textId="77777777" w:rsidR="00723A23" w:rsidRPr="00723A23" w:rsidRDefault="00723A23" w:rsidP="00723A23">
            <w:pPr>
              <w:rPr>
                <w:rFonts w:ascii="Arial" w:eastAsia="Times New Roman" w:hAnsi="Arial" w:cs="Arial"/>
                <w:b/>
                <w:bCs/>
                <w:color w:val="000000"/>
                <w:sz w:val="14"/>
                <w:szCs w:val="14"/>
                <w:lang w:val="cs-CZ" w:eastAsia="cs-CZ"/>
              </w:rPr>
            </w:pPr>
          </w:p>
        </w:tc>
        <w:tc>
          <w:tcPr>
            <w:tcW w:w="705" w:type="dxa"/>
            <w:tcBorders>
              <w:top w:val="nil"/>
              <w:left w:val="nil"/>
              <w:bottom w:val="single" w:sz="4" w:space="0" w:color="auto"/>
              <w:right w:val="single" w:sz="4" w:space="0" w:color="auto"/>
            </w:tcBorders>
            <w:shd w:val="clear" w:color="000000" w:fill="E7E6E6"/>
            <w:vAlign w:val="center"/>
            <w:hideMark/>
          </w:tcPr>
          <w:p w14:paraId="3168555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0A9E7A1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7CBF9B6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5DB8A0D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0EFF58C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74FCDF9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241AB13F"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2F0E8E7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5C7B1C4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79F8B57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801" w:type="dxa"/>
            <w:tcBorders>
              <w:top w:val="nil"/>
              <w:left w:val="nil"/>
              <w:bottom w:val="single" w:sz="4" w:space="0" w:color="auto"/>
              <w:right w:val="single" w:sz="4" w:space="0" w:color="auto"/>
            </w:tcBorders>
            <w:shd w:val="clear" w:color="000000" w:fill="E7E6E6"/>
            <w:vAlign w:val="center"/>
            <w:hideMark/>
          </w:tcPr>
          <w:p w14:paraId="5556A91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c>
          <w:tcPr>
            <w:tcW w:w="667" w:type="dxa"/>
            <w:gridSpan w:val="2"/>
            <w:tcBorders>
              <w:top w:val="nil"/>
              <w:left w:val="nil"/>
              <w:bottom w:val="single" w:sz="4" w:space="0" w:color="auto"/>
              <w:right w:val="single" w:sz="4" w:space="0" w:color="auto"/>
            </w:tcBorders>
            <w:shd w:val="clear" w:color="000000" w:fill="E7E6E6"/>
            <w:vAlign w:val="center"/>
            <w:hideMark/>
          </w:tcPr>
          <w:p w14:paraId="78A1B1C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Celkem</w:t>
            </w:r>
          </w:p>
        </w:tc>
      </w:tr>
      <w:tr w:rsidR="00723A23" w:rsidRPr="00723A23" w14:paraId="55D469CF"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0D1BE669"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02630305" w14:textId="77777777" w:rsidR="00723A23" w:rsidRPr="00723A23" w:rsidRDefault="00723A23" w:rsidP="00723A23">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2B778520"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233AD9D9" w14:textId="77777777" w:rsidR="00723A23" w:rsidRPr="00723A23" w:rsidRDefault="00723A23" w:rsidP="00723A23">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23C40D4F" w14:textId="77777777" w:rsidR="00723A23" w:rsidRPr="00723A23" w:rsidRDefault="00723A23" w:rsidP="00723A23">
            <w:pPr>
              <w:rPr>
                <w:rFonts w:ascii="Arial" w:eastAsia="Times New Roman" w:hAnsi="Arial" w:cs="Arial"/>
                <w:b/>
                <w:bCs/>
                <w:color w:val="000000"/>
                <w:sz w:val="14"/>
                <w:szCs w:val="14"/>
                <w:lang w:val="cs-CZ" w:eastAsia="cs-CZ"/>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333F615F" w14:textId="77777777" w:rsidR="00723A23" w:rsidRPr="00723A23" w:rsidRDefault="00723A23" w:rsidP="00723A23">
            <w:pPr>
              <w:rPr>
                <w:rFonts w:ascii="Arial" w:eastAsia="Times New Roman" w:hAnsi="Arial" w:cs="Arial"/>
                <w:b/>
                <w:bCs/>
                <w:color w:val="000000"/>
                <w:sz w:val="14"/>
                <w:szCs w:val="14"/>
                <w:lang w:val="cs-CZ" w:eastAsia="cs-CZ"/>
              </w:rPr>
            </w:pPr>
          </w:p>
        </w:tc>
        <w:tc>
          <w:tcPr>
            <w:tcW w:w="705" w:type="dxa"/>
            <w:tcBorders>
              <w:top w:val="nil"/>
              <w:left w:val="nil"/>
              <w:bottom w:val="single" w:sz="4" w:space="0" w:color="auto"/>
              <w:right w:val="single" w:sz="4" w:space="0" w:color="auto"/>
            </w:tcBorders>
            <w:shd w:val="clear" w:color="000000" w:fill="FFFFFF"/>
            <w:vAlign w:val="center"/>
            <w:hideMark/>
          </w:tcPr>
          <w:p w14:paraId="218752E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5F84362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6E1DF53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0E544B2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52D3851C"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17A665A1"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65959EE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37FD5CA8"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0DD86BF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42B3329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000000" w:fill="FFFFFF"/>
            <w:vAlign w:val="center"/>
            <w:hideMark/>
          </w:tcPr>
          <w:p w14:paraId="6FA8530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c>
          <w:tcPr>
            <w:tcW w:w="667" w:type="dxa"/>
            <w:gridSpan w:val="2"/>
            <w:tcBorders>
              <w:top w:val="nil"/>
              <w:left w:val="nil"/>
              <w:bottom w:val="single" w:sz="4" w:space="0" w:color="auto"/>
              <w:right w:val="single" w:sz="4" w:space="0" w:color="auto"/>
            </w:tcBorders>
            <w:shd w:val="clear" w:color="000000" w:fill="FFFFFF"/>
            <w:vAlign w:val="center"/>
            <w:hideMark/>
          </w:tcPr>
          <w:p w14:paraId="2785DF4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M</w:t>
            </w:r>
          </w:p>
        </w:tc>
      </w:tr>
      <w:tr w:rsidR="00723A23" w:rsidRPr="00723A23" w14:paraId="795F58EB" w14:textId="77777777" w:rsidTr="00FA0609">
        <w:trPr>
          <w:trHeight w:val="20"/>
          <w:tblHeader/>
        </w:trPr>
        <w:tc>
          <w:tcPr>
            <w:tcW w:w="505" w:type="dxa"/>
            <w:vMerge/>
            <w:tcBorders>
              <w:top w:val="single" w:sz="4" w:space="0" w:color="auto"/>
              <w:left w:val="single" w:sz="4" w:space="0" w:color="auto"/>
              <w:bottom w:val="single" w:sz="4" w:space="0" w:color="auto"/>
              <w:right w:val="single" w:sz="4" w:space="0" w:color="auto"/>
            </w:tcBorders>
            <w:vAlign w:val="center"/>
            <w:hideMark/>
          </w:tcPr>
          <w:p w14:paraId="50EC0610" w14:textId="77777777" w:rsidR="00723A23" w:rsidRPr="00723A23" w:rsidRDefault="00723A23" w:rsidP="00723A23">
            <w:pPr>
              <w:rPr>
                <w:rFonts w:ascii="Arial" w:eastAsia="Times New Roman" w:hAnsi="Arial" w:cs="Arial"/>
                <w:b/>
                <w:bCs/>
                <w:color w:val="000000"/>
                <w:sz w:val="14"/>
                <w:szCs w:val="14"/>
                <w:lang w:val="cs-CZ" w:eastAsia="cs-CZ"/>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09B161D1" w14:textId="77777777" w:rsidR="00723A23" w:rsidRPr="00723A23" w:rsidRDefault="00723A23" w:rsidP="00723A23">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750245C5" w14:textId="77777777" w:rsidR="00723A23" w:rsidRPr="00723A23" w:rsidRDefault="00723A23" w:rsidP="00723A23">
            <w:pPr>
              <w:rPr>
                <w:rFonts w:ascii="Arial" w:eastAsia="Times New Roman" w:hAnsi="Arial" w:cs="Arial"/>
                <w:b/>
                <w:bCs/>
                <w:color w:val="000000"/>
                <w:sz w:val="14"/>
                <w:szCs w:val="14"/>
                <w:lang w:val="cs-CZ" w:eastAsia="cs-CZ"/>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733B9544" w14:textId="77777777" w:rsidR="00723A23" w:rsidRPr="00723A23" w:rsidRDefault="00723A23" w:rsidP="00723A23">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4FDA57E6" w14:textId="77777777" w:rsidR="00723A23" w:rsidRPr="00723A23" w:rsidRDefault="00723A23" w:rsidP="00723A23">
            <w:pPr>
              <w:rPr>
                <w:rFonts w:ascii="Arial" w:eastAsia="Times New Roman" w:hAnsi="Arial" w:cs="Arial"/>
                <w:b/>
                <w:bCs/>
                <w:color w:val="000000"/>
                <w:sz w:val="14"/>
                <w:szCs w:val="14"/>
                <w:lang w:val="cs-CZ" w:eastAsia="cs-CZ"/>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066AF8B0" w14:textId="77777777" w:rsidR="00723A23" w:rsidRPr="00723A23" w:rsidRDefault="00723A23" w:rsidP="00723A23">
            <w:pPr>
              <w:rPr>
                <w:rFonts w:ascii="Arial" w:eastAsia="Times New Roman" w:hAnsi="Arial" w:cs="Arial"/>
                <w:b/>
                <w:bCs/>
                <w:color w:val="000000"/>
                <w:sz w:val="14"/>
                <w:szCs w:val="14"/>
                <w:lang w:val="cs-CZ" w:eastAsia="cs-CZ"/>
              </w:rPr>
            </w:pPr>
          </w:p>
        </w:tc>
        <w:tc>
          <w:tcPr>
            <w:tcW w:w="705" w:type="dxa"/>
            <w:tcBorders>
              <w:top w:val="nil"/>
              <w:left w:val="nil"/>
              <w:bottom w:val="single" w:sz="4" w:space="0" w:color="auto"/>
              <w:right w:val="single" w:sz="4" w:space="0" w:color="auto"/>
            </w:tcBorders>
            <w:shd w:val="clear" w:color="000000" w:fill="FFFFFF"/>
            <w:vAlign w:val="center"/>
            <w:hideMark/>
          </w:tcPr>
          <w:p w14:paraId="50D31B27"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4DC58F3E"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2F1522D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58E5E8A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071BD72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521A4770"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55338414"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45EDECA"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3695B7F6"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28BF2445"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000000" w:fill="FFFFFF"/>
            <w:vAlign w:val="center"/>
            <w:hideMark/>
          </w:tcPr>
          <w:p w14:paraId="47DF44FB"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c>
          <w:tcPr>
            <w:tcW w:w="667" w:type="dxa"/>
            <w:gridSpan w:val="2"/>
            <w:tcBorders>
              <w:top w:val="nil"/>
              <w:left w:val="nil"/>
              <w:bottom w:val="single" w:sz="4" w:space="0" w:color="auto"/>
              <w:right w:val="single" w:sz="4" w:space="0" w:color="auto"/>
            </w:tcBorders>
            <w:shd w:val="clear" w:color="000000" w:fill="FFFFFF"/>
            <w:vAlign w:val="center"/>
            <w:hideMark/>
          </w:tcPr>
          <w:p w14:paraId="5B6629D3" w14:textId="77777777" w:rsidR="00723A23" w:rsidRPr="00723A23" w:rsidRDefault="00723A23" w:rsidP="00723A23">
            <w:pPr>
              <w:jc w:val="center"/>
              <w:rPr>
                <w:rFonts w:ascii="Arial" w:eastAsia="Times New Roman" w:hAnsi="Arial" w:cs="Arial"/>
                <w:b/>
                <w:bCs/>
                <w:color w:val="000000"/>
                <w:sz w:val="14"/>
                <w:szCs w:val="14"/>
                <w:lang w:val="cs-CZ" w:eastAsia="cs-CZ"/>
              </w:rPr>
            </w:pPr>
            <w:r w:rsidRPr="00723A23">
              <w:rPr>
                <w:rFonts w:ascii="Arial" w:eastAsia="Times New Roman" w:hAnsi="Arial" w:cs="Arial"/>
                <w:b/>
                <w:bCs/>
                <w:color w:val="000000"/>
                <w:sz w:val="14"/>
                <w:szCs w:val="14"/>
                <w:lang w:val="cs-CZ" w:eastAsia="cs-CZ"/>
              </w:rPr>
              <w:t>Ž</w:t>
            </w:r>
          </w:p>
        </w:tc>
      </w:tr>
      <w:tr w:rsidR="0070459D" w:rsidRPr="00723A23" w14:paraId="382C7174" w14:textId="77777777" w:rsidTr="00FA0609">
        <w:trPr>
          <w:trHeight w:val="20"/>
        </w:trPr>
        <w:tc>
          <w:tcPr>
            <w:tcW w:w="5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E32455"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67410</w:t>
            </w:r>
          </w:p>
        </w:tc>
        <w:tc>
          <w:tcPr>
            <w:tcW w:w="24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F5BF8B"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Počet nově zavedených nebo inovovaných služeb</w:t>
            </w:r>
          </w:p>
        </w:tc>
        <w:tc>
          <w:tcPr>
            <w:tcW w:w="4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C24290"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ESF</w:t>
            </w:r>
          </w:p>
        </w:tc>
        <w:tc>
          <w:tcPr>
            <w:tcW w:w="11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806CF3"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Méně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E06991"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Služby</w:t>
            </w:r>
          </w:p>
        </w:tc>
        <w:tc>
          <w:tcPr>
            <w:tcW w:w="94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3E9780"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5"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0F46C95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6,000</w:t>
            </w:r>
          </w:p>
        </w:tc>
        <w:tc>
          <w:tcPr>
            <w:tcW w:w="801" w:type="dxa"/>
            <w:tcBorders>
              <w:top w:val="nil"/>
              <w:left w:val="nil"/>
              <w:bottom w:val="single" w:sz="4" w:space="0" w:color="auto"/>
              <w:right w:val="single" w:sz="4" w:space="0" w:color="auto"/>
            </w:tcBorders>
            <w:shd w:val="clear" w:color="000000" w:fill="E7E6E6"/>
            <w:vAlign w:val="center"/>
            <w:hideMark/>
          </w:tcPr>
          <w:p w14:paraId="29A6DF2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01CBBF2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006FEDF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6107FCA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0A75B70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60FAB4F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0,930</w:t>
            </w:r>
          </w:p>
        </w:tc>
        <w:tc>
          <w:tcPr>
            <w:tcW w:w="801" w:type="dxa"/>
            <w:tcBorders>
              <w:top w:val="nil"/>
              <w:left w:val="nil"/>
              <w:bottom w:val="single" w:sz="4" w:space="0" w:color="auto"/>
              <w:right w:val="single" w:sz="4" w:space="0" w:color="auto"/>
            </w:tcBorders>
            <w:shd w:val="clear" w:color="000000" w:fill="E7E6E6"/>
            <w:vAlign w:val="center"/>
            <w:hideMark/>
          </w:tcPr>
          <w:p w14:paraId="0CFD87D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7551966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5603CFF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6B4D71B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151094E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15,500</w:t>
            </w:r>
          </w:p>
        </w:tc>
      </w:tr>
      <w:tr w:rsidR="00723A23" w:rsidRPr="00723A23" w14:paraId="62B53BF8"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1C093055"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278FE168"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55C712EB"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512DADCB"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60711837"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6DBADD27"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vMerge/>
            <w:tcBorders>
              <w:top w:val="nil"/>
              <w:left w:val="single" w:sz="4" w:space="0" w:color="auto"/>
              <w:bottom w:val="single" w:sz="4" w:space="0" w:color="000000"/>
              <w:right w:val="single" w:sz="4" w:space="0" w:color="auto"/>
            </w:tcBorders>
            <w:vAlign w:val="center"/>
            <w:hideMark/>
          </w:tcPr>
          <w:p w14:paraId="34C325F1" w14:textId="77777777" w:rsidR="00723A23" w:rsidRPr="00723A23" w:rsidRDefault="00723A23" w:rsidP="00723A23">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FFFFFF"/>
            <w:vAlign w:val="center"/>
            <w:hideMark/>
          </w:tcPr>
          <w:p w14:paraId="3D93634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5A551EC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E8B36D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DC317C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10738F4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3C4B43F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2E7A6F8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2A14AAD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75EAC10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49FD5D2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vMerge/>
            <w:tcBorders>
              <w:top w:val="nil"/>
              <w:left w:val="single" w:sz="4" w:space="0" w:color="auto"/>
              <w:bottom w:val="single" w:sz="4" w:space="0" w:color="000000"/>
              <w:right w:val="single" w:sz="4" w:space="0" w:color="auto"/>
            </w:tcBorders>
            <w:vAlign w:val="center"/>
            <w:hideMark/>
          </w:tcPr>
          <w:p w14:paraId="17EC6396"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0AA586CA"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DCA8810"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3DD2A807"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5584E2B1"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65F98B72"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1678AE0"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6C4793E1"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vMerge/>
            <w:tcBorders>
              <w:top w:val="nil"/>
              <w:left w:val="single" w:sz="4" w:space="0" w:color="auto"/>
              <w:bottom w:val="single" w:sz="4" w:space="0" w:color="000000"/>
              <w:right w:val="single" w:sz="4" w:space="0" w:color="auto"/>
            </w:tcBorders>
            <w:vAlign w:val="center"/>
            <w:hideMark/>
          </w:tcPr>
          <w:p w14:paraId="11011D25" w14:textId="77777777" w:rsidR="00723A23" w:rsidRPr="00723A23" w:rsidRDefault="00723A23" w:rsidP="00723A23">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FFFFFF"/>
            <w:vAlign w:val="center"/>
            <w:hideMark/>
          </w:tcPr>
          <w:p w14:paraId="72C7D86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77C5B79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7721037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488F679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4086DB7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109E072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1985090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1FB7612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5916DD5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5D358FE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vMerge/>
            <w:tcBorders>
              <w:top w:val="nil"/>
              <w:left w:val="single" w:sz="4" w:space="0" w:color="auto"/>
              <w:bottom w:val="single" w:sz="4" w:space="0" w:color="000000"/>
              <w:right w:val="single" w:sz="4" w:space="0" w:color="auto"/>
            </w:tcBorders>
            <w:vAlign w:val="center"/>
            <w:hideMark/>
          </w:tcPr>
          <w:p w14:paraId="6ADF113F"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0A72CE09"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0B30B240"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663303EF"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4E2ADAFD"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5D1FFCB7"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2F2EEC65"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362FB875"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vMerge/>
            <w:tcBorders>
              <w:top w:val="nil"/>
              <w:left w:val="single" w:sz="4" w:space="0" w:color="auto"/>
              <w:bottom w:val="single" w:sz="4" w:space="0" w:color="000000"/>
              <w:right w:val="single" w:sz="4" w:space="0" w:color="auto"/>
            </w:tcBorders>
            <w:vAlign w:val="center"/>
            <w:hideMark/>
          </w:tcPr>
          <w:p w14:paraId="5FC42B35" w14:textId="77777777" w:rsidR="00723A23" w:rsidRPr="00723A23" w:rsidRDefault="00723A23" w:rsidP="00723A23">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E7E6E6"/>
            <w:vAlign w:val="center"/>
            <w:hideMark/>
          </w:tcPr>
          <w:p w14:paraId="03BA6DC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2211C60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1EE7D65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3F17680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7FFDCD5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46BC9BA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0,930</w:t>
            </w:r>
          </w:p>
        </w:tc>
        <w:tc>
          <w:tcPr>
            <w:tcW w:w="801" w:type="dxa"/>
            <w:tcBorders>
              <w:top w:val="nil"/>
              <w:left w:val="nil"/>
              <w:bottom w:val="single" w:sz="4" w:space="0" w:color="auto"/>
              <w:right w:val="single" w:sz="4" w:space="0" w:color="auto"/>
            </w:tcBorders>
            <w:shd w:val="clear" w:color="000000" w:fill="E7E6E6"/>
            <w:vAlign w:val="center"/>
            <w:hideMark/>
          </w:tcPr>
          <w:p w14:paraId="4CABAC3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70FB427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7232238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0888D5F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vMerge/>
            <w:tcBorders>
              <w:top w:val="nil"/>
              <w:left w:val="single" w:sz="4" w:space="0" w:color="auto"/>
              <w:bottom w:val="single" w:sz="4" w:space="0" w:color="000000"/>
              <w:right w:val="single" w:sz="4" w:space="0" w:color="auto"/>
            </w:tcBorders>
            <w:vAlign w:val="center"/>
            <w:hideMark/>
          </w:tcPr>
          <w:p w14:paraId="0485574D"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0CA2895A"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7156F76C"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305EE75E"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43DEC1D0"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53BE1909"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ED34B42"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4AFAE669"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tcBorders>
              <w:top w:val="nil"/>
              <w:left w:val="nil"/>
              <w:bottom w:val="single" w:sz="4" w:space="0" w:color="auto"/>
              <w:right w:val="single" w:sz="4" w:space="0" w:color="auto"/>
            </w:tcBorders>
            <w:shd w:val="clear" w:color="auto" w:fill="auto"/>
            <w:vAlign w:val="center"/>
            <w:hideMark/>
          </w:tcPr>
          <w:p w14:paraId="1666364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A3CACA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4B8C70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FB9410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0FF597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F181A7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ABC71B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A62760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E57E05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C470B2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C82C56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tcBorders>
              <w:top w:val="nil"/>
              <w:left w:val="nil"/>
              <w:bottom w:val="single" w:sz="4" w:space="0" w:color="auto"/>
              <w:right w:val="single" w:sz="4" w:space="0" w:color="auto"/>
            </w:tcBorders>
            <w:shd w:val="clear" w:color="auto" w:fill="auto"/>
            <w:vAlign w:val="center"/>
            <w:hideMark/>
          </w:tcPr>
          <w:p w14:paraId="6FDD01FF"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3955CB6F"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527C02F5"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7A8A52DB"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2799A44E"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4C410AD8"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649D762"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09D8BF6B"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tcBorders>
              <w:top w:val="nil"/>
              <w:left w:val="nil"/>
              <w:bottom w:val="single" w:sz="4" w:space="0" w:color="auto"/>
              <w:right w:val="single" w:sz="4" w:space="0" w:color="auto"/>
            </w:tcBorders>
            <w:shd w:val="clear" w:color="auto" w:fill="auto"/>
            <w:vAlign w:val="center"/>
            <w:hideMark/>
          </w:tcPr>
          <w:p w14:paraId="5B34263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AABDF1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E9AECB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877331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FEEFB2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E26CBA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160C65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8A6332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B052B7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0608AC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2B9EB4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tcBorders>
              <w:top w:val="nil"/>
              <w:left w:val="nil"/>
              <w:bottom w:val="single" w:sz="4" w:space="0" w:color="auto"/>
              <w:right w:val="single" w:sz="4" w:space="0" w:color="auto"/>
            </w:tcBorders>
            <w:shd w:val="clear" w:color="auto" w:fill="auto"/>
            <w:vAlign w:val="center"/>
            <w:hideMark/>
          </w:tcPr>
          <w:p w14:paraId="118513D0"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0459D" w:rsidRPr="00723A23" w14:paraId="3C955035" w14:textId="77777777" w:rsidTr="00FA0609">
        <w:trPr>
          <w:trHeight w:val="20"/>
        </w:trPr>
        <w:tc>
          <w:tcPr>
            <w:tcW w:w="50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B6A35FF" w14:textId="77777777" w:rsidR="00723A23" w:rsidRPr="00723A23" w:rsidRDefault="00723A23" w:rsidP="00723A23">
            <w:pPr>
              <w:jc w:val="cente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67410</w:t>
            </w:r>
          </w:p>
        </w:tc>
        <w:tc>
          <w:tcPr>
            <w:tcW w:w="24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A634DB"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Počet nově zavedených nebo inovovaných služeb</w:t>
            </w:r>
          </w:p>
        </w:tc>
        <w:tc>
          <w:tcPr>
            <w:tcW w:w="4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7467866"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ESF</w:t>
            </w:r>
          </w:p>
        </w:tc>
        <w:tc>
          <w:tcPr>
            <w:tcW w:w="117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85956F"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Více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0C27586"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Služby</w:t>
            </w:r>
          </w:p>
        </w:tc>
        <w:tc>
          <w:tcPr>
            <w:tcW w:w="94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238A57"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číslo</w:t>
            </w:r>
          </w:p>
        </w:tc>
        <w:tc>
          <w:tcPr>
            <w:tcW w:w="705"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417F24C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1,000</w:t>
            </w:r>
          </w:p>
        </w:tc>
        <w:tc>
          <w:tcPr>
            <w:tcW w:w="801" w:type="dxa"/>
            <w:tcBorders>
              <w:top w:val="nil"/>
              <w:left w:val="nil"/>
              <w:bottom w:val="single" w:sz="4" w:space="0" w:color="auto"/>
              <w:right w:val="single" w:sz="4" w:space="0" w:color="auto"/>
            </w:tcBorders>
            <w:shd w:val="clear" w:color="000000" w:fill="E7E6E6"/>
            <w:vAlign w:val="center"/>
            <w:hideMark/>
          </w:tcPr>
          <w:p w14:paraId="45B2421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629EC38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7FC0C57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2164973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2B09CDF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322EF39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0,070</w:t>
            </w:r>
          </w:p>
        </w:tc>
        <w:tc>
          <w:tcPr>
            <w:tcW w:w="801" w:type="dxa"/>
            <w:tcBorders>
              <w:top w:val="nil"/>
              <w:left w:val="nil"/>
              <w:bottom w:val="single" w:sz="4" w:space="0" w:color="auto"/>
              <w:right w:val="single" w:sz="4" w:space="0" w:color="auto"/>
            </w:tcBorders>
            <w:shd w:val="clear" w:color="000000" w:fill="E7E6E6"/>
            <w:vAlign w:val="center"/>
            <w:hideMark/>
          </w:tcPr>
          <w:p w14:paraId="4E43BB8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177EE5F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7A48209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3C17637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684F12E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7,000</w:t>
            </w:r>
          </w:p>
        </w:tc>
      </w:tr>
      <w:tr w:rsidR="00723A23" w:rsidRPr="00723A23" w14:paraId="499EB563"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4732D9BE"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04D83BB9"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7677D8AF"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6EC09F6B"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6EB0B0CC"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0B7B75BA"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vMerge/>
            <w:tcBorders>
              <w:top w:val="nil"/>
              <w:left w:val="single" w:sz="4" w:space="0" w:color="auto"/>
              <w:bottom w:val="single" w:sz="4" w:space="0" w:color="000000"/>
              <w:right w:val="single" w:sz="4" w:space="0" w:color="auto"/>
            </w:tcBorders>
            <w:vAlign w:val="center"/>
            <w:hideMark/>
          </w:tcPr>
          <w:p w14:paraId="1A601E8A" w14:textId="77777777" w:rsidR="00723A23" w:rsidRPr="00723A23" w:rsidRDefault="00723A23" w:rsidP="00723A23">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FFFFFF"/>
            <w:vAlign w:val="center"/>
            <w:hideMark/>
          </w:tcPr>
          <w:p w14:paraId="74804FE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79870EF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4D56DC4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184E281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96534C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AA68D2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32813F3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236245F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C221428"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126C01B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vMerge/>
            <w:tcBorders>
              <w:top w:val="nil"/>
              <w:left w:val="single" w:sz="4" w:space="0" w:color="auto"/>
              <w:bottom w:val="single" w:sz="4" w:space="0" w:color="000000"/>
              <w:right w:val="single" w:sz="4" w:space="0" w:color="auto"/>
            </w:tcBorders>
            <w:vAlign w:val="center"/>
            <w:hideMark/>
          </w:tcPr>
          <w:p w14:paraId="5489E839"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5D05A6EF"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68A17945"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15B631E6"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09A4F244"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17EEC68A"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E435993"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38D03425"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vMerge/>
            <w:tcBorders>
              <w:top w:val="nil"/>
              <w:left w:val="single" w:sz="4" w:space="0" w:color="auto"/>
              <w:bottom w:val="single" w:sz="4" w:space="0" w:color="000000"/>
              <w:right w:val="single" w:sz="4" w:space="0" w:color="auto"/>
            </w:tcBorders>
            <w:vAlign w:val="center"/>
            <w:hideMark/>
          </w:tcPr>
          <w:p w14:paraId="266D3DD1" w14:textId="77777777" w:rsidR="00723A23" w:rsidRPr="00723A23" w:rsidRDefault="00723A23" w:rsidP="00723A23">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FFFFFF"/>
            <w:vAlign w:val="center"/>
            <w:hideMark/>
          </w:tcPr>
          <w:p w14:paraId="47E9549D"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5D5FF52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454BFAFC"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EE86307"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42BAFF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1B0AD8A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A260F15"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711D43A3"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0AB8A819"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FFFFFF"/>
            <w:vAlign w:val="center"/>
            <w:hideMark/>
          </w:tcPr>
          <w:p w14:paraId="69157F80"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vMerge/>
            <w:tcBorders>
              <w:top w:val="nil"/>
              <w:left w:val="single" w:sz="4" w:space="0" w:color="auto"/>
              <w:bottom w:val="single" w:sz="4" w:space="0" w:color="000000"/>
              <w:right w:val="single" w:sz="4" w:space="0" w:color="auto"/>
            </w:tcBorders>
            <w:vAlign w:val="center"/>
            <w:hideMark/>
          </w:tcPr>
          <w:p w14:paraId="78C94915"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70B9A6C2"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3CE205DA"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46074CAB"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2115191C"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41710A9C"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28B0C86F"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210601EC"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vMerge/>
            <w:tcBorders>
              <w:top w:val="nil"/>
              <w:left w:val="single" w:sz="4" w:space="0" w:color="auto"/>
              <w:bottom w:val="single" w:sz="4" w:space="0" w:color="000000"/>
              <w:right w:val="single" w:sz="4" w:space="0" w:color="auto"/>
            </w:tcBorders>
            <w:vAlign w:val="center"/>
            <w:hideMark/>
          </w:tcPr>
          <w:p w14:paraId="7E848C07" w14:textId="77777777" w:rsidR="00723A23" w:rsidRPr="00723A23" w:rsidRDefault="00723A23" w:rsidP="00723A23">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000000" w:fill="E7E6E6"/>
            <w:vAlign w:val="center"/>
            <w:hideMark/>
          </w:tcPr>
          <w:p w14:paraId="3DFCEBD1"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2AEF93C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4404435B"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7298D7A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6C95A9C2"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0,000</w:t>
            </w:r>
          </w:p>
        </w:tc>
        <w:tc>
          <w:tcPr>
            <w:tcW w:w="801" w:type="dxa"/>
            <w:tcBorders>
              <w:top w:val="nil"/>
              <w:left w:val="nil"/>
              <w:bottom w:val="single" w:sz="4" w:space="0" w:color="auto"/>
              <w:right w:val="single" w:sz="4" w:space="0" w:color="auto"/>
            </w:tcBorders>
            <w:shd w:val="clear" w:color="000000" w:fill="E7E6E6"/>
            <w:vAlign w:val="center"/>
            <w:hideMark/>
          </w:tcPr>
          <w:p w14:paraId="449E68FE"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0,070</w:t>
            </w:r>
          </w:p>
        </w:tc>
        <w:tc>
          <w:tcPr>
            <w:tcW w:w="801" w:type="dxa"/>
            <w:tcBorders>
              <w:top w:val="nil"/>
              <w:left w:val="nil"/>
              <w:bottom w:val="single" w:sz="4" w:space="0" w:color="auto"/>
              <w:right w:val="single" w:sz="4" w:space="0" w:color="auto"/>
            </w:tcBorders>
            <w:shd w:val="clear" w:color="000000" w:fill="E7E6E6"/>
            <w:vAlign w:val="center"/>
            <w:hideMark/>
          </w:tcPr>
          <w:p w14:paraId="0C2EB94F"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7787C7CA"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2F088426"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000000" w:fill="E7E6E6"/>
            <w:vAlign w:val="center"/>
            <w:hideMark/>
          </w:tcPr>
          <w:p w14:paraId="74C271B4" w14:textId="77777777" w:rsidR="00723A23" w:rsidRPr="00723A23" w:rsidRDefault="00723A23" w:rsidP="00723A23">
            <w:pPr>
              <w:jc w:val="right"/>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667" w:type="dxa"/>
            <w:gridSpan w:val="2"/>
            <w:vMerge/>
            <w:tcBorders>
              <w:top w:val="nil"/>
              <w:left w:val="single" w:sz="4" w:space="0" w:color="auto"/>
              <w:bottom w:val="single" w:sz="4" w:space="0" w:color="000000"/>
              <w:right w:val="single" w:sz="4" w:space="0" w:color="auto"/>
            </w:tcBorders>
            <w:vAlign w:val="center"/>
            <w:hideMark/>
          </w:tcPr>
          <w:p w14:paraId="629106AB" w14:textId="77777777" w:rsidR="00723A23" w:rsidRPr="00723A23" w:rsidRDefault="00723A23" w:rsidP="00723A23">
            <w:pPr>
              <w:rPr>
                <w:rFonts w:ascii="Arial" w:eastAsia="Times New Roman" w:hAnsi="Arial" w:cs="Arial"/>
                <w:color w:val="000000"/>
                <w:sz w:val="14"/>
                <w:szCs w:val="14"/>
                <w:lang w:val="cs-CZ" w:eastAsia="cs-CZ"/>
              </w:rPr>
            </w:pPr>
          </w:p>
        </w:tc>
      </w:tr>
      <w:tr w:rsidR="00723A23" w:rsidRPr="00723A23" w14:paraId="05CB4FD0"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1D3F5C1C"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22BD6CEC"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58086FE7"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56B9C669"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2FFD8DA7"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2D2FFB8A"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tcBorders>
              <w:top w:val="nil"/>
              <w:left w:val="nil"/>
              <w:bottom w:val="single" w:sz="4" w:space="0" w:color="auto"/>
              <w:right w:val="single" w:sz="4" w:space="0" w:color="auto"/>
            </w:tcBorders>
            <w:shd w:val="clear" w:color="auto" w:fill="auto"/>
            <w:vAlign w:val="center"/>
            <w:hideMark/>
          </w:tcPr>
          <w:p w14:paraId="24D195A1"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176619AF"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42F3FA08"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24CBEC3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3E327FC8"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325CE829"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314331D4"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79DB700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72667AF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608914D9"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05F1BA0D"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667" w:type="dxa"/>
            <w:gridSpan w:val="2"/>
            <w:tcBorders>
              <w:top w:val="nil"/>
              <w:left w:val="nil"/>
              <w:bottom w:val="single" w:sz="4" w:space="0" w:color="auto"/>
              <w:right w:val="single" w:sz="4" w:space="0" w:color="auto"/>
            </w:tcBorders>
            <w:shd w:val="clear" w:color="auto" w:fill="auto"/>
            <w:vAlign w:val="center"/>
            <w:hideMark/>
          </w:tcPr>
          <w:p w14:paraId="257B49CF"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r w:rsidR="00723A23" w:rsidRPr="00723A23" w14:paraId="05C50047" w14:textId="77777777" w:rsidTr="00FA0609">
        <w:trPr>
          <w:trHeight w:val="20"/>
        </w:trPr>
        <w:tc>
          <w:tcPr>
            <w:tcW w:w="505" w:type="dxa"/>
            <w:vMerge/>
            <w:tcBorders>
              <w:top w:val="nil"/>
              <w:left w:val="single" w:sz="4" w:space="0" w:color="auto"/>
              <w:bottom w:val="single" w:sz="4" w:space="0" w:color="000000"/>
              <w:right w:val="single" w:sz="4" w:space="0" w:color="auto"/>
            </w:tcBorders>
            <w:vAlign w:val="center"/>
            <w:hideMark/>
          </w:tcPr>
          <w:p w14:paraId="63C18839" w14:textId="77777777" w:rsidR="00723A23" w:rsidRPr="00723A23" w:rsidRDefault="00723A23" w:rsidP="00723A23">
            <w:pPr>
              <w:rPr>
                <w:rFonts w:ascii="Arial" w:eastAsia="Times New Roman" w:hAnsi="Arial" w:cs="Arial"/>
                <w:color w:val="000000"/>
                <w:sz w:val="14"/>
                <w:szCs w:val="14"/>
                <w:lang w:val="cs-CZ" w:eastAsia="cs-CZ"/>
              </w:rPr>
            </w:pPr>
          </w:p>
        </w:tc>
        <w:tc>
          <w:tcPr>
            <w:tcW w:w="2451" w:type="dxa"/>
            <w:vMerge/>
            <w:tcBorders>
              <w:top w:val="nil"/>
              <w:left w:val="single" w:sz="4" w:space="0" w:color="auto"/>
              <w:bottom w:val="single" w:sz="4" w:space="0" w:color="000000"/>
              <w:right w:val="single" w:sz="4" w:space="0" w:color="auto"/>
            </w:tcBorders>
            <w:vAlign w:val="center"/>
            <w:hideMark/>
          </w:tcPr>
          <w:p w14:paraId="1293CC40" w14:textId="77777777" w:rsidR="00723A23" w:rsidRPr="00723A23" w:rsidRDefault="00723A23" w:rsidP="00723A23">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4B0F690C" w14:textId="77777777" w:rsidR="00723A23" w:rsidRPr="00723A23" w:rsidRDefault="00723A23" w:rsidP="00723A23">
            <w:pPr>
              <w:rPr>
                <w:rFonts w:ascii="Arial" w:eastAsia="Times New Roman" w:hAnsi="Arial" w:cs="Arial"/>
                <w:color w:val="000000"/>
                <w:sz w:val="14"/>
                <w:szCs w:val="14"/>
                <w:lang w:val="cs-CZ" w:eastAsia="cs-CZ"/>
              </w:rPr>
            </w:pPr>
          </w:p>
        </w:tc>
        <w:tc>
          <w:tcPr>
            <w:tcW w:w="1176" w:type="dxa"/>
            <w:vMerge/>
            <w:tcBorders>
              <w:top w:val="nil"/>
              <w:left w:val="single" w:sz="4" w:space="0" w:color="auto"/>
              <w:bottom w:val="single" w:sz="4" w:space="0" w:color="000000"/>
              <w:right w:val="single" w:sz="4" w:space="0" w:color="auto"/>
            </w:tcBorders>
            <w:vAlign w:val="center"/>
            <w:hideMark/>
          </w:tcPr>
          <w:p w14:paraId="293DDB3C" w14:textId="77777777" w:rsidR="00723A23" w:rsidRPr="00723A23" w:rsidRDefault="00723A23" w:rsidP="00723A23">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45105986" w14:textId="77777777" w:rsidR="00723A23" w:rsidRPr="00723A23" w:rsidRDefault="00723A23" w:rsidP="00723A23">
            <w:pPr>
              <w:rPr>
                <w:rFonts w:ascii="Arial" w:eastAsia="Times New Roman" w:hAnsi="Arial" w:cs="Arial"/>
                <w:color w:val="000000"/>
                <w:sz w:val="14"/>
                <w:szCs w:val="14"/>
                <w:lang w:val="cs-CZ" w:eastAsia="cs-CZ"/>
              </w:rPr>
            </w:pPr>
          </w:p>
        </w:tc>
        <w:tc>
          <w:tcPr>
            <w:tcW w:w="949" w:type="dxa"/>
            <w:vMerge/>
            <w:tcBorders>
              <w:top w:val="nil"/>
              <w:left w:val="single" w:sz="4" w:space="0" w:color="auto"/>
              <w:bottom w:val="single" w:sz="4" w:space="0" w:color="000000"/>
              <w:right w:val="single" w:sz="4" w:space="0" w:color="auto"/>
            </w:tcBorders>
            <w:vAlign w:val="center"/>
            <w:hideMark/>
          </w:tcPr>
          <w:p w14:paraId="1F474385" w14:textId="77777777" w:rsidR="00723A23" w:rsidRPr="00723A23" w:rsidRDefault="00723A23" w:rsidP="00723A23">
            <w:pPr>
              <w:rPr>
                <w:rFonts w:ascii="Arial" w:eastAsia="Times New Roman" w:hAnsi="Arial" w:cs="Arial"/>
                <w:color w:val="000000"/>
                <w:sz w:val="14"/>
                <w:szCs w:val="14"/>
                <w:lang w:val="cs-CZ" w:eastAsia="cs-CZ"/>
              </w:rPr>
            </w:pPr>
          </w:p>
        </w:tc>
        <w:tc>
          <w:tcPr>
            <w:tcW w:w="705" w:type="dxa"/>
            <w:tcBorders>
              <w:top w:val="nil"/>
              <w:left w:val="nil"/>
              <w:bottom w:val="single" w:sz="4" w:space="0" w:color="auto"/>
              <w:right w:val="single" w:sz="4" w:space="0" w:color="auto"/>
            </w:tcBorders>
            <w:shd w:val="clear" w:color="auto" w:fill="auto"/>
            <w:vAlign w:val="center"/>
            <w:hideMark/>
          </w:tcPr>
          <w:p w14:paraId="0BF616FE"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7ADCC14C"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01F07534"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00CCF149"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51512323"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30BDC73B"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7B910124"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04E5B2B3"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7B0530CD"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112E1605"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801" w:type="dxa"/>
            <w:tcBorders>
              <w:top w:val="nil"/>
              <w:left w:val="nil"/>
              <w:bottom w:val="single" w:sz="4" w:space="0" w:color="auto"/>
              <w:right w:val="single" w:sz="4" w:space="0" w:color="auto"/>
            </w:tcBorders>
            <w:shd w:val="clear" w:color="auto" w:fill="auto"/>
            <w:noWrap/>
            <w:vAlign w:val="bottom"/>
            <w:hideMark/>
          </w:tcPr>
          <w:p w14:paraId="300F86DF" w14:textId="77777777" w:rsidR="00723A23" w:rsidRPr="00723A23" w:rsidRDefault="00723A23" w:rsidP="00723A23">
            <w:pPr>
              <w:rPr>
                <w:rFonts w:ascii="Arial" w:eastAsia="Times New Roman" w:hAnsi="Arial" w:cs="Arial"/>
                <w:color w:val="000000"/>
                <w:sz w:val="18"/>
                <w:szCs w:val="18"/>
                <w:lang w:val="cs-CZ" w:eastAsia="cs-CZ"/>
              </w:rPr>
            </w:pPr>
            <w:r w:rsidRPr="00723A23">
              <w:rPr>
                <w:rFonts w:ascii="Arial" w:eastAsia="Times New Roman" w:hAnsi="Arial" w:cs="Arial"/>
                <w:color w:val="000000"/>
                <w:sz w:val="18"/>
                <w:szCs w:val="18"/>
                <w:lang w:val="cs-CZ" w:eastAsia="cs-CZ"/>
              </w:rPr>
              <w:t> </w:t>
            </w:r>
          </w:p>
        </w:tc>
        <w:tc>
          <w:tcPr>
            <w:tcW w:w="667" w:type="dxa"/>
            <w:gridSpan w:val="2"/>
            <w:tcBorders>
              <w:top w:val="nil"/>
              <w:left w:val="nil"/>
              <w:bottom w:val="single" w:sz="4" w:space="0" w:color="auto"/>
              <w:right w:val="single" w:sz="4" w:space="0" w:color="auto"/>
            </w:tcBorders>
            <w:shd w:val="clear" w:color="auto" w:fill="auto"/>
            <w:vAlign w:val="center"/>
            <w:hideMark/>
          </w:tcPr>
          <w:p w14:paraId="5EB5F6AC" w14:textId="77777777" w:rsidR="00723A23" w:rsidRPr="00723A23" w:rsidRDefault="00723A23" w:rsidP="00723A23">
            <w:pPr>
              <w:rPr>
                <w:rFonts w:ascii="Arial" w:eastAsia="Times New Roman" w:hAnsi="Arial" w:cs="Arial"/>
                <w:color w:val="000000"/>
                <w:sz w:val="14"/>
                <w:szCs w:val="14"/>
                <w:lang w:val="cs-CZ" w:eastAsia="cs-CZ"/>
              </w:rPr>
            </w:pPr>
            <w:r w:rsidRPr="00723A23">
              <w:rPr>
                <w:rFonts w:ascii="Arial" w:eastAsia="Times New Roman" w:hAnsi="Arial" w:cs="Arial"/>
                <w:color w:val="000000"/>
                <w:sz w:val="14"/>
                <w:szCs w:val="14"/>
                <w:lang w:val="cs-CZ" w:eastAsia="cs-CZ"/>
              </w:rPr>
              <w:t> </w:t>
            </w:r>
          </w:p>
        </w:tc>
      </w:tr>
    </w:tbl>
    <w:p w14:paraId="6D8A7658" w14:textId="75842CD7" w:rsidR="00FA0609" w:rsidRPr="002F2BE4" w:rsidRDefault="00FA0609" w:rsidP="00A722E5">
      <w:pPr>
        <w:ind w:right="108"/>
        <w:jc w:val="both"/>
        <w:rPr>
          <w:rFonts w:ascii="Arial" w:eastAsia="Arial" w:hAnsi="Arial" w:cs="Arial"/>
          <w:color w:val="000000"/>
          <w:sz w:val="20"/>
          <w:lang w:val="cs-CZ"/>
        </w:rPr>
      </w:pPr>
    </w:p>
    <w:p w14:paraId="26D9CD3E"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lastRenderedPageBreak/>
        <w:t>Investiční priorita: 03.2.60 Aktivní začleňování, včetně začleňování s ohledem na podporu rovných příležitostí a aktivní účast a zlepšení zaměstnatelnosti</w:t>
      </w:r>
    </w:p>
    <w:tbl>
      <w:tblPr>
        <w:tblW w:w="15753" w:type="dxa"/>
        <w:tblInd w:w="75" w:type="dxa"/>
        <w:tblCellMar>
          <w:left w:w="70" w:type="dxa"/>
          <w:right w:w="70" w:type="dxa"/>
        </w:tblCellMar>
        <w:tblLook w:val="04A0" w:firstRow="1" w:lastRow="0" w:firstColumn="1" w:lastColumn="0" w:noHBand="0" w:noVBand="1"/>
      </w:tblPr>
      <w:tblGrid>
        <w:gridCol w:w="530"/>
        <w:gridCol w:w="2346"/>
        <w:gridCol w:w="486"/>
        <w:gridCol w:w="1149"/>
        <w:gridCol w:w="856"/>
        <w:gridCol w:w="931"/>
        <w:gridCol w:w="853"/>
        <w:gridCol w:w="796"/>
        <w:gridCol w:w="796"/>
        <w:gridCol w:w="796"/>
        <w:gridCol w:w="796"/>
        <w:gridCol w:w="796"/>
        <w:gridCol w:w="796"/>
        <w:gridCol w:w="796"/>
        <w:gridCol w:w="796"/>
        <w:gridCol w:w="796"/>
        <w:gridCol w:w="799"/>
        <w:gridCol w:w="639"/>
      </w:tblGrid>
      <w:tr w:rsidR="0070459D" w:rsidRPr="0070459D" w14:paraId="07F6E36C" w14:textId="77777777" w:rsidTr="00FA0609">
        <w:trPr>
          <w:trHeight w:val="20"/>
          <w:tblHeader/>
        </w:trPr>
        <w:tc>
          <w:tcPr>
            <w:tcW w:w="5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9DDA19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ID</w:t>
            </w:r>
          </w:p>
        </w:tc>
        <w:tc>
          <w:tcPr>
            <w:tcW w:w="24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68DB91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Indikátor</w:t>
            </w:r>
          </w:p>
        </w:tc>
        <w:tc>
          <w:tcPr>
            <w:tcW w:w="49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6024B8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ESF / YEI</w:t>
            </w:r>
          </w:p>
        </w:tc>
        <w:tc>
          <w:tcPr>
            <w:tcW w:w="11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119096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Kategorie regionu (je-li relevantní)</w:t>
            </w:r>
          </w:p>
        </w:tc>
        <w:tc>
          <w:tcPr>
            <w:tcW w:w="8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8BBD6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Měrná jednotka</w:t>
            </w:r>
          </w:p>
        </w:tc>
        <w:tc>
          <w:tcPr>
            <w:tcW w:w="9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EE806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Jednotka měření pro výchozí hodnotu a cíl</w:t>
            </w:r>
          </w:p>
        </w:tc>
        <w:tc>
          <w:tcPr>
            <w:tcW w:w="8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FC08A5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Cílová hodnota (2023)</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4887274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2014</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03FAD7B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2015</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49314F4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2016</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03BC516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2017</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6A8BD61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2018</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11A17CB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2019</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7B392C3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2020</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5B62811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2021</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6CFE347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2022</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6F301B3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2023</w:t>
            </w:r>
          </w:p>
        </w:tc>
        <w:tc>
          <w:tcPr>
            <w:tcW w:w="6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90E03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Míra splnění</w:t>
            </w:r>
          </w:p>
        </w:tc>
      </w:tr>
      <w:tr w:rsidR="0070459D" w:rsidRPr="0070459D" w14:paraId="3B2E0ACA" w14:textId="77777777" w:rsidTr="00FA0609">
        <w:trPr>
          <w:trHeight w:val="20"/>
          <w:tblHeader/>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257F4B40"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1F76A5C0" w14:textId="77777777" w:rsidR="0070459D" w:rsidRPr="0070459D" w:rsidRDefault="0070459D" w:rsidP="0070459D">
            <w:pPr>
              <w:rPr>
                <w:rFonts w:ascii="Arial" w:eastAsia="Times New Roman" w:hAnsi="Arial" w:cs="Arial"/>
                <w:b/>
                <w:bCs/>
                <w:color w:val="000000"/>
                <w:sz w:val="14"/>
                <w:szCs w:val="14"/>
                <w:lang w:val="cs-CZ" w:eastAsia="cs-CZ"/>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14:paraId="25C185E0"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0C39B506" w14:textId="77777777" w:rsidR="0070459D" w:rsidRPr="0070459D" w:rsidRDefault="0070459D" w:rsidP="0070459D">
            <w:pPr>
              <w:rPr>
                <w:rFonts w:ascii="Arial" w:eastAsia="Times New Roman" w:hAnsi="Arial" w:cs="Arial"/>
                <w:b/>
                <w:bCs/>
                <w:color w:val="000000"/>
                <w:sz w:val="14"/>
                <w:szCs w:val="14"/>
                <w:lang w:val="cs-CZ" w:eastAsia="cs-CZ"/>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14:paraId="1CE26812" w14:textId="77777777" w:rsidR="0070459D" w:rsidRPr="0070459D" w:rsidRDefault="0070459D" w:rsidP="0070459D">
            <w:pPr>
              <w:rPr>
                <w:rFonts w:ascii="Arial" w:eastAsia="Times New Roman" w:hAnsi="Arial" w:cs="Arial"/>
                <w:b/>
                <w:bCs/>
                <w:color w:val="000000"/>
                <w:sz w:val="14"/>
                <w:szCs w:val="14"/>
                <w:lang w:val="cs-CZ" w:eastAsia="cs-CZ"/>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34BF398E" w14:textId="77777777" w:rsidR="0070459D" w:rsidRPr="0070459D" w:rsidRDefault="0070459D" w:rsidP="0070459D">
            <w:pPr>
              <w:rPr>
                <w:rFonts w:ascii="Arial" w:eastAsia="Times New Roman" w:hAnsi="Arial" w:cs="Arial"/>
                <w:b/>
                <w:bCs/>
                <w:color w:val="000000"/>
                <w:sz w:val="14"/>
                <w:szCs w:val="14"/>
                <w:lang w:val="cs-CZ" w:eastAsia="cs-CZ"/>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270FCD36" w14:textId="77777777" w:rsidR="0070459D" w:rsidRPr="0070459D" w:rsidRDefault="0070459D" w:rsidP="0070459D">
            <w:pPr>
              <w:rPr>
                <w:rFonts w:ascii="Arial" w:eastAsia="Times New Roman" w:hAnsi="Arial" w:cs="Arial"/>
                <w:b/>
                <w:bCs/>
                <w:color w:val="000000"/>
                <w:sz w:val="14"/>
                <w:szCs w:val="14"/>
                <w:lang w:val="cs-CZ" w:eastAsia="cs-CZ"/>
              </w:rPr>
            </w:pPr>
          </w:p>
        </w:tc>
        <w:tc>
          <w:tcPr>
            <w:tcW w:w="7963" w:type="dxa"/>
            <w:gridSpan w:val="10"/>
            <w:tcBorders>
              <w:top w:val="single" w:sz="4" w:space="0" w:color="auto"/>
              <w:left w:val="nil"/>
              <w:bottom w:val="single" w:sz="4" w:space="0" w:color="auto"/>
              <w:right w:val="single" w:sz="4" w:space="0" w:color="auto"/>
            </w:tcBorders>
            <w:shd w:val="clear" w:color="000000" w:fill="FFFFFF"/>
            <w:vAlign w:val="center"/>
            <w:hideMark/>
          </w:tcPr>
          <w:p w14:paraId="2440552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Roční hodnota</w:t>
            </w:r>
          </w:p>
        </w:tc>
        <w:tc>
          <w:tcPr>
            <w:tcW w:w="606" w:type="dxa"/>
            <w:vMerge/>
            <w:tcBorders>
              <w:top w:val="single" w:sz="4" w:space="0" w:color="auto"/>
              <w:left w:val="single" w:sz="4" w:space="0" w:color="auto"/>
              <w:bottom w:val="single" w:sz="4" w:space="0" w:color="auto"/>
              <w:right w:val="single" w:sz="4" w:space="0" w:color="auto"/>
            </w:tcBorders>
            <w:vAlign w:val="center"/>
            <w:hideMark/>
          </w:tcPr>
          <w:p w14:paraId="531080E7"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43797E05" w14:textId="77777777" w:rsidTr="00FA0609">
        <w:trPr>
          <w:trHeight w:val="20"/>
          <w:tblHeader/>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7060BE4C"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4A715E6C" w14:textId="77777777" w:rsidR="0070459D" w:rsidRPr="0070459D" w:rsidRDefault="0070459D" w:rsidP="0070459D">
            <w:pPr>
              <w:rPr>
                <w:rFonts w:ascii="Arial" w:eastAsia="Times New Roman" w:hAnsi="Arial" w:cs="Arial"/>
                <w:b/>
                <w:bCs/>
                <w:color w:val="000000"/>
                <w:sz w:val="14"/>
                <w:szCs w:val="14"/>
                <w:lang w:val="cs-CZ" w:eastAsia="cs-CZ"/>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14:paraId="7A4035F7"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0C6331AE" w14:textId="77777777" w:rsidR="0070459D" w:rsidRPr="0070459D" w:rsidRDefault="0070459D" w:rsidP="0070459D">
            <w:pPr>
              <w:rPr>
                <w:rFonts w:ascii="Arial" w:eastAsia="Times New Roman" w:hAnsi="Arial" w:cs="Arial"/>
                <w:b/>
                <w:bCs/>
                <w:color w:val="000000"/>
                <w:sz w:val="14"/>
                <w:szCs w:val="14"/>
                <w:lang w:val="cs-CZ" w:eastAsia="cs-CZ"/>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14:paraId="547597E2" w14:textId="77777777" w:rsidR="0070459D" w:rsidRPr="0070459D" w:rsidRDefault="0070459D" w:rsidP="0070459D">
            <w:pPr>
              <w:rPr>
                <w:rFonts w:ascii="Arial" w:eastAsia="Times New Roman" w:hAnsi="Arial" w:cs="Arial"/>
                <w:b/>
                <w:bCs/>
                <w:color w:val="000000"/>
                <w:sz w:val="14"/>
                <w:szCs w:val="14"/>
                <w:lang w:val="cs-CZ" w:eastAsia="cs-CZ"/>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3E50915E" w14:textId="77777777" w:rsidR="0070459D" w:rsidRPr="0070459D" w:rsidRDefault="0070459D" w:rsidP="0070459D">
            <w:pPr>
              <w:rPr>
                <w:rFonts w:ascii="Arial" w:eastAsia="Times New Roman" w:hAnsi="Arial" w:cs="Arial"/>
                <w:b/>
                <w:bCs/>
                <w:color w:val="000000"/>
                <w:sz w:val="14"/>
                <w:szCs w:val="14"/>
                <w:lang w:val="cs-CZ" w:eastAsia="cs-CZ"/>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33E59BF1" w14:textId="77777777" w:rsidR="0070459D" w:rsidRPr="0070459D" w:rsidRDefault="0070459D" w:rsidP="0070459D">
            <w:pPr>
              <w:rPr>
                <w:rFonts w:ascii="Arial" w:eastAsia="Times New Roman" w:hAnsi="Arial" w:cs="Arial"/>
                <w:b/>
                <w:bCs/>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0A9C296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23ECCE0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4EA991B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5A477D1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03966E8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3D1B6AC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5FDCAC3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2FC8665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360C058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063DF78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06" w:type="dxa"/>
            <w:vMerge/>
            <w:tcBorders>
              <w:top w:val="single" w:sz="4" w:space="0" w:color="auto"/>
              <w:left w:val="single" w:sz="4" w:space="0" w:color="auto"/>
              <w:bottom w:val="single" w:sz="4" w:space="0" w:color="auto"/>
              <w:right w:val="single" w:sz="4" w:space="0" w:color="auto"/>
            </w:tcBorders>
            <w:vAlign w:val="center"/>
            <w:hideMark/>
          </w:tcPr>
          <w:p w14:paraId="124D887A"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49740D24" w14:textId="77777777" w:rsidTr="00FA0609">
        <w:trPr>
          <w:trHeight w:val="20"/>
          <w:tblHeader/>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26E46D85"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244A49C8" w14:textId="77777777" w:rsidR="0070459D" w:rsidRPr="0070459D" w:rsidRDefault="0070459D" w:rsidP="0070459D">
            <w:pPr>
              <w:rPr>
                <w:rFonts w:ascii="Arial" w:eastAsia="Times New Roman" w:hAnsi="Arial" w:cs="Arial"/>
                <w:b/>
                <w:bCs/>
                <w:color w:val="000000"/>
                <w:sz w:val="14"/>
                <w:szCs w:val="14"/>
                <w:lang w:val="cs-CZ" w:eastAsia="cs-CZ"/>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14:paraId="50FD358D"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1CFC4F65" w14:textId="77777777" w:rsidR="0070459D" w:rsidRPr="0070459D" w:rsidRDefault="0070459D" w:rsidP="0070459D">
            <w:pPr>
              <w:rPr>
                <w:rFonts w:ascii="Arial" w:eastAsia="Times New Roman" w:hAnsi="Arial" w:cs="Arial"/>
                <w:b/>
                <w:bCs/>
                <w:color w:val="000000"/>
                <w:sz w:val="14"/>
                <w:szCs w:val="14"/>
                <w:lang w:val="cs-CZ" w:eastAsia="cs-CZ"/>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14:paraId="167EA21F" w14:textId="77777777" w:rsidR="0070459D" w:rsidRPr="0070459D" w:rsidRDefault="0070459D" w:rsidP="0070459D">
            <w:pPr>
              <w:rPr>
                <w:rFonts w:ascii="Arial" w:eastAsia="Times New Roman" w:hAnsi="Arial" w:cs="Arial"/>
                <w:b/>
                <w:bCs/>
                <w:color w:val="000000"/>
                <w:sz w:val="14"/>
                <w:szCs w:val="14"/>
                <w:lang w:val="cs-CZ" w:eastAsia="cs-CZ"/>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131E3D3B" w14:textId="77777777" w:rsidR="0070459D" w:rsidRPr="0070459D" w:rsidRDefault="0070459D" w:rsidP="0070459D">
            <w:pPr>
              <w:rPr>
                <w:rFonts w:ascii="Arial" w:eastAsia="Times New Roman" w:hAnsi="Arial" w:cs="Arial"/>
                <w:b/>
                <w:bCs/>
                <w:color w:val="000000"/>
                <w:sz w:val="14"/>
                <w:szCs w:val="14"/>
                <w:lang w:val="cs-CZ" w:eastAsia="cs-CZ"/>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0A1FBC3B" w14:textId="77777777" w:rsidR="0070459D" w:rsidRPr="0070459D" w:rsidRDefault="0070459D" w:rsidP="0070459D">
            <w:pPr>
              <w:rPr>
                <w:rFonts w:ascii="Arial" w:eastAsia="Times New Roman" w:hAnsi="Arial" w:cs="Arial"/>
                <w:b/>
                <w:bCs/>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7E84D4F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48EABDA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707B8DA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4EF650E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5A89A27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6D2AFAE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24E7A4C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65A8C5F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16C0BCD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7B18C7C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06" w:type="dxa"/>
            <w:vMerge/>
            <w:tcBorders>
              <w:top w:val="single" w:sz="4" w:space="0" w:color="auto"/>
              <w:left w:val="single" w:sz="4" w:space="0" w:color="auto"/>
              <w:bottom w:val="single" w:sz="4" w:space="0" w:color="auto"/>
              <w:right w:val="single" w:sz="4" w:space="0" w:color="auto"/>
            </w:tcBorders>
            <w:vAlign w:val="center"/>
            <w:hideMark/>
          </w:tcPr>
          <w:p w14:paraId="00B561C2"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16F9C60E" w14:textId="77777777" w:rsidTr="00FA0609">
        <w:trPr>
          <w:trHeight w:val="20"/>
          <w:tblHeader/>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04290ABB"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358D4F0C" w14:textId="77777777" w:rsidR="0070459D" w:rsidRPr="0070459D" w:rsidRDefault="0070459D" w:rsidP="0070459D">
            <w:pPr>
              <w:rPr>
                <w:rFonts w:ascii="Arial" w:eastAsia="Times New Roman" w:hAnsi="Arial" w:cs="Arial"/>
                <w:b/>
                <w:bCs/>
                <w:color w:val="000000"/>
                <w:sz w:val="14"/>
                <w:szCs w:val="14"/>
                <w:lang w:val="cs-CZ" w:eastAsia="cs-CZ"/>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14:paraId="091E5229"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6B42975A" w14:textId="77777777" w:rsidR="0070459D" w:rsidRPr="0070459D" w:rsidRDefault="0070459D" w:rsidP="0070459D">
            <w:pPr>
              <w:rPr>
                <w:rFonts w:ascii="Arial" w:eastAsia="Times New Roman" w:hAnsi="Arial" w:cs="Arial"/>
                <w:b/>
                <w:bCs/>
                <w:color w:val="000000"/>
                <w:sz w:val="14"/>
                <w:szCs w:val="14"/>
                <w:lang w:val="cs-CZ" w:eastAsia="cs-CZ"/>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14:paraId="74B55B31" w14:textId="77777777" w:rsidR="0070459D" w:rsidRPr="0070459D" w:rsidRDefault="0070459D" w:rsidP="0070459D">
            <w:pPr>
              <w:rPr>
                <w:rFonts w:ascii="Arial" w:eastAsia="Times New Roman" w:hAnsi="Arial" w:cs="Arial"/>
                <w:b/>
                <w:bCs/>
                <w:color w:val="000000"/>
                <w:sz w:val="14"/>
                <w:szCs w:val="14"/>
                <w:lang w:val="cs-CZ" w:eastAsia="cs-CZ"/>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6C785E9C" w14:textId="77777777" w:rsidR="0070459D" w:rsidRPr="0070459D" w:rsidRDefault="0070459D" w:rsidP="0070459D">
            <w:pPr>
              <w:rPr>
                <w:rFonts w:ascii="Arial" w:eastAsia="Times New Roman" w:hAnsi="Arial" w:cs="Arial"/>
                <w:b/>
                <w:bCs/>
                <w:color w:val="000000"/>
                <w:sz w:val="14"/>
                <w:szCs w:val="14"/>
                <w:lang w:val="cs-CZ" w:eastAsia="cs-CZ"/>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60D27198" w14:textId="77777777" w:rsidR="0070459D" w:rsidRPr="0070459D" w:rsidRDefault="0070459D" w:rsidP="0070459D">
            <w:pPr>
              <w:rPr>
                <w:rFonts w:ascii="Arial" w:eastAsia="Times New Roman" w:hAnsi="Arial" w:cs="Arial"/>
                <w:b/>
                <w:bCs/>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045CB5D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73B939A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23E64E4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5555EF0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5CC0D03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6BFFB50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4BD197F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42C02D2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6191417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1C89DF6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06" w:type="dxa"/>
            <w:vMerge/>
            <w:tcBorders>
              <w:top w:val="single" w:sz="4" w:space="0" w:color="auto"/>
              <w:left w:val="single" w:sz="4" w:space="0" w:color="auto"/>
              <w:bottom w:val="single" w:sz="4" w:space="0" w:color="auto"/>
              <w:right w:val="single" w:sz="4" w:space="0" w:color="auto"/>
            </w:tcBorders>
            <w:vAlign w:val="center"/>
            <w:hideMark/>
          </w:tcPr>
          <w:p w14:paraId="704B61F4"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455504AC" w14:textId="77777777" w:rsidTr="00FA0609">
        <w:trPr>
          <w:trHeight w:val="20"/>
          <w:tblHeader/>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072FB6AB"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4C7F7EB5" w14:textId="77777777" w:rsidR="0070459D" w:rsidRPr="0070459D" w:rsidRDefault="0070459D" w:rsidP="0070459D">
            <w:pPr>
              <w:rPr>
                <w:rFonts w:ascii="Arial" w:eastAsia="Times New Roman" w:hAnsi="Arial" w:cs="Arial"/>
                <w:b/>
                <w:bCs/>
                <w:color w:val="000000"/>
                <w:sz w:val="14"/>
                <w:szCs w:val="14"/>
                <w:lang w:val="cs-CZ" w:eastAsia="cs-CZ"/>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14:paraId="522CD59F"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1D0C15DF" w14:textId="77777777" w:rsidR="0070459D" w:rsidRPr="0070459D" w:rsidRDefault="0070459D" w:rsidP="0070459D">
            <w:pPr>
              <w:rPr>
                <w:rFonts w:ascii="Arial" w:eastAsia="Times New Roman" w:hAnsi="Arial" w:cs="Arial"/>
                <w:b/>
                <w:bCs/>
                <w:color w:val="000000"/>
                <w:sz w:val="14"/>
                <w:szCs w:val="14"/>
                <w:lang w:val="cs-CZ" w:eastAsia="cs-CZ"/>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14:paraId="73AFCF12" w14:textId="77777777" w:rsidR="0070459D" w:rsidRPr="0070459D" w:rsidRDefault="0070459D" w:rsidP="0070459D">
            <w:pPr>
              <w:rPr>
                <w:rFonts w:ascii="Arial" w:eastAsia="Times New Roman" w:hAnsi="Arial" w:cs="Arial"/>
                <w:b/>
                <w:bCs/>
                <w:color w:val="000000"/>
                <w:sz w:val="14"/>
                <w:szCs w:val="14"/>
                <w:lang w:val="cs-CZ" w:eastAsia="cs-CZ"/>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3AA7D52F" w14:textId="77777777" w:rsidR="0070459D" w:rsidRPr="0070459D" w:rsidRDefault="0070459D" w:rsidP="0070459D">
            <w:pPr>
              <w:rPr>
                <w:rFonts w:ascii="Arial" w:eastAsia="Times New Roman" w:hAnsi="Arial" w:cs="Arial"/>
                <w:b/>
                <w:bCs/>
                <w:color w:val="000000"/>
                <w:sz w:val="14"/>
                <w:szCs w:val="14"/>
                <w:lang w:val="cs-CZ" w:eastAsia="cs-CZ"/>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14:paraId="53AA386D" w14:textId="77777777" w:rsidR="0070459D" w:rsidRPr="0070459D" w:rsidRDefault="0070459D" w:rsidP="0070459D">
            <w:pPr>
              <w:rPr>
                <w:rFonts w:ascii="Arial" w:eastAsia="Times New Roman" w:hAnsi="Arial" w:cs="Arial"/>
                <w:b/>
                <w:bCs/>
                <w:color w:val="000000"/>
                <w:sz w:val="14"/>
                <w:szCs w:val="14"/>
                <w:lang w:val="cs-CZ" w:eastAsia="cs-CZ"/>
              </w:rPr>
            </w:pPr>
          </w:p>
        </w:tc>
        <w:tc>
          <w:tcPr>
            <w:tcW w:w="7963" w:type="dxa"/>
            <w:gridSpan w:val="10"/>
            <w:tcBorders>
              <w:top w:val="single" w:sz="4" w:space="0" w:color="auto"/>
              <w:left w:val="nil"/>
              <w:bottom w:val="single" w:sz="4" w:space="0" w:color="auto"/>
              <w:right w:val="single" w:sz="4" w:space="0" w:color="auto"/>
            </w:tcBorders>
            <w:shd w:val="clear" w:color="000000" w:fill="FFFFFF"/>
            <w:vAlign w:val="center"/>
            <w:hideMark/>
          </w:tcPr>
          <w:p w14:paraId="44438AF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Kumulativní hodnota</w:t>
            </w:r>
          </w:p>
        </w:tc>
        <w:tc>
          <w:tcPr>
            <w:tcW w:w="606" w:type="dxa"/>
            <w:vMerge/>
            <w:tcBorders>
              <w:top w:val="single" w:sz="4" w:space="0" w:color="auto"/>
              <w:left w:val="single" w:sz="4" w:space="0" w:color="auto"/>
              <w:bottom w:val="single" w:sz="4" w:space="0" w:color="auto"/>
              <w:right w:val="single" w:sz="4" w:space="0" w:color="auto"/>
            </w:tcBorders>
            <w:vAlign w:val="center"/>
            <w:hideMark/>
          </w:tcPr>
          <w:p w14:paraId="6E36BF47"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2D174AED" w14:textId="77777777" w:rsidTr="00FA0609">
        <w:trPr>
          <w:trHeight w:val="20"/>
          <w:tblHeader/>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69A11A51"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647B7B7A" w14:textId="77777777" w:rsidR="0070459D" w:rsidRPr="0070459D" w:rsidRDefault="0070459D" w:rsidP="0070459D">
            <w:pPr>
              <w:rPr>
                <w:rFonts w:ascii="Arial" w:eastAsia="Times New Roman" w:hAnsi="Arial" w:cs="Arial"/>
                <w:b/>
                <w:bCs/>
                <w:color w:val="000000"/>
                <w:sz w:val="14"/>
                <w:szCs w:val="14"/>
                <w:lang w:val="cs-CZ" w:eastAsia="cs-CZ"/>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14:paraId="703CE04B"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6A758971" w14:textId="77777777" w:rsidR="0070459D" w:rsidRPr="0070459D" w:rsidRDefault="0070459D" w:rsidP="0070459D">
            <w:pPr>
              <w:rPr>
                <w:rFonts w:ascii="Arial" w:eastAsia="Times New Roman" w:hAnsi="Arial" w:cs="Arial"/>
                <w:b/>
                <w:bCs/>
                <w:color w:val="000000"/>
                <w:sz w:val="14"/>
                <w:szCs w:val="14"/>
                <w:lang w:val="cs-CZ" w:eastAsia="cs-CZ"/>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14:paraId="3A2698FB" w14:textId="77777777" w:rsidR="0070459D" w:rsidRPr="0070459D" w:rsidRDefault="0070459D" w:rsidP="0070459D">
            <w:pPr>
              <w:rPr>
                <w:rFonts w:ascii="Arial" w:eastAsia="Times New Roman" w:hAnsi="Arial" w:cs="Arial"/>
                <w:b/>
                <w:bCs/>
                <w:color w:val="000000"/>
                <w:sz w:val="14"/>
                <w:szCs w:val="14"/>
                <w:lang w:val="cs-CZ" w:eastAsia="cs-CZ"/>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75C7A25B" w14:textId="77777777" w:rsidR="0070459D" w:rsidRPr="0070459D" w:rsidRDefault="0070459D" w:rsidP="0070459D">
            <w:pPr>
              <w:rPr>
                <w:rFonts w:ascii="Arial" w:eastAsia="Times New Roman" w:hAnsi="Arial" w:cs="Arial"/>
                <w:b/>
                <w:bCs/>
                <w:color w:val="000000"/>
                <w:sz w:val="14"/>
                <w:szCs w:val="14"/>
                <w:lang w:val="cs-CZ" w:eastAsia="cs-CZ"/>
              </w:rPr>
            </w:pPr>
          </w:p>
        </w:tc>
        <w:tc>
          <w:tcPr>
            <w:tcW w:w="853" w:type="dxa"/>
            <w:tcBorders>
              <w:top w:val="nil"/>
              <w:left w:val="nil"/>
              <w:bottom w:val="single" w:sz="4" w:space="0" w:color="auto"/>
              <w:right w:val="single" w:sz="4" w:space="0" w:color="auto"/>
            </w:tcBorders>
            <w:shd w:val="clear" w:color="000000" w:fill="E7E6E6"/>
            <w:vAlign w:val="center"/>
            <w:hideMark/>
          </w:tcPr>
          <w:p w14:paraId="06AC80B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22D27F2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0064445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219DD92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3F9F8A9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66940B7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588964F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29F35E8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787E321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1C5570E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6" w:type="dxa"/>
            <w:tcBorders>
              <w:top w:val="nil"/>
              <w:left w:val="nil"/>
              <w:bottom w:val="single" w:sz="4" w:space="0" w:color="auto"/>
              <w:right w:val="single" w:sz="4" w:space="0" w:color="auto"/>
            </w:tcBorders>
            <w:shd w:val="clear" w:color="000000" w:fill="E7E6E6"/>
            <w:vAlign w:val="center"/>
            <w:hideMark/>
          </w:tcPr>
          <w:p w14:paraId="14D93D3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06" w:type="dxa"/>
            <w:tcBorders>
              <w:top w:val="nil"/>
              <w:left w:val="nil"/>
              <w:bottom w:val="single" w:sz="4" w:space="0" w:color="auto"/>
              <w:right w:val="single" w:sz="4" w:space="0" w:color="auto"/>
            </w:tcBorders>
            <w:shd w:val="clear" w:color="000000" w:fill="E7E6E6"/>
            <w:vAlign w:val="center"/>
            <w:hideMark/>
          </w:tcPr>
          <w:p w14:paraId="6D0D2A2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r>
      <w:tr w:rsidR="0070459D" w:rsidRPr="0070459D" w14:paraId="20066F71" w14:textId="77777777" w:rsidTr="00FA0609">
        <w:trPr>
          <w:trHeight w:val="20"/>
          <w:tblHeader/>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71A22C74"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75904D7B" w14:textId="77777777" w:rsidR="0070459D" w:rsidRPr="0070459D" w:rsidRDefault="0070459D" w:rsidP="0070459D">
            <w:pPr>
              <w:rPr>
                <w:rFonts w:ascii="Arial" w:eastAsia="Times New Roman" w:hAnsi="Arial" w:cs="Arial"/>
                <w:b/>
                <w:bCs/>
                <w:color w:val="000000"/>
                <w:sz w:val="14"/>
                <w:szCs w:val="14"/>
                <w:lang w:val="cs-CZ" w:eastAsia="cs-CZ"/>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14:paraId="3BF964E4"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69A04662" w14:textId="77777777" w:rsidR="0070459D" w:rsidRPr="0070459D" w:rsidRDefault="0070459D" w:rsidP="0070459D">
            <w:pPr>
              <w:rPr>
                <w:rFonts w:ascii="Arial" w:eastAsia="Times New Roman" w:hAnsi="Arial" w:cs="Arial"/>
                <w:b/>
                <w:bCs/>
                <w:color w:val="000000"/>
                <w:sz w:val="14"/>
                <w:szCs w:val="14"/>
                <w:lang w:val="cs-CZ" w:eastAsia="cs-CZ"/>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14:paraId="44B90959" w14:textId="77777777" w:rsidR="0070459D" w:rsidRPr="0070459D" w:rsidRDefault="0070459D" w:rsidP="0070459D">
            <w:pPr>
              <w:rPr>
                <w:rFonts w:ascii="Arial" w:eastAsia="Times New Roman" w:hAnsi="Arial" w:cs="Arial"/>
                <w:b/>
                <w:bCs/>
                <w:color w:val="000000"/>
                <w:sz w:val="14"/>
                <w:szCs w:val="14"/>
                <w:lang w:val="cs-CZ" w:eastAsia="cs-CZ"/>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09A87CD1" w14:textId="77777777" w:rsidR="0070459D" w:rsidRPr="0070459D" w:rsidRDefault="0070459D" w:rsidP="0070459D">
            <w:pPr>
              <w:rPr>
                <w:rFonts w:ascii="Arial" w:eastAsia="Times New Roman" w:hAnsi="Arial" w:cs="Arial"/>
                <w:b/>
                <w:bCs/>
                <w:color w:val="000000"/>
                <w:sz w:val="14"/>
                <w:szCs w:val="14"/>
                <w:lang w:val="cs-CZ" w:eastAsia="cs-CZ"/>
              </w:rPr>
            </w:pPr>
          </w:p>
        </w:tc>
        <w:tc>
          <w:tcPr>
            <w:tcW w:w="853" w:type="dxa"/>
            <w:tcBorders>
              <w:top w:val="nil"/>
              <w:left w:val="nil"/>
              <w:bottom w:val="single" w:sz="4" w:space="0" w:color="auto"/>
              <w:right w:val="single" w:sz="4" w:space="0" w:color="auto"/>
            </w:tcBorders>
            <w:shd w:val="clear" w:color="000000" w:fill="FFFFFF"/>
            <w:vAlign w:val="center"/>
            <w:hideMark/>
          </w:tcPr>
          <w:p w14:paraId="1FC91D7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017C394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15ADDA2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49967B4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2D0372B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7854056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4A60527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6C4806B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2236FE9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32D0B0D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000000" w:fill="FFFFFF"/>
            <w:vAlign w:val="center"/>
            <w:hideMark/>
          </w:tcPr>
          <w:p w14:paraId="0B1D938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06" w:type="dxa"/>
            <w:tcBorders>
              <w:top w:val="nil"/>
              <w:left w:val="nil"/>
              <w:bottom w:val="single" w:sz="4" w:space="0" w:color="auto"/>
              <w:right w:val="single" w:sz="4" w:space="0" w:color="auto"/>
            </w:tcBorders>
            <w:shd w:val="clear" w:color="000000" w:fill="FFFFFF"/>
            <w:vAlign w:val="center"/>
            <w:hideMark/>
          </w:tcPr>
          <w:p w14:paraId="08B1974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r>
      <w:tr w:rsidR="0070459D" w:rsidRPr="0070459D" w14:paraId="3533F76F" w14:textId="77777777" w:rsidTr="00FA0609">
        <w:trPr>
          <w:trHeight w:val="20"/>
          <w:tblHeader/>
        </w:trPr>
        <w:tc>
          <w:tcPr>
            <w:tcW w:w="502" w:type="dxa"/>
            <w:vMerge/>
            <w:tcBorders>
              <w:top w:val="single" w:sz="4" w:space="0" w:color="auto"/>
              <w:left w:val="single" w:sz="4" w:space="0" w:color="auto"/>
              <w:bottom w:val="single" w:sz="4" w:space="0" w:color="auto"/>
              <w:right w:val="single" w:sz="4" w:space="0" w:color="auto"/>
            </w:tcBorders>
            <w:vAlign w:val="center"/>
            <w:hideMark/>
          </w:tcPr>
          <w:p w14:paraId="31EE0F4E"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14CDE13B" w14:textId="77777777" w:rsidR="0070459D" w:rsidRPr="0070459D" w:rsidRDefault="0070459D" w:rsidP="0070459D">
            <w:pPr>
              <w:rPr>
                <w:rFonts w:ascii="Arial" w:eastAsia="Times New Roman" w:hAnsi="Arial" w:cs="Arial"/>
                <w:b/>
                <w:bCs/>
                <w:color w:val="000000"/>
                <w:sz w:val="14"/>
                <w:szCs w:val="14"/>
                <w:lang w:val="cs-CZ" w:eastAsia="cs-CZ"/>
              </w:rPr>
            </w:pPr>
          </w:p>
        </w:tc>
        <w:tc>
          <w:tcPr>
            <w:tcW w:w="490" w:type="dxa"/>
            <w:vMerge/>
            <w:tcBorders>
              <w:top w:val="single" w:sz="4" w:space="0" w:color="auto"/>
              <w:left w:val="single" w:sz="4" w:space="0" w:color="auto"/>
              <w:bottom w:val="single" w:sz="4" w:space="0" w:color="auto"/>
              <w:right w:val="single" w:sz="4" w:space="0" w:color="auto"/>
            </w:tcBorders>
            <w:vAlign w:val="center"/>
            <w:hideMark/>
          </w:tcPr>
          <w:p w14:paraId="39464942"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14:paraId="587544FD" w14:textId="77777777" w:rsidR="0070459D" w:rsidRPr="0070459D" w:rsidRDefault="0070459D" w:rsidP="0070459D">
            <w:pPr>
              <w:rPr>
                <w:rFonts w:ascii="Arial" w:eastAsia="Times New Roman" w:hAnsi="Arial" w:cs="Arial"/>
                <w:b/>
                <w:bCs/>
                <w:color w:val="000000"/>
                <w:sz w:val="14"/>
                <w:szCs w:val="14"/>
                <w:lang w:val="cs-CZ" w:eastAsia="cs-CZ"/>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14:paraId="25E479D9" w14:textId="77777777" w:rsidR="0070459D" w:rsidRPr="0070459D" w:rsidRDefault="0070459D" w:rsidP="0070459D">
            <w:pPr>
              <w:rPr>
                <w:rFonts w:ascii="Arial" w:eastAsia="Times New Roman" w:hAnsi="Arial" w:cs="Arial"/>
                <w:b/>
                <w:bCs/>
                <w:color w:val="000000"/>
                <w:sz w:val="14"/>
                <w:szCs w:val="14"/>
                <w:lang w:val="cs-CZ" w:eastAsia="cs-CZ"/>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14:paraId="49234ECD" w14:textId="77777777" w:rsidR="0070459D" w:rsidRPr="0070459D" w:rsidRDefault="0070459D" w:rsidP="0070459D">
            <w:pPr>
              <w:rPr>
                <w:rFonts w:ascii="Arial" w:eastAsia="Times New Roman" w:hAnsi="Arial" w:cs="Arial"/>
                <w:b/>
                <w:bCs/>
                <w:color w:val="000000"/>
                <w:sz w:val="14"/>
                <w:szCs w:val="14"/>
                <w:lang w:val="cs-CZ" w:eastAsia="cs-CZ"/>
              </w:rPr>
            </w:pPr>
          </w:p>
        </w:tc>
        <w:tc>
          <w:tcPr>
            <w:tcW w:w="853" w:type="dxa"/>
            <w:tcBorders>
              <w:top w:val="nil"/>
              <w:left w:val="nil"/>
              <w:bottom w:val="single" w:sz="4" w:space="0" w:color="auto"/>
              <w:right w:val="single" w:sz="4" w:space="0" w:color="auto"/>
            </w:tcBorders>
            <w:shd w:val="clear" w:color="000000" w:fill="FFFFFF"/>
            <w:vAlign w:val="center"/>
            <w:hideMark/>
          </w:tcPr>
          <w:p w14:paraId="6A92E78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20CA580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0D9FE0C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497F232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2D73BE5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4C592A0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13AD368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77112AB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68A164C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12A3471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000000" w:fill="FFFFFF"/>
            <w:vAlign w:val="center"/>
            <w:hideMark/>
          </w:tcPr>
          <w:p w14:paraId="1CE9E97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06" w:type="dxa"/>
            <w:tcBorders>
              <w:top w:val="nil"/>
              <w:left w:val="nil"/>
              <w:bottom w:val="single" w:sz="4" w:space="0" w:color="auto"/>
              <w:right w:val="single" w:sz="4" w:space="0" w:color="auto"/>
            </w:tcBorders>
            <w:shd w:val="clear" w:color="000000" w:fill="FFFFFF"/>
            <w:vAlign w:val="center"/>
            <w:hideMark/>
          </w:tcPr>
          <w:p w14:paraId="54AE13A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r>
      <w:tr w:rsidR="0070459D" w:rsidRPr="0070459D" w14:paraId="046E30A7" w14:textId="77777777" w:rsidTr="00FA0609">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25A81F0A"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10211</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DBB819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sociálních podniků vzniklých díky podpoře, které fungují i po ukončení podpory</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66AE0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7303E2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CC592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A85B70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6CAD99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83,000</w:t>
            </w:r>
          </w:p>
        </w:tc>
        <w:tc>
          <w:tcPr>
            <w:tcW w:w="796" w:type="dxa"/>
            <w:tcBorders>
              <w:top w:val="nil"/>
              <w:left w:val="nil"/>
              <w:bottom w:val="single" w:sz="4" w:space="0" w:color="auto"/>
              <w:right w:val="single" w:sz="4" w:space="0" w:color="auto"/>
            </w:tcBorders>
            <w:shd w:val="clear" w:color="000000" w:fill="E7E6E6"/>
            <w:vAlign w:val="center"/>
            <w:hideMark/>
          </w:tcPr>
          <w:p w14:paraId="3F0B28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A21DAF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6FD903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358D5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31F3825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2,000</w:t>
            </w:r>
          </w:p>
        </w:tc>
        <w:tc>
          <w:tcPr>
            <w:tcW w:w="796" w:type="dxa"/>
            <w:tcBorders>
              <w:top w:val="nil"/>
              <w:left w:val="nil"/>
              <w:bottom w:val="single" w:sz="4" w:space="0" w:color="auto"/>
              <w:right w:val="single" w:sz="4" w:space="0" w:color="auto"/>
            </w:tcBorders>
            <w:shd w:val="clear" w:color="000000" w:fill="E7E6E6"/>
            <w:vAlign w:val="center"/>
            <w:hideMark/>
          </w:tcPr>
          <w:p w14:paraId="65DBF2E2" w14:textId="4ACE4D99" w:rsidR="0070459D" w:rsidRPr="0070459D" w:rsidRDefault="00DC6CDD" w:rsidP="0070459D">
            <w:pPr>
              <w:jc w:val="right"/>
              <w:rPr>
                <w:rFonts w:ascii="Arial" w:eastAsia="Times New Roman" w:hAnsi="Arial" w:cs="Arial"/>
                <w:color w:val="000000"/>
                <w:sz w:val="14"/>
                <w:szCs w:val="14"/>
                <w:lang w:val="cs-CZ" w:eastAsia="cs-CZ"/>
              </w:rPr>
            </w:pPr>
            <w:r>
              <w:rPr>
                <w:rFonts w:ascii="Arial" w:eastAsia="Times New Roman" w:hAnsi="Arial" w:cs="Arial"/>
                <w:color w:val="000000"/>
                <w:sz w:val="14"/>
                <w:szCs w:val="14"/>
                <w:lang w:val="cs-CZ" w:eastAsia="cs-CZ"/>
              </w:rPr>
              <w:t>11</w:t>
            </w:r>
            <w:r w:rsidR="0070459D" w:rsidRPr="0070459D">
              <w:rPr>
                <w:rFonts w:ascii="Arial" w:eastAsia="Times New Roman" w:hAnsi="Arial" w:cs="Arial"/>
                <w:color w:val="000000"/>
                <w:sz w:val="14"/>
                <w:szCs w:val="14"/>
                <w:lang w:val="cs-CZ" w:eastAsia="cs-CZ"/>
              </w:rPr>
              <w:t>,000</w:t>
            </w:r>
          </w:p>
        </w:tc>
        <w:tc>
          <w:tcPr>
            <w:tcW w:w="796" w:type="dxa"/>
            <w:tcBorders>
              <w:top w:val="nil"/>
              <w:left w:val="nil"/>
              <w:bottom w:val="single" w:sz="4" w:space="0" w:color="auto"/>
              <w:right w:val="single" w:sz="4" w:space="0" w:color="auto"/>
            </w:tcBorders>
            <w:shd w:val="clear" w:color="000000" w:fill="E7E6E6"/>
            <w:vAlign w:val="center"/>
            <w:hideMark/>
          </w:tcPr>
          <w:p w14:paraId="4201B9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5737E3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161EEB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3B435D2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25A7CB0" w14:textId="178D44C0" w:rsidR="0070459D" w:rsidRPr="0070459D" w:rsidRDefault="00DC6CDD" w:rsidP="0070459D">
            <w:pPr>
              <w:jc w:val="right"/>
              <w:rPr>
                <w:rFonts w:ascii="Arial" w:eastAsia="Times New Roman" w:hAnsi="Arial" w:cs="Arial"/>
                <w:color w:val="000000"/>
                <w:sz w:val="14"/>
                <w:szCs w:val="14"/>
                <w:lang w:val="cs-CZ" w:eastAsia="cs-CZ"/>
              </w:rPr>
            </w:pPr>
            <w:r>
              <w:rPr>
                <w:rFonts w:ascii="Arial" w:eastAsia="Times New Roman" w:hAnsi="Arial" w:cs="Arial"/>
                <w:color w:val="000000"/>
                <w:sz w:val="14"/>
                <w:szCs w:val="14"/>
                <w:lang w:val="cs-CZ" w:eastAsia="cs-CZ"/>
              </w:rPr>
              <w:t>15,663</w:t>
            </w:r>
          </w:p>
        </w:tc>
      </w:tr>
      <w:tr w:rsidR="0070459D" w:rsidRPr="0070459D" w14:paraId="6537B38B"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124D197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2D59BF4"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47CCB74E"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13A1191C"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264CFE9F"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2D0DD1F"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51BFD36A"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471E6BB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518108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73E968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720CB1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01D52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FF4F9D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4206D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B1349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DF623A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6C2E4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6DC622F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546F0C5"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24EFD1A9"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F4B0508"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1C0CC612"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11762ED"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693AF563"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15E4C842"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04E35808"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20B4EC6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7DDAF1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E92DB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2F6B9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E349CC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36F8D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98526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4264A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BFC039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E23BA5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2BB04B5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878871C"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2D8F76D5"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3CE84DE"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54CC4164"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AF58633"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782A2971"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0484C8DE"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751AA704"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1A86316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921F41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69DEEA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3D822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55B25E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2,000</w:t>
            </w:r>
          </w:p>
        </w:tc>
        <w:tc>
          <w:tcPr>
            <w:tcW w:w="796" w:type="dxa"/>
            <w:tcBorders>
              <w:top w:val="nil"/>
              <w:left w:val="nil"/>
              <w:bottom w:val="single" w:sz="4" w:space="0" w:color="auto"/>
              <w:right w:val="single" w:sz="4" w:space="0" w:color="auto"/>
            </w:tcBorders>
            <w:shd w:val="clear" w:color="000000" w:fill="E7E6E6"/>
            <w:vAlign w:val="center"/>
            <w:hideMark/>
          </w:tcPr>
          <w:p w14:paraId="36DD6852" w14:textId="18C478F9" w:rsidR="0070459D" w:rsidRPr="0070459D" w:rsidRDefault="00DC6CDD" w:rsidP="0070459D">
            <w:pPr>
              <w:jc w:val="right"/>
              <w:rPr>
                <w:rFonts w:ascii="Arial" w:eastAsia="Times New Roman" w:hAnsi="Arial" w:cs="Arial"/>
                <w:color w:val="000000"/>
                <w:sz w:val="14"/>
                <w:szCs w:val="14"/>
                <w:lang w:val="cs-CZ" w:eastAsia="cs-CZ"/>
              </w:rPr>
            </w:pPr>
            <w:r>
              <w:rPr>
                <w:rFonts w:ascii="Arial" w:eastAsia="Times New Roman" w:hAnsi="Arial" w:cs="Arial"/>
                <w:color w:val="000000"/>
                <w:sz w:val="14"/>
                <w:szCs w:val="14"/>
                <w:lang w:val="cs-CZ" w:eastAsia="cs-CZ"/>
              </w:rPr>
              <w:t>13</w:t>
            </w:r>
            <w:r w:rsidR="0070459D" w:rsidRPr="0070459D">
              <w:rPr>
                <w:rFonts w:ascii="Arial" w:eastAsia="Times New Roman" w:hAnsi="Arial" w:cs="Arial"/>
                <w:color w:val="000000"/>
                <w:sz w:val="14"/>
                <w:szCs w:val="14"/>
                <w:lang w:val="cs-CZ" w:eastAsia="cs-CZ"/>
              </w:rPr>
              <w:t>,000</w:t>
            </w:r>
          </w:p>
        </w:tc>
        <w:tc>
          <w:tcPr>
            <w:tcW w:w="796" w:type="dxa"/>
            <w:tcBorders>
              <w:top w:val="nil"/>
              <w:left w:val="nil"/>
              <w:bottom w:val="single" w:sz="4" w:space="0" w:color="auto"/>
              <w:right w:val="single" w:sz="4" w:space="0" w:color="auto"/>
            </w:tcBorders>
            <w:shd w:val="clear" w:color="000000" w:fill="E7E6E6"/>
            <w:vAlign w:val="center"/>
            <w:hideMark/>
          </w:tcPr>
          <w:p w14:paraId="66F7DA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D908E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3DAE59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4BB201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79CC2A1D"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9B79103"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32E3F84B"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EB914C8"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4D5F3E0F"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59DC9399"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7E173FBA"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5CF4B908"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336B48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5C8C2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1D768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FE3EE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6448B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EBB5C3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4CDE57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9E8587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1960E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4AF16E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C0E9CF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37A7C18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ADA1B5E"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5242F26F"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D5B7E10"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A0021AC"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2218B90D"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297FDAFA"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29006597"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0F46114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E106A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6E542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42A8E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FA99F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962DED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10AF61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C903F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4D390B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36472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F80AD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669AC7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90E3FEF" w14:textId="77777777" w:rsidTr="00FA0609">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7C58C56E"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10211</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9AF675"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sociálních podniků vzniklých díky podpoře, které fungují i po ukončení podpory</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EDDD1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48900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CB3FE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560550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0BAA663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9,000</w:t>
            </w:r>
          </w:p>
        </w:tc>
        <w:tc>
          <w:tcPr>
            <w:tcW w:w="796" w:type="dxa"/>
            <w:tcBorders>
              <w:top w:val="nil"/>
              <w:left w:val="nil"/>
              <w:bottom w:val="single" w:sz="4" w:space="0" w:color="auto"/>
              <w:right w:val="single" w:sz="4" w:space="0" w:color="auto"/>
            </w:tcBorders>
            <w:shd w:val="clear" w:color="000000" w:fill="E7E6E6"/>
            <w:vAlign w:val="center"/>
            <w:hideMark/>
          </w:tcPr>
          <w:p w14:paraId="231F942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D83B6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0F82D5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BEEFE8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3AA737D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3C151E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1382D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3335F31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37BCB68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5DB2C00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D7D40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45CCE395"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72B7832C"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530168A"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20DD60CF"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67D7B346"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5905689C"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3F8AFCE4"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521496F6"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7AF036E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C7820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794F80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8FCC24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3B4B53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698E00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1D6B5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4FF89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A419B2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1EA93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2F2BFE70"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5301929"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60439D4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CF47D17"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A6F90DA"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5514EF8F"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1F371E2A"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208CE33D"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57F6548E"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2016AA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09E4F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451DC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3908CE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B7B1BA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CE1321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64C1E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13A4B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46A4A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CBB41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56DF7248"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B9EFD3A"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31420E0A"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E216ECC"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3A467CA"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052EAEDE"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6AF71F23"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25726D2A"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31D2AA04"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79D139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6A9468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5A8583D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F1EF91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7246AD1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C6C0F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89B4C9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78D5DA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3F3E838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5C49DD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18C6BF20"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C98ADB9"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3D65624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57901B4"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3E435F83"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9B3E7A7"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5CABAF3"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0D72C87C"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0781E61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D6588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B2BD54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BA2120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39AA5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ED7B51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44A0F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84F5E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7DF12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3D723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F8570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5D33F0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9D3AC73"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784D63C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BFAA842"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A15BE52"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5F334187"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C65CDE8"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8990C67"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227DC4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DE570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629FA1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36BC4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85011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2B6DB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C0CB8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F182A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D17531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2DCA4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59AE81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02C6A5C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EB0EEEB" w14:textId="77777777" w:rsidTr="00FA0609">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688B7EBC"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62910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89E3A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účastníci zaměstnaní 12 měsíců po ukončení své účasti, včetně OSVČ</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EFC3C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7368D05"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CCEFF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B1E362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010FB60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386,000</w:t>
            </w:r>
          </w:p>
        </w:tc>
        <w:tc>
          <w:tcPr>
            <w:tcW w:w="796" w:type="dxa"/>
            <w:tcBorders>
              <w:top w:val="nil"/>
              <w:left w:val="nil"/>
              <w:bottom w:val="single" w:sz="4" w:space="0" w:color="auto"/>
              <w:right w:val="single" w:sz="4" w:space="0" w:color="auto"/>
            </w:tcBorders>
            <w:shd w:val="clear" w:color="000000" w:fill="E7E6E6"/>
            <w:vAlign w:val="center"/>
            <w:hideMark/>
          </w:tcPr>
          <w:p w14:paraId="52C718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3AF6D3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A0E966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CAD63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72C5B3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57FEA0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137,000</w:t>
            </w:r>
          </w:p>
        </w:tc>
        <w:tc>
          <w:tcPr>
            <w:tcW w:w="796" w:type="dxa"/>
            <w:tcBorders>
              <w:top w:val="nil"/>
              <w:left w:val="nil"/>
              <w:bottom w:val="single" w:sz="4" w:space="0" w:color="auto"/>
              <w:right w:val="single" w:sz="4" w:space="0" w:color="auto"/>
            </w:tcBorders>
            <w:shd w:val="clear" w:color="000000" w:fill="E7E6E6"/>
            <w:vAlign w:val="center"/>
            <w:hideMark/>
          </w:tcPr>
          <w:p w14:paraId="3742F62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1EE8F7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A73723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9F12F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64B7151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35,492</w:t>
            </w:r>
          </w:p>
        </w:tc>
      </w:tr>
      <w:tr w:rsidR="0070459D" w:rsidRPr="0070459D" w14:paraId="68AE9A77"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44CA85D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287E369E"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0D02223E"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25E86C02"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60844724"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4DAA15AE"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110E99BE"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782CC63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8BD35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DA809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2839F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E94325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65BDF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DA8EE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4DAC7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83213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424A6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0D11386E"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BCB2554"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0D68C484"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747A40B"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26CF44A"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08E4A0DD"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5FBF9EE"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6EAFE96A"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6D9A6C0F"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583072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5AB96E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2CA2A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0DFEF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9F0CE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6408D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575FC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A516C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0B6CF8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0443A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24787271"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A337B2D"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7B63DDE8"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144F7AE"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0DDEA55B"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17A510D"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3C843404"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36CC648E"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5A3A7307"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0F5BAC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AF1FBF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05BA8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7521BE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440459E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5FA0A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137,000</w:t>
            </w:r>
          </w:p>
        </w:tc>
        <w:tc>
          <w:tcPr>
            <w:tcW w:w="796" w:type="dxa"/>
            <w:tcBorders>
              <w:top w:val="nil"/>
              <w:left w:val="nil"/>
              <w:bottom w:val="single" w:sz="4" w:space="0" w:color="auto"/>
              <w:right w:val="single" w:sz="4" w:space="0" w:color="auto"/>
            </w:tcBorders>
            <w:shd w:val="clear" w:color="000000" w:fill="E7E6E6"/>
            <w:vAlign w:val="center"/>
            <w:hideMark/>
          </w:tcPr>
          <w:p w14:paraId="1482D4D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7A2ADC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5957D3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1960CB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316BA8B2"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08B52C2"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74091DE6"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CCCF55F"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DEDF7E1"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2D4B5FAF"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3FA29A9C"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5C122AF0"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400611F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3EC870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404DD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9C1AF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685E14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91F0D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76111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1F3711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34512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BE998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B89F6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46CA0E1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5636E86"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0BF2C47B"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B685AA7"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D6AACCE"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07449A8"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783A7E61"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70F52F6"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21EE8D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7C28A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D3F7D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7D135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001C42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ECF3E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FA613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13E5C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08239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EECF93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421CE1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3FEBD5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2F3A7399" w14:textId="77777777" w:rsidTr="00FA0609">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6293EC4F"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62910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DD868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účastníci zaměstnaní 12 měsíců po ukončení své účasti, včetně OSVČ</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7F2EE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382F4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7AE0A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D095E6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B7779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44,000</w:t>
            </w:r>
          </w:p>
        </w:tc>
        <w:tc>
          <w:tcPr>
            <w:tcW w:w="796" w:type="dxa"/>
            <w:tcBorders>
              <w:top w:val="nil"/>
              <w:left w:val="nil"/>
              <w:bottom w:val="single" w:sz="4" w:space="0" w:color="auto"/>
              <w:right w:val="single" w:sz="4" w:space="0" w:color="auto"/>
            </w:tcBorders>
            <w:shd w:val="clear" w:color="000000" w:fill="E7E6E6"/>
            <w:vAlign w:val="center"/>
            <w:hideMark/>
          </w:tcPr>
          <w:p w14:paraId="217537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8D80F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3C5F31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5C0A6D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170572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7091A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3462F8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7699B5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01E1DF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514C29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71E9BE6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22E9896C"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707189EC"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EC51EAA"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B364A61"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6CD05748"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0FB162AA"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2322D0D4"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09B209EB"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0E3338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E1E19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3CDC9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8C7EB9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8A550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91C7F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553974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2DF79D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25177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A57FBA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7C5D509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4F26955"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7449C2AE"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CBE943B"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46498190"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0CFC3AE5"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36C24E7"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26D09739"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2B462F5D"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3E93CB7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6F1756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8322D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809CC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AEF25D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38ADBB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11B70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4ADCA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A4E95D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3D6B4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2ED8F9C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3B89872"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72BFC44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1D904C6"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3D98EFE1"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2F375D50"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7A037FFB"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351A9AE"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1EE76ED3"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2F935CC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35C47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641B5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61E0E4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0B9FAA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75C19B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3540E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7AADB5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7527B9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0FFF98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5B7A090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1A8ABEE"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0BBD3DE3"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5FBD34D"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58E626C2"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1069CF00"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636E367"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42BECD4B"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2CD69F2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0A433A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65F102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7FC34C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181E3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F10E9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6D843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19BDE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3C536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FDB8D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4DEE83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2680AE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1B428EF" w14:textId="77777777" w:rsidTr="00FA0609">
        <w:trPr>
          <w:trHeight w:val="20"/>
        </w:trPr>
        <w:tc>
          <w:tcPr>
            <w:tcW w:w="502" w:type="dxa"/>
            <w:vMerge/>
            <w:tcBorders>
              <w:top w:val="nil"/>
              <w:left w:val="single" w:sz="4" w:space="0" w:color="auto"/>
              <w:bottom w:val="single" w:sz="4" w:space="0" w:color="000000"/>
              <w:right w:val="single" w:sz="4" w:space="0" w:color="auto"/>
            </w:tcBorders>
            <w:vAlign w:val="center"/>
            <w:hideMark/>
          </w:tcPr>
          <w:p w14:paraId="2ED8A087"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793376E"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5C24F60"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A6BFC9A"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5BC67AFB"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6868E39F"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1AF12E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1A2A7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80B10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B8C7E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7E13F5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74800B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051307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5BD555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B7EE9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ED3B4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ACDB9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115C01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542F31C" w14:textId="77777777" w:rsidTr="00C42BB8">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479320D5"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67010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5F5435"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Využívání podpořených služeb</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2E645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4CD78B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9DB78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96EA8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2B0C6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110 045,000</w:t>
            </w:r>
          </w:p>
        </w:tc>
        <w:tc>
          <w:tcPr>
            <w:tcW w:w="796" w:type="dxa"/>
            <w:tcBorders>
              <w:top w:val="nil"/>
              <w:left w:val="nil"/>
              <w:bottom w:val="single" w:sz="4" w:space="0" w:color="auto"/>
              <w:right w:val="single" w:sz="4" w:space="0" w:color="auto"/>
            </w:tcBorders>
            <w:shd w:val="clear" w:color="000000" w:fill="E7E6E6"/>
            <w:vAlign w:val="center"/>
            <w:hideMark/>
          </w:tcPr>
          <w:p w14:paraId="72B3DF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97FB05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329DA8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3 025,000</w:t>
            </w:r>
          </w:p>
        </w:tc>
        <w:tc>
          <w:tcPr>
            <w:tcW w:w="796" w:type="dxa"/>
            <w:tcBorders>
              <w:top w:val="nil"/>
              <w:left w:val="nil"/>
              <w:bottom w:val="single" w:sz="4" w:space="0" w:color="auto"/>
              <w:right w:val="single" w:sz="4" w:space="0" w:color="auto"/>
            </w:tcBorders>
            <w:shd w:val="clear" w:color="000000" w:fill="E7E6E6"/>
            <w:vAlign w:val="center"/>
            <w:hideMark/>
          </w:tcPr>
          <w:p w14:paraId="65631D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31 808,000</w:t>
            </w:r>
          </w:p>
        </w:tc>
        <w:tc>
          <w:tcPr>
            <w:tcW w:w="796" w:type="dxa"/>
            <w:tcBorders>
              <w:top w:val="nil"/>
              <w:left w:val="nil"/>
              <w:bottom w:val="single" w:sz="4" w:space="0" w:color="auto"/>
              <w:right w:val="single" w:sz="4" w:space="0" w:color="auto"/>
            </w:tcBorders>
            <w:shd w:val="clear" w:color="000000" w:fill="E0E0E0"/>
            <w:vAlign w:val="center"/>
            <w:hideMark/>
          </w:tcPr>
          <w:p w14:paraId="267CA3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15 548,000</w:t>
            </w:r>
          </w:p>
        </w:tc>
        <w:tc>
          <w:tcPr>
            <w:tcW w:w="796" w:type="dxa"/>
            <w:tcBorders>
              <w:top w:val="nil"/>
              <w:left w:val="nil"/>
              <w:bottom w:val="single" w:sz="4" w:space="0" w:color="auto"/>
              <w:right w:val="single" w:sz="4" w:space="0" w:color="auto"/>
            </w:tcBorders>
            <w:shd w:val="clear" w:color="000000" w:fill="E7E6E6"/>
            <w:vAlign w:val="center"/>
            <w:hideMark/>
          </w:tcPr>
          <w:p w14:paraId="16A7183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47 550,540</w:t>
            </w:r>
          </w:p>
        </w:tc>
        <w:tc>
          <w:tcPr>
            <w:tcW w:w="796" w:type="dxa"/>
            <w:tcBorders>
              <w:top w:val="nil"/>
              <w:left w:val="nil"/>
              <w:bottom w:val="single" w:sz="4" w:space="0" w:color="auto"/>
              <w:right w:val="single" w:sz="4" w:space="0" w:color="auto"/>
            </w:tcBorders>
            <w:shd w:val="clear" w:color="000000" w:fill="E7E6E6"/>
            <w:vAlign w:val="center"/>
            <w:hideMark/>
          </w:tcPr>
          <w:p w14:paraId="235817D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05989A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A6A492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A8638E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3A421C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88,992</w:t>
            </w:r>
          </w:p>
        </w:tc>
      </w:tr>
      <w:tr w:rsidR="0070459D" w:rsidRPr="0070459D" w14:paraId="2CBCF550"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4475389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007B969"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2360EDD4"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58909B15"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3E9A4FE4"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40F7C0CF"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7BAC9D03"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281077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AD0A2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10091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DCEDE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445CA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48943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0EC55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58DBD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9A508A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B4986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4EBC66B4"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978FBFC"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681BC37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C25CDE6"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2158B019"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626863C1"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59C7D78D"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62A52066"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73D8E3A2"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62A1C45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2F665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1B2BA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0AB9C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2B0D52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4EDAF3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D6731A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AE9141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AB454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32806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018514BB"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7B727CF"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6167D946"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80738DB"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81D0F02"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0DD5BDAF"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5BDAA316"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6DAF6BE4"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7DCAEF0E"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6D41D5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19D4C7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5A8B2E9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3 025,000</w:t>
            </w:r>
          </w:p>
        </w:tc>
        <w:tc>
          <w:tcPr>
            <w:tcW w:w="796" w:type="dxa"/>
            <w:tcBorders>
              <w:top w:val="nil"/>
              <w:left w:val="nil"/>
              <w:bottom w:val="single" w:sz="4" w:space="0" w:color="auto"/>
              <w:right w:val="single" w:sz="4" w:space="0" w:color="auto"/>
            </w:tcBorders>
            <w:shd w:val="clear" w:color="000000" w:fill="E7E6E6"/>
            <w:vAlign w:val="center"/>
            <w:hideMark/>
          </w:tcPr>
          <w:p w14:paraId="288774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34 833,000</w:t>
            </w:r>
          </w:p>
        </w:tc>
        <w:tc>
          <w:tcPr>
            <w:tcW w:w="796" w:type="dxa"/>
            <w:tcBorders>
              <w:top w:val="nil"/>
              <w:left w:val="nil"/>
              <w:bottom w:val="single" w:sz="4" w:space="0" w:color="auto"/>
              <w:right w:val="single" w:sz="4" w:space="0" w:color="auto"/>
            </w:tcBorders>
            <w:shd w:val="clear" w:color="000000" w:fill="E0E0E0"/>
            <w:vAlign w:val="center"/>
            <w:hideMark/>
          </w:tcPr>
          <w:p w14:paraId="6F8799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50 381,000</w:t>
            </w:r>
          </w:p>
        </w:tc>
        <w:tc>
          <w:tcPr>
            <w:tcW w:w="796" w:type="dxa"/>
            <w:tcBorders>
              <w:top w:val="nil"/>
              <w:left w:val="nil"/>
              <w:bottom w:val="single" w:sz="4" w:space="0" w:color="auto"/>
              <w:right w:val="single" w:sz="4" w:space="0" w:color="auto"/>
            </w:tcBorders>
            <w:shd w:val="clear" w:color="000000" w:fill="E7E6E6"/>
            <w:vAlign w:val="center"/>
            <w:hideMark/>
          </w:tcPr>
          <w:p w14:paraId="401AB5E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97 931,540</w:t>
            </w:r>
          </w:p>
        </w:tc>
        <w:tc>
          <w:tcPr>
            <w:tcW w:w="796" w:type="dxa"/>
            <w:tcBorders>
              <w:top w:val="nil"/>
              <w:left w:val="nil"/>
              <w:bottom w:val="single" w:sz="4" w:space="0" w:color="auto"/>
              <w:right w:val="single" w:sz="4" w:space="0" w:color="auto"/>
            </w:tcBorders>
            <w:shd w:val="clear" w:color="000000" w:fill="E7E6E6"/>
            <w:vAlign w:val="center"/>
            <w:hideMark/>
          </w:tcPr>
          <w:p w14:paraId="5BC126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1BE25C3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55F8C2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343351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04590F9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F7E7D74"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787F0CE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D1E2E64"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49E68892"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2C122581"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F357EE2"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525186B5"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1CA9A91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3C8C14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7ACA10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4AA859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CD51D2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6CCF6E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029C90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E12C13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08BAF2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9CC3AC5"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AF7873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750AEEF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F65EF07"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729FB19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36BED20"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0E74E2BC"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52AEE62"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B080642"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0DE4F7F5"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24092DA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F29034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36EDF8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F82351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13C185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97E78A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3E8721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76DE1A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D76A2D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B516CB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DC4902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68DC1D8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DBAB9AE" w14:textId="77777777" w:rsidTr="0025557F">
        <w:trPr>
          <w:trHeight w:val="57"/>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648FCCB6"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67010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AD54E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Využívání podpořených služeb</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39F2C9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7F3EE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9D02C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80647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3A9BBAD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11 812,000</w:t>
            </w:r>
          </w:p>
        </w:tc>
        <w:tc>
          <w:tcPr>
            <w:tcW w:w="796" w:type="dxa"/>
            <w:tcBorders>
              <w:top w:val="nil"/>
              <w:left w:val="nil"/>
              <w:bottom w:val="single" w:sz="4" w:space="0" w:color="auto"/>
              <w:right w:val="single" w:sz="4" w:space="0" w:color="auto"/>
            </w:tcBorders>
            <w:shd w:val="clear" w:color="000000" w:fill="E7E6E6"/>
            <w:vAlign w:val="center"/>
            <w:hideMark/>
          </w:tcPr>
          <w:p w14:paraId="035CBD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7F0E5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FACDC5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58DBA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3 159,000</w:t>
            </w:r>
          </w:p>
        </w:tc>
        <w:tc>
          <w:tcPr>
            <w:tcW w:w="796" w:type="dxa"/>
            <w:tcBorders>
              <w:top w:val="nil"/>
              <w:left w:val="nil"/>
              <w:bottom w:val="single" w:sz="4" w:space="0" w:color="auto"/>
              <w:right w:val="single" w:sz="4" w:space="0" w:color="auto"/>
            </w:tcBorders>
            <w:shd w:val="clear" w:color="000000" w:fill="E0E0E0"/>
            <w:vAlign w:val="center"/>
            <w:hideMark/>
          </w:tcPr>
          <w:p w14:paraId="593A1E2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7 519,000</w:t>
            </w:r>
          </w:p>
        </w:tc>
        <w:tc>
          <w:tcPr>
            <w:tcW w:w="796" w:type="dxa"/>
            <w:tcBorders>
              <w:top w:val="nil"/>
              <w:left w:val="nil"/>
              <w:bottom w:val="single" w:sz="4" w:space="0" w:color="auto"/>
              <w:right w:val="single" w:sz="4" w:space="0" w:color="auto"/>
            </w:tcBorders>
            <w:shd w:val="clear" w:color="000000" w:fill="E7E6E6"/>
            <w:vAlign w:val="center"/>
            <w:hideMark/>
          </w:tcPr>
          <w:p w14:paraId="25A42F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700,000</w:t>
            </w:r>
          </w:p>
        </w:tc>
        <w:tc>
          <w:tcPr>
            <w:tcW w:w="796" w:type="dxa"/>
            <w:tcBorders>
              <w:top w:val="nil"/>
              <w:left w:val="nil"/>
              <w:bottom w:val="single" w:sz="4" w:space="0" w:color="auto"/>
              <w:right w:val="single" w:sz="4" w:space="0" w:color="auto"/>
            </w:tcBorders>
            <w:shd w:val="clear" w:color="000000" w:fill="E7E6E6"/>
            <w:vAlign w:val="center"/>
            <w:hideMark/>
          </w:tcPr>
          <w:p w14:paraId="26D0D0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33CD3AB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3521E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07656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36E72D1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96,326</w:t>
            </w:r>
          </w:p>
        </w:tc>
      </w:tr>
      <w:tr w:rsidR="0070459D" w:rsidRPr="0070459D" w14:paraId="14DCFEC1"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5F72239F"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8CD7BAE"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3E0E91C9"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4FFBA21D"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03870110"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6D408413"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5F17AEC2"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2A982B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AB6C0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FF446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94C86B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7D880A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7CB872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60C44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F9C58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BEDD1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D9AD57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47FB75A4"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A621452"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7D25F459"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41BEA0D"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2DEEC7F8"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C7A475E"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3A10A58F"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2BAC3292"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081CD9CB"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55DBF0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1A826B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AE21D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FA52E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F00672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D821B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3606A5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4DB93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6C1C1F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23A03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269DAF7D"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0FA0CAF"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6FB2535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27336036"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8FEAEFC"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5D8C02AA"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5F4F1D2E"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91F5D5A"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434D3843"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047431D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8A8D4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FE2AE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363D1C9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3 159,000</w:t>
            </w:r>
          </w:p>
        </w:tc>
        <w:tc>
          <w:tcPr>
            <w:tcW w:w="796" w:type="dxa"/>
            <w:tcBorders>
              <w:top w:val="nil"/>
              <w:left w:val="nil"/>
              <w:bottom w:val="single" w:sz="4" w:space="0" w:color="auto"/>
              <w:right w:val="single" w:sz="4" w:space="0" w:color="auto"/>
            </w:tcBorders>
            <w:shd w:val="clear" w:color="000000" w:fill="E0E0E0"/>
            <w:vAlign w:val="center"/>
            <w:hideMark/>
          </w:tcPr>
          <w:p w14:paraId="617EB9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10 678,000</w:t>
            </w:r>
          </w:p>
        </w:tc>
        <w:tc>
          <w:tcPr>
            <w:tcW w:w="796" w:type="dxa"/>
            <w:tcBorders>
              <w:top w:val="nil"/>
              <w:left w:val="nil"/>
              <w:bottom w:val="single" w:sz="4" w:space="0" w:color="auto"/>
              <w:right w:val="single" w:sz="4" w:space="0" w:color="auto"/>
            </w:tcBorders>
            <w:shd w:val="clear" w:color="000000" w:fill="E7E6E6"/>
            <w:vAlign w:val="center"/>
            <w:hideMark/>
          </w:tcPr>
          <w:p w14:paraId="5596AC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11 378,000</w:t>
            </w:r>
          </w:p>
        </w:tc>
        <w:tc>
          <w:tcPr>
            <w:tcW w:w="796" w:type="dxa"/>
            <w:tcBorders>
              <w:top w:val="nil"/>
              <w:left w:val="nil"/>
              <w:bottom w:val="single" w:sz="4" w:space="0" w:color="auto"/>
              <w:right w:val="single" w:sz="4" w:space="0" w:color="auto"/>
            </w:tcBorders>
            <w:shd w:val="clear" w:color="000000" w:fill="E7E6E6"/>
            <w:vAlign w:val="center"/>
            <w:hideMark/>
          </w:tcPr>
          <w:p w14:paraId="105B6D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1E853F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78DCA78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413D0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47361615"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3635AF1"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13C53C04"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09C1FE7"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5080939B"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6FAB89B8"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22CF494A"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053B4FAA"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4F6BCD9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5BA6FA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C5AE9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6B17A4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1AD08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63788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B89C7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FBCE4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C95E6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DB88F9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C69A4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3BEB77E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9B49069"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25A4A5B8"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8765956"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2F4E1BC0"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628B509E"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15A09C43"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4D97682B"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44840B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8B7D56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F81B0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D5247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882A7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762AA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F2A7E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C39E9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4B885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5DD6E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AE214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2E3C48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CF98D56" w14:textId="77777777" w:rsidTr="00C42BB8">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7F14F929"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67110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A7A51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podpůrných institucí, které fungují i po ukončení podpory</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760FE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4C8D2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3D0A7A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BD77C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7DA814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4,000</w:t>
            </w:r>
          </w:p>
        </w:tc>
        <w:tc>
          <w:tcPr>
            <w:tcW w:w="796" w:type="dxa"/>
            <w:tcBorders>
              <w:top w:val="nil"/>
              <w:left w:val="nil"/>
              <w:bottom w:val="single" w:sz="4" w:space="0" w:color="auto"/>
              <w:right w:val="single" w:sz="4" w:space="0" w:color="auto"/>
            </w:tcBorders>
            <w:shd w:val="clear" w:color="000000" w:fill="E7E6E6"/>
            <w:vAlign w:val="center"/>
            <w:hideMark/>
          </w:tcPr>
          <w:p w14:paraId="341941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7E754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0A5D4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4C3742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194B8F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2C736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F7CFF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9648A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511F96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3D8906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6627B9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64F5C47A"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2CAFD69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0C90B9D"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BCF8A48"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13F8DCED"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D4031CF"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32C3B781"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19639985"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1D054C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F4156D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8AC80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CC38E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54FCC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172B9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941BDC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A1A7A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4D28AE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C26A85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3214D9D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2499EB9"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437F5F13"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86F452E"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2FBDB10E"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1B3E3A88"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3D584215"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DEBEED3"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5F3614A1"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38C2479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0425E2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D22CB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ADCEC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8654F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195C12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920719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CB2F8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8FE26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90BAE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103A93ED"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CF755EA"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4D5AFED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6EE6913"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341CCE0"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E5D9873"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27AE3CFC"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626654C7"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0ACF5034"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4E44A2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3A217AC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316FD30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A005A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6A9858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71859D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DFEB94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2016EB4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2A4CE0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2571D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4310220E"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D76D08D"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17A7E24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E9F8ED6"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A377C8F"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6DB26B77"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70D1952F"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33552E13"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65D56E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7FA88D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1617F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46E86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F3333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A5951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FA3AE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56BBD2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1442C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F6DFD9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9A607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517054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62918172"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322BA3D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F3A2BAD"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05AA7640"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77872606"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16CABDE7"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AE3F4FF"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163ACFA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93DEF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80E38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4A29F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DC8BF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96D2F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CCCC6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6D654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78067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413A06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FFDED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7B7C172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4A5E4EC2" w14:textId="77777777" w:rsidTr="00C42BB8">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031FCE81"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67110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641E76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podpůrných institucí, které fungují i po ukončení podpory</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5751A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E37DF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63EC2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B669CC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1A9A7D7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1,000</w:t>
            </w:r>
          </w:p>
        </w:tc>
        <w:tc>
          <w:tcPr>
            <w:tcW w:w="796" w:type="dxa"/>
            <w:tcBorders>
              <w:top w:val="nil"/>
              <w:left w:val="nil"/>
              <w:bottom w:val="single" w:sz="4" w:space="0" w:color="auto"/>
              <w:right w:val="single" w:sz="4" w:space="0" w:color="auto"/>
            </w:tcBorders>
            <w:shd w:val="clear" w:color="000000" w:fill="E7E6E6"/>
            <w:vAlign w:val="center"/>
            <w:hideMark/>
          </w:tcPr>
          <w:p w14:paraId="33CC87B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87F3B8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541B0E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CF892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5708B7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468E0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670682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1582C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0EA8968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74A2E1D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7BE4B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7CFCC9CA"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1F003AC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6DA9C28"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BA5A483"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4CA52AB4"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776411A1"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55055050"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47E6EC99"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010F73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8D8D2E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121058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ADDBD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7C705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93C99D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4E5AC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A18D3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581EC4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45288A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1D52651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FFF7DBF"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08D6518F"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21038224"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1EA4527B"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20FD0364"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2577CA7A"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F9F782B"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23D1FF43"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4A3A67B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DA977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961EB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CA43A5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35ED6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84F1DE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E3A5A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FBCC27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77D95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7D42E7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32076020"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4F8B75FC"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6787E539"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3719791"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17D08A0B"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64C7ED8"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2FAAFCCF"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4DB170F5"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2B474617"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6858A71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C0EE2D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52202E0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37920AD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0E0E0"/>
            <w:vAlign w:val="center"/>
            <w:hideMark/>
          </w:tcPr>
          <w:p w14:paraId="78B7E8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25C682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6E146FD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211281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5E1191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30651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047D21EF"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5143342"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343A2C2C"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6BD75D7"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1D5E9B7D"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517FD0D8"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2F7BBE6B"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3944E171"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22898C5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1D982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06B93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A05EA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001B3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C52D3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076E8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CCD9C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6F98B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E66C5E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7C287E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3CE3AA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69215E1A"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72FF1AA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FAD8069"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E240199"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465E5965"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2C9859A0"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6BB3121C"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4FCAA4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C22E9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25A527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E19F3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4A6DF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0D5A0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E85BFD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C1D9B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6D917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16767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6E7ABF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20BC0BE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26DD2F34" w14:textId="77777777" w:rsidTr="00C42BB8">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40240CB2"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67310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07EF2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Bývalí účastníci projektů, u nichž intervence formou sociální práce naplnila svůj účel</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56F0AA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FF988A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FD626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DB44E6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492F8D9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56 133,000</w:t>
            </w:r>
          </w:p>
        </w:tc>
        <w:tc>
          <w:tcPr>
            <w:tcW w:w="796" w:type="dxa"/>
            <w:tcBorders>
              <w:top w:val="nil"/>
              <w:left w:val="nil"/>
              <w:bottom w:val="single" w:sz="4" w:space="0" w:color="auto"/>
              <w:right w:val="single" w:sz="4" w:space="0" w:color="auto"/>
            </w:tcBorders>
            <w:shd w:val="clear" w:color="000000" w:fill="E7E6E6"/>
            <w:vAlign w:val="center"/>
            <w:hideMark/>
          </w:tcPr>
          <w:p w14:paraId="4058D0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A54B8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F49C3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8,000</w:t>
            </w:r>
          </w:p>
        </w:tc>
        <w:tc>
          <w:tcPr>
            <w:tcW w:w="796" w:type="dxa"/>
            <w:tcBorders>
              <w:top w:val="nil"/>
              <w:left w:val="nil"/>
              <w:bottom w:val="single" w:sz="4" w:space="0" w:color="auto"/>
              <w:right w:val="single" w:sz="4" w:space="0" w:color="auto"/>
            </w:tcBorders>
            <w:shd w:val="clear" w:color="000000" w:fill="E7E6E6"/>
            <w:vAlign w:val="center"/>
            <w:hideMark/>
          </w:tcPr>
          <w:p w14:paraId="1BD9820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365,000</w:t>
            </w:r>
          </w:p>
        </w:tc>
        <w:tc>
          <w:tcPr>
            <w:tcW w:w="796" w:type="dxa"/>
            <w:tcBorders>
              <w:top w:val="nil"/>
              <w:left w:val="nil"/>
              <w:bottom w:val="single" w:sz="4" w:space="0" w:color="auto"/>
              <w:right w:val="single" w:sz="4" w:space="0" w:color="auto"/>
            </w:tcBorders>
            <w:shd w:val="clear" w:color="000000" w:fill="E0E0E0"/>
            <w:vAlign w:val="center"/>
            <w:hideMark/>
          </w:tcPr>
          <w:p w14:paraId="025D66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543D01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2 096,000</w:t>
            </w:r>
          </w:p>
        </w:tc>
        <w:tc>
          <w:tcPr>
            <w:tcW w:w="796" w:type="dxa"/>
            <w:tcBorders>
              <w:top w:val="nil"/>
              <w:left w:val="nil"/>
              <w:bottom w:val="single" w:sz="4" w:space="0" w:color="auto"/>
              <w:right w:val="single" w:sz="4" w:space="0" w:color="auto"/>
            </w:tcBorders>
            <w:shd w:val="clear" w:color="000000" w:fill="E7E6E6"/>
            <w:vAlign w:val="center"/>
            <w:hideMark/>
          </w:tcPr>
          <w:p w14:paraId="4373C0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AB27E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3CA2C8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BDF84E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8FAC1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4,398</w:t>
            </w:r>
          </w:p>
        </w:tc>
      </w:tr>
      <w:tr w:rsidR="0070459D" w:rsidRPr="0070459D" w14:paraId="70980D4A"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0E68951E"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D2D4E5A"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2E23C437"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2D2B2C93"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6C59DEE3"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4EC8A259"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02092227"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336FE2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64862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1F526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4CCFE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75F4E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E493D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ABE7C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8CDC21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89CA1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BFE228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1F7F457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F8748E1"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1442B8C9"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EB7B5E2"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48C98827"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76790CF7"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1CF366E7"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40BF7978"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0CA3CA5C"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0296F6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746D07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5B797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F3E7BF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B2617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F5339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6CC8A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FF71C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61584A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28FC5C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60A33078"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714E4C4"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3403D60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237835F"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6B79466"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7BC4F26E"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D955D06"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61E7AC8"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0A592F10"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1A6F3B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384D4A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082356A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8,000</w:t>
            </w:r>
          </w:p>
        </w:tc>
        <w:tc>
          <w:tcPr>
            <w:tcW w:w="796" w:type="dxa"/>
            <w:tcBorders>
              <w:top w:val="nil"/>
              <w:left w:val="nil"/>
              <w:bottom w:val="single" w:sz="4" w:space="0" w:color="auto"/>
              <w:right w:val="single" w:sz="4" w:space="0" w:color="auto"/>
            </w:tcBorders>
            <w:shd w:val="clear" w:color="000000" w:fill="E7E6E6"/>
            <w:vAlign w:val="center"/>
            <w:hideMark/>
          </w:tcPr>
          <w:p w14:paraId="4EC0D2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373,000</w:t>
            </w:r>
          </w:p>
        </w:tc>
        <w:tc>
          <w:tcPr>
            <w:tcW w:w="796" w:type="dxa"/>
            <w:tcBorders>
              <w:top w:val="nil"/>
              <w:left w:val="nil"/>
              <w:bottom w:val="single" w:sz="4" w:space="0" w:color="auto"/>
              <w:right w:val="single" w:sz="4" w:space="0" w:color="auto"/>
            </w:tcBorders>
            <w:shd w:val="clear" w:color="000000" w:fill="E7E6E6"/>
            <w:vAlign w:val="center"/>
            <w:hideMark/>
          </w:tcPr>
          <w:p w14:paraId="5654DC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373,000</w:t>
            </w:r>
          </w:p>
        </w:tc>
        <w:tc>
          <w:tcPr>
            <w:tcW w:w="796" w:type="dxa"/>
            <w:tcBorders>
              <w:top w:val="nil"/>
              <w:left w:val="nil"/>
              <w:bottom w:val="single" w:sz="4" w:space="0" w:color="auto"/>
              <w:right w:val="single" w:sz="4" w:space="0" w:color="auto"/>
            </w:tcBorders>
            <w:shd w:val="clear" w:color="000000" w:fill="E7E6E6"/>
            <w:vAlign w:val="center"/>
            <w:hideMark/>
          </w:tcPr>
          <w:p w14:paraId="10979E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2 469,000</w:t>
            </w:r>
          </w:p>
        </w:tc>
        <w:tc>
          <w:tcPr>
            <w:tcW w:w="796" w:type="dxa"/>
            <w:tcBorders>
              <w:top w:val="nil"/>
              <w:left w:val="nil"/>
              <w:bottom w:val="single" w:sz="4" w:space="0" w:color="auto"/>
              <w:right w:val="single" w:sz="4" w:space="0" w:color="auto"/>
            </w:tcBorders>
            <w:shd w:val="clear" w:color="000000" w:fill="E7E6E6"/>
            <w:vAlign w:val="center"/>
            <w:hideMark/>
          </w:tcPr>
          <w:p w14:paraId="23A59A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233771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21152D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487D5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2A21A071"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2DF4989"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27992B9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A2AFBE7"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1E0EACE7"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40BE78B"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7BEA03A"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7715BE03"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18277D5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E003D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A315D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2E586E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A7540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F2747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0F89BE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C815F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A39C4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52ED7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11BF5F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38B856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8131DFF"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1B14BC5A"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58A894A"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2EC17F07"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5032EA49"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4C52DBF1"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21CC9C32"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vAlign w:val="center"/>
            <w:hideMark/>
          </w:tcPr>
          <w:p w14:paraId="4190F65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14843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C5526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9B512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29EBD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ED11EB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7945A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15A08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5F6BC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596EF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A7258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tcBorders>
              <w:top w:val="nil"/>
              <w:left w:val="nil"/>
              <w:bottom w:val="single" w:sz="4" w:space="0" w:color="auto"/>
              <w:right w:val="single" w:sz="4" w:space="0" w:color="auto"/>
            </w:tcBorders>
            <w:shd w:val="clear" w:color="auto" w:fill="auto"/>
            <w:vAlign w:val="center"/>
            <w:hideMark/>
          </w:tcPr>
          <w:p w14:paraId="3FB684D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42621A22" w14:textId="77777777" w:rsidTr="00C42BB8">
        <w:trPr>
          <w:trHeight w:val="20"/>
        </w:trPr>
        <w:tc>
          <w:tcPr>
            <w:tcW w:w="502" w:type="dxa"/>
            <w:vMerge w:val="restart"/>
            <w:tcBorders>
              <w:top w:val="nil"/>
              <w:left w:val="single" w:sz="4" w:space="0" w:color="auto"/>
              <w:bottom w:val="single" w:sz="4" w:space="0" w:color="000000"/>
              <w:right w:val="single" w:sz="4" w:space="0" w:color="auto"/>
            </w:tcBorders>
            <w:shd w:val="clear" w:color="auto" w:fill="auto"/>
            <w:vAlign w:val="center"/>
            <w:hideMark/>
          </w:tcPr>
          <w:p w14:paraId="70729D12"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67310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00A8C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Bývalí účastníci projektů, u nichž intervence formou sociální práce naplnila svůj účel</w:t>
            </w:r>
          </w:p>
        </w:tc>
        <w:tc>
          <w:tcPr>
            <w:tcW w:w="49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57FA9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34548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1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9BC6A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2138C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53"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C8B2B8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6 425,000</w:t>
            </w:r>
          </w:p>
        </w:tc>
        <w:tc>
          <w:tcPr>
            <w:tcW w:w="796" w:type="dxa"/>
            <w:tcBorders>
              <w:top w:val="nil"/>
              <w:left w:val="nil"/>
              <w:bottom w:val="single" w:sz="4" w:space="0" w:color="auto"/>
              <w:right w:val="single" w:sz="4" w:space="0" w:color="auto"/>
            </w:tcBorders>
            <w:shd w:val="clear" w:color="000000" w:fill="E7E6E6"/>
            <w:vAlign w:val="center"/>
            <w:hideMark/>
          </w:tcPr>
          <w:p w14:paraId="62113F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4ABBBFB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FB7D9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6B1573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17,000</w:t>
            </w:r>
          </w:p>
        </w:tc>
        <w:tc>
          <w:tcPr>
            <w:tcW w:w="796" w:type="dxa"/>
            <w:tcBorders>
              <w:top w:val="nil"/>
              <w:left w:val="nil"/>
              <w:bottom w:val="single" w:sz="4" w:space="0" w:color="auto"/>
              <w:right w:val="single" w:sz="4" w:space="0" w:color="auto"/>
            </w:tcBorders>
            <w:shd w:val="clear" w:color="000000" w:fill="E0E0E0"/>
            <w:vAlign w:val="center"/>
            <w:hideMark/>
          </w:tcPr>
          <w:p w14:paraId="310CBC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92,000</w:t>
            </w:r>
          </w:p>
        </w:tc>
        <w:tc>
          <w:tcPr>
            <w:tcW w:w="796" w:type="dxa"/>
            <w:tcBorders>
              <w:top w:val="nil"/>
              <w:left w:val="nil"/>
              <w:bottom w:val="single" w:sz="4" w:space="0" w:color="auto"/>
              <w:right w:val="single" w:sz="4" w:space="0" w:color="auto"/>
            </w:tcBorders>
            <w:shd w:val="clear" w:color="000000" w:fill="E7E6E6"/>
            <w:vAlign w:val="center"/>
            <w:hideMark/>
          </w:tcPr>
          <w:p w14:paraId="50B350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9,000</w:t>
            </w:r>
          </w:p>
        </w:tc>
        <w:tc>
          <w:tcPr>
            <w:tcW w:w="796" w:type="dxa"/>
            <w:tcBorders>
              <w:top w:val="nil"/>
              <w:left w:val="nil"/>
              <w:bottom w:val="single" w:sz="4" w:space="0" w:color="auto"/>
              <w:right w:val="single" w:sz="4" w:space="0" w:color="auto"/>
            </w:tcBorders>
            <w:shd w:val="clear" w:color="000000" w:fill="E7E6E6"/>
            <w:vAlign w:val="center"/>
            <w:hideMark/>
          </w:tcPr>
          <w:p w14:paraId="0A2BA9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480564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11E6F3F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428F6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12898F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1,837</w:t>
            </w:r>
          </w:p>
        </w:tc>
      </w:tr>
      <w:tr w:rsidR="0070459D" w:rsidRPr="0070459D" w14:paraId="4799AE94"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4891714E"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EB486D8"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3EA5C737"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78D84C0A"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1CEA0B47"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59BF6F25"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2017BBCE"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498C8D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026D6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CF6CE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035E43D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25CB8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A15CE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1A142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2889A3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2D909A2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F778F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48CEFBAB"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F0905FA"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6DCB4D56"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2B62D9D3"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0A4B379E"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02A15236"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01DBA2BC"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61FEB3DB"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0346B3D2"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FFFFFF"/>
            <w:vAlign w:val="center"/>
            <w:hideMark/>
          </w:tcPr>
          <w:p w14:paraId="4A6D34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A7AD8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5C8799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66ED15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30696C8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57754C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A1186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D6B92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42D5751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FFFFFF"/>
            <w:vAlign w:val="center"/>
            <w:hideMark/>
          </w:tcPr>
          <w:p w14:paraId="11F8D74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1267B149"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F9D795B"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0837141A"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40AD979"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6F45E15A"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66E33733"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35C982F5"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0EB1CC45"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vMerge/>
            <w:tcBorders>
              <w:top w:val="nil"/>
              <w:left w:val="single" w:sz="4" w:space="0" w:color="auto"/>
              <w:bottom w:val="single" w:sz="4" w:space="0" w:color="000000"/>
              <w:right w:val="single" w:sz="4" w:space="0" w:color="auto"/>
            </w:tcBorders>
            <w:vAlign w:val="center"/>
            <w:hideMark/>
          </w:tcPr>
          <w:p w14:paraId="55F62FAF" w14:textId="77777777" w:rsidR="0070459D" w:rsidRPr="0070459D" w:rsidRDefault="0070459D" w:rsidP="0070459D">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000000" w:fill="E7E6E6"/>
            <w:vAlign w:val="center"/>
            <w:hideMark/>
          </w:tcPr>
          <w:p w14:paraId="609024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4D0E5A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2D07CD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6" w:type="dxa"/>
            <w:tcBorders>
              <w:top w:val="nil"/>
              <w:left w:val="nil"/>
              <w:bottom w:val="single" w:sz="4" w:space="0" w:color="auto"/>
              <w:right w:val="single" w:sz="4" w:space="0" w:color="auto"/>
            </w:tcBorders>
            <w:shd w:val="clear" w:color="000000" w:fill="E7E6E6"/>
            <w:vAlign w:val="center"/>
            <w:hideMark/>
          </w:tcPr>
          <w:p w14:paraId="1F52563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17,000</w:t>
            </w:r>
          </w:p>
        </w:tc>
        <w:tc>
          <w:tcPr>
            <w:tcW w:w="796" w:type="dxa"/>
            <w:tcBorders>
              <w:top w:val="nil"/>
              <w:left w:val="nil"/>
              <w:bottom w:val="single" w:sz="4" w:space="0" w:color="auto"/>
              <w:right w:val="single" w:sz="4" w:space="0" w:color="auto"/>
            </w:tcBorders>
            <w:shd w:val="clear" w:color="000000" w:fill="E0E0E0"/>
            <w:vAlign w:val="center"/>
            <w:hideMark/>
          </w:tcPr>
          <w:p w14:paraId="34C19A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109,000</w:t>
            </w:r>
          </w:p>
        </w:tc>
        <w:tc>
          <w:tcPr>
            <w:tcW w:w="796" w:type="dxa"/>
            <w:tcBorders>
              <w:top w:val="nil"/>
              <w:left w:val="nil"/>
              <w:bottom w:val="single" w:sz="4" w:space="0" w:color="auto"/>
              <w:right w:val="single" w:sz="4" w:space="0" w:color="auto"/>
            </w:tcBorders>
            <w:shd w:val="clear" w:color="000000" w:fill="E7E6E6"/>
            <w:vAlign w:val="center"/>
            <w:hideMark/>
          </w:tcPr>
          <w:p w14:paraId="02484EA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118,000</w:t>
            </w:r>
          </w:p>
        </w:tc>
        <w:tc>
          <w:tcPr>
            <w:tcW w:w="796" w:type="dxa"/>
            <w:tcBorders>
              <w:top w:val="nil"/>
              <w:left w:val="nil"/>
              <w:bottom w:val="single" w:sz="4" w:space="0" w:color="auto"/>
              <w:right w:val="single" w:sz="4" w:space="0" w:color="auto"/>
            </w:tcBorders>
            <w:shd w:val="clear" w:color="000000" w:fill="E7E6E6"/>
            <w:vAlign w:val="center"/>
            <w:hideMark/>
          </w:tcPr>
          <w:p w14:paraId="2AFEA4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05F6CD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682A37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000000" w:fill="E7E6E6"/>
            <w:vAlign w:val="center"/>
            <w:hideMark/>
          </w:tcPr>
          <w:p w14:paraId="36A1EDE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06" w:type="dxa"/>
            <w:vMerge/>
            <w:tcBorders>
              <w:top w:val="nil"/>
              <w:left w:val="single" w:sz="4" w:space="0" w:color="auto"/>
              <w:bottom w:val="single" w:sz="4" w:space="0" w:color="000000"/>
              <w:right w:val="single" w:sz="4" w:space="0" w:color="auto"/>
            </w:tcBorders>
            <w:vAlign w:val="center"/>
            <w:hideMark/>
          </w:tcPr>
          <w:p w14:paraId="7D304394"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7A73627"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174563D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C12EE8A"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5D560503"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480B3EF9"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727BAC19"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0D862C87"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noWrap/>
            <w:vAlign w:val="bottom"/>
            <w:hideMark/>
          </w:tcPr>
          <w:p w14:paraId="6F66EAD1"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5A4B417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141B880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7F3DB8B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7DE5798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67746A3D"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781C8E8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7A94F89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40114BA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7290830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2CFEE42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06" w:type="dxa"/>
            <w:tcBorders>
              <w:top w:val="nil"/>
              <w:left w:val="nil"/>
              <w:bottom w:val="single" w:sz="4" w:space="0" w:color="auto"/>
              <w:right w:val="single" w:sz="4" w:space="0" w:color="auto"/>
            </w:tcBorders>
            <w:shd w:val="clear" w:color="auto" w:fill="auto"/>
            <w:noWrap/>
            <w:vAlign w:val="bottom"/>
            <w:hideMark/>
          </w:tcPr>
          <w:p w14:paraId="498392E5"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r w:rsidR="0070459D" w:rsidRPr="0070459D" w14:paraId="3170396F" w14:textId="77777777" w:rsidTr="00C42BB8">
        <w:trPr>
          <w:trHeight w:val="20"/>
        </w:trPr>
        <w:tc>
          <w:tcPr>
            <w:tcW w:w="502" w:type="dxa"/>
            <w:vMerge/>
            <w:tcBorders>
              <w:top w:val="nil"/>
              <w:left w:val="single" w:sz="4" w:space="0" w:color="auto"/>
              <w:bottom w:val="single" w:sz="4" w:space="0" w:color="000000"/>
              <w:right w:val="single" w:sz="4" w:space="0" w:color="auto"/>
            </w:tcBorders>
            <w:vAlign w:val="center"/>
            <w:hideMark/>
          </w:tcPr>
          <w:p w14:paraId="44D563A3"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95C4C84" w14:textId="77777777" w:rsidR="0070459D" w:rsidRPr="0070459D" w:rsidRDefault="0070459D" w:rsidP="0070459D">
            <w:pPr>
              <w:rPr>
                <w:rFonts w:ascii="Arial" w:eastAsia="Times New Roman" w:hAnsi="Arial" w:cs="Arial"/>
                <w:color w:val="000000"/>
                <w:sz w:val="14"/>
                <w:szCs w:val="14"/>
                <w:lang w:val="cs-CZ" w:eastAsia="cs-CZ"/>
              </w:rPr>
            </w:pPr>
          </w:p>
        </w:tc>
        <w:tc>
          <w:tcPr>
            <w:tcW w:w="490" w:type="dxa"/>
            <w:vMerge/>
            <w:tcBorders>
              <w:top w:val="nil"/>
              <w:left w:val="single" w:sz="4" w:space="0" w:color="auto"/>
              <w:bottom w:val="single" w:sz="4" w:space="0" w:color="000000"/>
              <w:right w:val="single" w:sz="4" w:space="0" w:color="auto"/>
            </w:tcBorders>
            <w:vAlign w:val="center"/>
            <w:hideMark/>
          </w:tcPr>
          <w:p w14:paraId="74F037CC" w14:textId="77777777" w:rsidR="0070459D" w:rsidRPr="0070459D" w:rsidRDefault="0070459D" w:rsidP="0070459D">
            <w:pPr>
              <w:rPr>
                <w:rFonts w:ascii="Arial" w:eastAsia="Times New Roman" w:hAnsi="Arial" w:cs="Arial"/>
                <w:color w:val="000000"/>
                <w:sz w:val="14"/>
                <w:szCs w:val="14"/>
                <w:lang w:val="cs-CZ" w:eastAsia="cs-CZ"/>
              </w:rPr>
            </w:pPr>
          </w:p>
        </w:tc>
        <w:tc>
          <w:tcPr>
            <w:tcW w:w="1165" w:type="dxa"/>
            <w:vMerge/>
            <w:tcBorders>
              <w:top w:val="nil"/>
              <w:left w:val="single" w:sz="4" w:space="0" w:color="auto"/>
              <w:bottom w:val="single" w:sz="4" w:space="0" w:color="000000"/>
              <w:right w:val="single" w:sz="4" w:space="0" w:color="auto"/>
            </w:tcBorders>
            <w:vAlign w:val="center"/>
            <w:hideMark/>
          </w:tcPr>
          <w:p w14:paraId="3E9970C4" w14:textId="77777777" w:rsidR="0070459D" w:rsidRPr="0070459D" w:rsidRDefault="0070459D" w:rsidP="0070459D">
            <w:pPr>
              <w:rPr>
                <w:rFonts w:ascii="Arial" w:eastAsia="Times New Roman" w:hAnsi="Arial" w:cs="Arial"/>
                <w:color w:val="000000"/>
                <w:sz w:val="14"/>
                <w:szCs w:val="14"/>
                <w:lang w:val="cs-CZ" w:eastAsia="cs-CZ"/>
              </w:rPr>
            </w:pPr>
          </w:p>
        </w:tc>
        <w:tc>
          <w:tcPr>
            <w:tcW w:w="811" w:type="dxa"/>
            <w:vMerge/>
            <w:tcBorders>
              <w:top w:val="nil"/>
              <w:left w:val="single" w:sz="4" w:space="0" w:color="auto"/>
              <w:bottom w:val="single" w:sz="4" w:space="0" w:color="000000"/>
              <w:right w:val="single" w:sz="4" w:space="0" w:color="auto"/>
            </w:tcBorders>
            <w:vAlign w:val="center"/>
            <w:hideMark/>
          </w:tcPr>
          <w:p w14:paraId="1F87D929" w14:textId="77777777" w:rsidR="0070459D" w:rsidRPr="0070459D" w:rsidRDefault="0070459D" w:rsidP="0070459D">
            <w:pPr>
              <w:rPr>
                <w:rFonts w:ascii="Arial" w:eastAsia="Times New Roman" w:hAnsi="Arial" w:cs="Arial"/>
                <w:color w:val="000000"/>
                <w:sz w:val="14"/>
                <w:szCs w:val="14"/>
                <w:lang w:val="cs-CZ" w:eastAsia="cs-CZ"/>
              </w:rPr>
            </w:pPr>
          </w:p>
        </w:tc>
        <w:tc>
          <w:tcPr>
            <w:tcW w:w="941" w:type="dxa"/>
            <w:vMerge/>
            <w:tcBorders>
              <w:top w:val="nil"/>
              <w:left w:val="single" w:sz="4" w:space="0" w:color="auto"/>
              <w:bottom w:val="single" w:sz="4" w:space="0" w:color="000000"/>
              <w:right w:val="single" w:sz="4" w:space="0" w:color="auto"/>
            </w:tcBorders>
            <w:vAlign w:val="center"/>
            <w:hideMark/>
          </w:tcPr>
          <w:p w14:paraId="39A2B816" w14:textId="77777777" w:rsidR="0070459D" w:rsidRPr="0070459D" w:rsidRDefault="0070459D" w:rsidP="0070459D">
            <w:pPr>
              <w:rPr>
                <w:rFonts w:ascii="Arial" w:eastAsia="Times New Roman" w:hAnsi="Arial" w:cs="Arial"/>
                <w:color w:val="000000"/>
                <w:sz w:val="14"/>
                <w:szCs w:val="14"/>
                <w:lang w:val="cs-CZ" w:eastAsia="cs-CZ"/>
              </w:rPr>
            </w:pPr>
          </w:p>
        </w:tc>
        <w:tc>
          <w:tcPr>
            <w:tcW w:w="853" w:type="dxa"/>
            <w:tcBorders>
              <w:top w:val="nil"/>
              <w:left w:val="nil"/>
              <w:bottom w:val="single" w:sz="4" w:space="0" w:color="auto"/>
              <w:right w:val="single" w:sz="4" w:space="0" w:color="auto"/>
            </w:tcBorders>
            <w:shd w:val="clear" w:color="auto" w:fill="auto"/>
            <w:noWrap/>
            <w:vAlign w:val="bottom"/>
            <w:hideMark/>
          </w:tcPr>
          <w:p w14:paraId="327CF4B1"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7EC3F5D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3EBAA37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191D601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16FC797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6ECBE68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1F569F6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592E29A1"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5AFFDEF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25190BD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6" w:type="dxa"/>
            <w:tcBorders>
              <w:top w:val="nil"/>
              <w:left w:val="nil"/>
              <w:bottom w:val="single" w:sz="4" w:space="0" w:color="auto"/>
              <w:right w:val="single" w:sz="4" w:space="0" w:color="auto"/>
            </w:tcBorders>
            <w:shd w:val="clear" w:color="auto" w:fill="auto"/>
            <w:noWrap/>
            <w:vAlign w:val="bottom"/>
            <w:hideMark/>
          </w:tcPr>
          <w:p w14:paraId="4CE7D86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06" w:type="dxa"/>
            <w:tcBorders>
              <w:top w:val="nil"/>
              <w:left w:val="nil"/>
              <w:bottom w:val="single" w:sz="4" w:space="0" w:color="auto"/>
              <w:right w:val="single" w:sz="4" w:space="0" w:color="auto"/>
            </w:tcBorders>
            <w:shd w:val="clear" w:color="auto" w:fill="auto"/>
            <w:noWrap/>
            <w:vAlign w:val="bottom"/>
            <w:hideMark/>
          </w:tcPr>
          <w:p w14:paraId="7564A739" w14:textId="4C83E80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bl>
    <w:p w14:paraId="06D46A75" w14:textId="77777777" w:rsidR="001A2CCD" w:rsidRPr="002F2BE4" w:rsidRDefault="001A2CCD" w:rsidP="00DD7907">
      <w:pPr>
        <w:ind w:left="113" w:right="108"/>
        <w:jc w:val="both"/>
        <w:rPr>
          <w:rFonts w:ascii="Arial" w:eastAsia="Arial" w:hAnsi="Arial" w:cs="Arial"/>
          <w:color w:val="000000"/>
          <w:sz w:val="20"/>
          <w:lang w:val="cs-CZ"/>
        </w:rPr>
      </w:pPr>
    </w:p>
    <w:p w14:paraId="52EB3E1E" w14:textId="77777777" w:rsidR="00FD35AB" w:rsidRPr="002F2BE4" w:rsidRDefault="00FD35AB" w:rsidP="00DD7907">
      <w:pPr>
        <w:ind w:left="113" w:right="108"/>
        <w:jc w:val="both"/>
        <w:rPr>
          <w:rFonts w:ascii="Arial" w:eastAsia="Arial" w:hAnsi="Arial" w:cs="Arial"/>
          <w:color w:val="000000"/>
          <w:sz w:val="20"/>
          <w:lang w:val="cs-CZ"/>
        </w:rPr>
      </w:pPr>
    </w:p>
    <w:p w14:paraId="25BAF405"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03.2.63 Zlepšování přístupu k dostupným, udržitelným a vysoce kvalitním službám, včetně zdravotnictví a sociálních služeb obecného zájmu</w:t>
      </w:r>
    </w:p>
    <w:tbl>
      <w:tblPr>
        <w:tblW w:w="15721" w:type="dxa"/>
        <w:tblInd w:w="75" w:type="dxa"/>
        <w:tblCellMar>
          <w:left w:w="70" w:type="dxa"/>
          <w:right w:w="70" w:type="dxa"/>
        </w:tblCellMar>
        <w:tblLook w:val="04A0" w:firstRow="1" w:lastRow="0" w:firstColumn="1" w:lastColumn="0" w:noHBand="0" w:noVBand="1"/>
      </w:tblPr>
      <w:tblGrid>
        <w:gridCol w:w="530"/>
        <w:gridCol w:w="2411"/>
        <w:gridCol w:w="488"/>
        <w:gridCol w:w="1161"/>
        <w:gridCol w:w="790"/>
        <w:gridCol w:w="938"/>
        <w:gridCol w:w="812"/>
        <w:gridCol w:w="793"/>
        <w:gridCol w:w="793"/>
        <w:gridCol w:w="793"/>
        <w:gridCol w:w="793"/>
        <w:gridCol w:w="793"/>
        <w:gridCol w:w="793"/>
        <w:gridCol w:w="793"/>
        <w:gridCol w:w="793"/>
        <w:gridCol w:w="793"/>
        <w:gridCol w:w="793"/>
        <w:gridCol w:w="8"/>
        <w:gridCol w:w="653"/>
      </w:tblGrid>
      <w:tr w:rsidR="0070459D" w:rsidRPr="0070459D" w14:paraId="5657A213" w14:textId="77777777" w:rsidTr="00C42BB8">
        <w:trPr>
          <w:trHeight w:val="20"/>
          <w:tblHeader/>
        </w:trPr>
        <w:tc>
          <w:tcPr>
            <w:tcW w:w="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A1EB7C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ID</w:t>
            </w:r>
          </w:p>
        </w:tc>
        <w:tc>
          <w:tcPr>
            <w:tcW w:w="24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7E11C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Indikátor</w:t>
            </w:r>
          </w:p>
        </w:tc>
        <w:tc>
          <w:tcPr>
            <w:tcW w:w="48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7DFFF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ESF / YEI</w:t>
            </w:r>
          </w:p>
        </w:tc>
        <w:tc>
          <w:tcPr>
            <w:tcW w:w="11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D1E22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Kategorie regionu (je-li relevantní)</w:t>
            </w:r>
          </w:p>
        </w:tc>
        <w:tc>
          <w:tcPr>
            <w:tcW w:w="7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4DCCA5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Měrná jednotka</w:t>
            </w:r>
          </w:p>
        </w:tc>
        <w:tc>
          <w:tcPr>
            <w:tcW w:w="9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54AD72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Jednotka měření pro výchozí hodnotu a cíl</w:t>
            </w:r>
          </w:p>
        </w:tc>
        <w:tc>
          <w:tcPr>
            <w:tcW w:w="8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2CB67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Cílová hodnota (2023)</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65605E5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2014</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3D0F7C5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2015</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1622969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2016</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47F8B98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2017</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2BF3897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2018</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38ECED3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2019</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745490F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2020</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6B4B6DD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2021</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47C0A30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2022</w:t>
            </w:r>
          </w:p>
        </w:tc>
        <w:tc>
          <w:tcPr>
            <w:tcW w:w="793" w:type="dxa"/>
            <w:tcBorders>
              <w:top w:val="single" w:sz="4" w:space="0" w:color="auto"/>
              <w:left w:val="nil"/>
              <w:bottom w:val="single" w:sz="4" w:space="0" w:color="auto"/>
              <w:right w:val="single" w:sz="4" w:space="0" w:color="auto"/>
            </w:tcBorders>
            <w:shd w:val="clear" w:color="000000" w:fill="FFFFFF"/>
            <w:vAlign w:val="center"/>
            <w:hideMark/>
          </w:tcPr>
          <w:p w14:paraId="443BDF2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2023</w:t>
            </w:r>
          </w:p>
        </w:tc>
        <w:tc>
          <w:tcPr>
            <w:tcW w:w="66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7EC7BD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Míra splnění</w:t>
            </w:r>
          </w:p>
        </w:tc>
      </w:tr>
      <w:tr w:rsidR="0070459D" w:rsidRPr="0070459D" w14:paraId="432CDC40" w14:textId="77777777" w:rsidTr="00C42BB8">
        <w:trPr>
          <w:trHeight w:val="20"/>
          <w:tblHead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AF18ADD"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F6949EE"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2545FCDD"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0902761E" w14:textId="77777777" w:rsidR="0070459D" w:rsidRPr="0070459D" w:rsidRDefault="0070459D" w:rsidP="0070459D">
            <w:pPr>
              <w:rPr>
                <w:rFonts w:ascii="Arial" w:eastAsia="Times New Roman" w:hAnsi="Arial" w:cs="Arial"/>
                <w:b/>
                <w:bCs/>
                <w:color w:val="000000"/>
                <w:sz w:val="14"/>
                <w:szCs w:val="14"/>
                <w:lang w:val="cs-CZ" w:eastAsia="cs-CZ"/>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3E7A097B" w14:textId="77777777" w:rsidR="0070459D" w:rsidRPr="0070459D" w:rsidRDefault="0070459D" w:rsidP="0070459D">
            <w:pPr>
              <w:rPr>
                <w:rFonts w:ascii="Arial" w:eastAsia="Times New Roman" w:hAnsi="Arial" w:cs="Arial"/>
                <w:b/>
                <w:bCs/>
                <w:color w:val="000000"/>
                <w:sz w:val="14"/>
                <w:szCs w:val="14"/>
                <w:lang w:val="cs-CZ" w:eastAsia="cs-CZ"/>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6ACA9071" w14:textId="77777777" w:rsidR="0070459D" w:rsidRPr="0070459D" w:rsidRDefault="0070459D" w:rsidP="0070459D">
            <w:pPr>
              <w:rPr>
                <w:rFonts w:ascii="Arial" w:eastAsia="Times New Roman" w:hAnsi="Arial" w:cs="Arial"/>
                <w:b/>
                <w:bCs/>
                <w:color w:val="000000"/>
                <w:sz w:val="14"/>
                <w:szCs w:val="14"/>
                <w:lang w:val="cs-CZ" w:eastAsia="cs-CZ"/>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14:paraId="78143A4E" w14:textId="77777777" w:rsidR="0070459D" w:rsidRPr="0070459D" w:rsidRDefault="0070459D" w:rsidP="0070459D">
            <w:pPr>
              <w:rPr>
                <w:rFonts w:ascii="Arial" w:eastAsia="Times New Roman" w:hAnsi="Arial" w:cs="Arial"/>
                <w:b/>
                <w:bCs/>
                <w:color w:val="000000"/>
                <w:sz w:val="14"/>
                <w:szCs w:val="14"/>
                <w:lang w:val="cs-CZ" w:eastAsia="cs-CZ"/>
              </w:rPr>
            </w:pPr>
          </w:p>
        </w:tc>
        <w:tc>
          <w:tcPr>
            <w:tcW w:w="7938" w:type="dxa"/>
            <w:gridSpan w:val="11"/>
            <w:tcBorders>
              <w:top w:val="single" w:sz="4" w:space="0" w:color="auto"/>
              <w:left w:val="nil"/>
              <w:bottom w:val="single" w:sz="4" w:space="0" w:color="auto"/>
              <w:right w:val="single" w:sz="4" w:space="0" w:color="auto"/>
            </w:tcBorders>
            <w:shd w:val="clear" w:color="000000" w:fill="FFFFFF"/>
            <w:vAlign w:val="center"/>
            <w:hideMark/>
          </w:tcPr>
          <w:p w14:paraId="3B0DBAE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Roční hodnota</w:t>
            </w:r>
          </w:p>
        </w:tc>
        <w:tc>
          <w:tcPr>
            <w:tcW w:w="661" w:type="dxa"/>
            <w:vMerge/>
            <w:tcBorders>
              <w:top w:val="single" w:sz="4" w:space="0" w:color="auto"/>
              <w:left w:val="single" w:sz="4" w:space="0" w:color="auto"/>
              <w:bottom w:val="single" w:sz="4" w:space="0" w:color="auto"/>
              <w:right w:val="single" w:sz="4" w:space="0" w:color="auto"/>
            </w:tcBorders>
            <w:vAlign w:val="center"/>
            <w:hideMark/>
          </w:tcPr>
          <w:p w14:paraId="18C7C713"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2F66053F" w14:textId="77777777" w:rsidTr="00C42BB8">
        <w:trPr>
          <w:trHeight w:val="20"/>
          <w:tblHead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2B0A4D81"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54C27ED"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15A495AD"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660EDADF" w14:textId="77777777" w:rsidR="0070459D" w:rsidRPr="0070459D" w:rsidRDefault="0070459D" w:rsidP="0070459D">
            <w:pPr>
              <w:rPr>
                <w:rFonts w:ascii="Arial" w:eastAsia="Times New Roman" w:hAnsi="Arial" w:cs="Arial"/>
                <w:b/>
                <w:bCs/>
                <w:color w:val="000000"/>
                <w:sz w:val="14"/>
                <w:szCs w:val="14"/>
                <w:lang w:val="cs-CZ" w:eastAsia="cs-CZ"/>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62EF92B9" w14:textId="77777777" w:rsidR="0070459D" w:rsidRPr="0070459D" w:rsidRDefault="0070459D" w:rsidP="0070459D">
            <w:pPr>
              <w:rPr>
                <w:rFonts w:ascii="Arial" w:eastAsia="Times New Roman" w:hAnsi="Arial" w:cs="Arial"/>
                <w:b/>
                <w:bCs/>
                <w:color w:val="000000"/>
                <w:sz w:val="14"/>
                <w:szCs w:val="14"/>
                <w:lang w:val="cs-CZ" w:eastAsia="cs-CZ"/>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1BDCAAC3" w14:textId="77777777" w:rsidR="0070459D" w:rsidRPr="0070459D" w:rsidRDefault="0070459D" w:rsidP="0070459D">
            <w:pPr>
              <w:rPr>
                <w:rFonts w:ascii="Arial" w:eastAsia="Times New Roman" w:hAnsi="Arial" w:cs="Arial"/>
                <w:b/>
                <w:bCs/>
                <w:color w:val="000000"/>
                <w:sz w:val="14"/>
                <w:szCs w:val="14"/>
                <w:lang w:val="cs-CZ" w:eastAsia="cs-CZ"/>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14:paraId="7B8FAF5C" w14:textId="77777777" w:rsidR="0070459D" w:rsidRPr="0070459D" w:rsidRDefault="0070459D" w:rsidP="0070459D">
            <w:pPr>
              <w:rPr>
                <w:rFonts w:ascii="Arial" w:eastAsia="Times New Roman" w:hAnsi="Arial" w:cs="Arial"/>
                <w:b/>
                <w:bCs/>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E7E6E6"/>
            <w:vAlign w:val="center"/>
            <w:hideMark/>
          </w:tcPr>
          <w:p w14:paraId="5247694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189F01F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271A4E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372FFCF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47097AA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51B4605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0FDFEDF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1CB94E8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0C06B8E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78EF8B2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61" w:type="dxa"/>
            <w:gridSpan w:val="2"/>
            <w:vMerge/>
            <w:tcBorders>
              <w:top w:val="single" w:sz="4" w:space="0" w:color="auto"/>
              <w:left w:val="single" w:sz="4" w:space="0" w:color="auto"/>
              <w:bottom w:val="single" w:sz="4" w:space="0" w:color="auto"/>
              <w:right w:val="single" w:sz="4" w:space="0" w:color="auto"/>
            </w:tcBorders>
            <w:vAlign w:val="center"/>
            <w:hideMark/>
          </w:tcPr>
          <w:p w14:paraId="18B9EA81"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7137A608" w14:textId="77777777" w:rsidTr="00C42BB8">
        <w:trPr>
          <w:trHeight w:val="20"/>
          <w:tblHead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7E40612"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1C9C59F"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34AF1996"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3C756B82" w14:textId="77777777" w:rsidR="0070459D" w:rsidRPr="0070459D" w:rsidRDefault="0070459D" w:rsidP="0070459D">
            <w:pPr>
              <w:rPr>
                <w:rFonts w:ascii="Arial" w:eastAsia="Times New Roman" w:hAnsi="Arial" w:cs="Arial"/>
                <w:b/>
                <w:bCs/>
                <w:color w:val="000000"/>
                <w:sz w:val="14"/>
                <w:szCs w:val="14"/>
                <w:lang w:val="cs-CZ" w:eastAsia="cs-CZ"/>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7FAA26CD" w14:textId="77777777" w:rsidR="0070459D" w:rsidRPr="0070459D" w:rsidRDefault="0070459D" w:rsidP="0070459D">
            <w:pPr>
              <w:rPr>
                <w:rFonts w:ascii="Arial" w:eastAsia="Times New Roman" w:hAnsi="Arial" w:cs="Arial"/>
                <w:b/>
                <w:bCs/>
                <w:color w:val="000000"/>
                <w:sz w:val="14"/>
                <w:szCs w:val="14"/>
                <w:lang w:val="cs-CZ" w:eastAsia="cs-CZ"/>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3D9F78BD" w14:textId="77777777" w:rsidR="0070459D" w:rsidRPr="0070459D" w:rsidRDefault="0070459D" w:rsidP="0070459D">
            <w:pPr>
              <w:rPr>
                <w:rFonts w:ascii="Arial" w:eastAsia="Times New Roman" w:hAnsi="Arial" w:cs="Arial"/>
                <w:b/>
                <w:bCs/>
                <w:color w:val="000000"/>
                <w:sz w:val="14"/>
                <w:szCs w:val="14"/>
                <w:lang w:val="cs-CZ" w:eastAsia="cs-CZ"/>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14:paraId="29E7C4A7" w14:textId="77777777" w:rsidR="0070459D" w:rsidRPr="0070459D" w:rsidRDefault="0070459D" w:rsidP="0070459D">
            <w:pPr>
              <w:rPr>
                <w:rFonts w:ascii="Arial" w:eastAsia="Times New Roman" w:hAnsi="Arial" w:cs="Arial"/>
                <w:b/>
                <w:bCs/>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FFFFFF"/>
            <w:vAlign w:val="center"/>
            <w:hideMark/>
          </w:tcPr>
          <w:p w14:paraId="3B6FF3E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50ED292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3550B28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73DCE9E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7D07655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1FC6B90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25B625D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57D6046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48734A0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09EB658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61" w:type="dxa"/>
            <w:gridSpan w:val="2"/>
            <w:vMerge/>
            <w:tcBorders>
              <w:top w:val="single" w:sz="4" w:space="0" w:color="auto"/>
              <w:left w:val="single" w:sz="4" w:space="0" w:color="auto"/>
              <w:bottom w:val="single" w:sz="4" w:space="0" w:color="auto"/>
              <w:right w:val="single" w:sz="4" w:space="0" w:color="auto"/>
            </w:tcBorders>
            <w:vAlign w:val="center"/>
            <w:hideMark/>
          </w:tcPr>
          <w:p w14:paraId="26A3B3DB"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4E6B5BB0" w14:textId="77777777" w:rsidTr="00C42BB8">
        <w:trPr>
          <w:trHeight w:val="20"/>
          <w:tblHead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7EE97A10"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DFCAD13"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41889615"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2FF277DA" w14:textId="77777777" w:rsidR="0070459D" w:rsidRPr="0070459D" w:rsidRDefault="0070459D" w:rsidP="0070459D">
            <w:pPr>
              <w:rPr>
                <w:rFonts w:ascii="Arial" w:eastAsia="Times New Roman" w:hAnsi="Arial" w:cs="Arial"/>
                <w:b/>
                <w:bCs/>
                <w:color w:val="000000"/>
                <w:sz w:val="14"/>
                <w:szCs w:val="14"/>
                <w:lang w:val="cs-CZ" w:eastAsia="cs-CZ"/>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03EC9FF8" w14:textId="77777777" w:rsidR="0070459D" w:rsidRPr="0070459D" w:rsidRDefault="0070459D" w:rsidP="0070459D">
            <w:pPr>
              <w:rPr>
                <w:rFonts w:ascii="Arial" w:eastAsia="Times New Roman" w:hAnsi="Arial" w:cs="Arial"/>
                <w:b/>
                <w:bCs/>
                <w:color w:val="000000"/>
                <w:sz w:val="14"/>
                <w:szCs w:val="14"/>
                <w:lang w:val="cs-CZ" w:eastAsia="cs-CZ"/>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27C1A24B" w14:textId="77777777" w:rsidR="0070459D" w:rsidRPr="0070459D" w:rsidRDefault="0070459D" w:rsidP="0070459D">
            <w:pPr>
              <w:rPr>
                <w:rFonts w:ascii="Arial" w:eastAsia="Times New Roman" w:hAnsi="Arial" w:cs="Arial"/>
                <w:b/>
                <w:bCs/>
                <w:color w:val="000000"/>
                <w:sz w:val="14"/>
                <w:szCs w:val="14"/>
                <w:lang w:val="cs-CZ" w:eastAsia="cs-CZ"/>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14:paraId="4A7BEFBC" w14:textId="77777777" w:rsidR="0070459D" w:rsidRPr="0070459D" w:rsidRDefault="0070459D" w:rsidP="0070459D">
            <w:pPr>
              <w:rPr>
                <w:rFonts w:ascii="Arial" w:eastAsia="Times New Roman" w:hAnsi="Arial" w:cs="Arial"/>
                <w:b/>
                <w:bCs/>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FFFFFF"/>
            <w:vAlign w:val="center"/>
            <w:hideMark/>
          </w:tcPr>
          <w:p w14:paraId="0FA8ECF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5E98A31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20B67D6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13F4D70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32E99A0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46C7F09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7F66959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1D85CAE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30C5BBF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2CC7AC9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61" w:type="dxa"/>
            <w:gridSpan w:val="2"/>
            <w:vMerge/>
            <w:tcBorders>
              <w:top w:val="single" w:sz="4" w:space="0" w:color="auto"/>
              <w:left w:val="single" w:sz="4" w:space="0" w:color="auto"/>
              <w:bottom w:val="single" w:sz="4" w:space="0" w:color="auto"/>
              <w:right w:val="single" w:sz="4" w:space="0" w:color="auto"/>
            </w:tcBorders>
            <w:vAlign w:val="center"/>
            <w:hideMark/>
          </w:tcPr>
          <w:p w14:paraId="03361FB7"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37084AAA" w14:textId="77777777" w:rsidTr="00C42BB8">
        <w:trPr>
          <w:trHeight w:val="20"/>
          <w:tblHead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7A94F3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55117DA"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130CA704"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67700D5B" w14:textId="77777777" w:rsidR="0070459D" w:rsidRPr="0070459D" w:rsidRDefault="0070459D" w:rsidP="0070459D">
            <w:pPr>
              <w:rPr>
                <w:rFonts w:ascii="Arial" w:eastAsia="Times New Roman" w:hAnsi="Arial" w:cs="Arial"/>
                <w:b/>
                <w:bCs/>
                <w:color w:val="000000"/>
                <w:sz w:val="14"/>
                <w:szCs w:val="14"/>
                <w:lang w:val="cs-CZ" w:eastAsia="cs-CZ"/>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50BD5225" w14:textId="77777777" w:rsidR="0070459D" w:rsidRPr="0070459D" w:rsidRDefault="0070459D" w:rsidP="0070459D">
            <w:pPr>
              <w:rPr>
                <w:rFonts w:ascii="Arial" w:eastAsia="Times New Roman" w:hAnsi="Arial" w:cs="Arial"/>
                <w:b/>
                <w:bCs/>
                <w:color w:val="000000"/>
                <w:sz w:val="14"/>
                <w:szCs w:val="14"/>
                <w:lang w:val="cs-CZ" w:eastAsia="cs-CZ"/>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0A053979" w14:textId="77777777" w:rsidR="0070459D" w:rsidRPr="0070459D" w:rsidRDefault="0070459D" w:rsidP="0070459D">
            <w:pPr>
              <w:rPr>
                <w:rFonts w:ascii="Arial" w:eastAsia="Times New Roman" w:hAnsi="Arial" w:cs="Arial"/>
                <w:b/>
                <w:bCs/>
                <w:color w:val="000000"/>
                <w:sz w:val="14"/>
                <w:szCs w:val="14"/>
                <w:lang w:val="cs-CZ" w:eastAsia="cs-CZ"/>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14:paraId="057A9D3E" w14:textId="77777777" w:rsidR="0070459D" w:rsidRPr="0070459D" w:rsidRDefault="0070459D" w:rsidP="0070459D">
            <w:pPr>
              <w:rPr>
                <w:rFonts w:ascii="Arial" w:eastAsia="Times New Roman" w:hAnsi="Arial" w:cs="Arial"/>
                <w:b/>
                <w:bCs/>
                <w:color w:val="000000"/>
                <w:sz w:val="14"/>
                <w:szCs w:val="14"/>
                <w:lang w:val="cs-CZ" w:eastAsia="cs-CZ"/>
              </w:rPr>
            </w:pPr>
          </w:p>
        </w:tc>
        <w:tc>
          <w:tcPr>
            <w:tcW w:w="7938" w:type="dxa"/>
            <w:gridSpan w:val="11"/>
            <w:tcBorders>
              <w:top w:val="single" w:sz="4" w:space="0" w:color="auto"/>
              <w:left w:val="nil"/>
              <w:bottom w:val="single" w:sz="4" w:space="0" w:color="auto"/>
              <w:right w:val="single" w:sz="4" w:space="0" w:color="auto"/>
            </w:tcBorders>
            <w:shd w:val="clear" w:color="000000" w:fill="FFFFFF"/>
            <w:vAlign w:val="center"/>
            <w:hideMark/>
          </w:tcPr>
          <w:p w14:paraId="4BEF158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Kumulativní hodnota</w:t>
            </w:r>
          </w:p>
        </w:tc>
        <w:tc>
          <w:tcPr>
            <w:tcW w:w="661" w:type="dxa"/>
            <w:vMerge/>
            <w:tcBorders>
              <w:top w:val="single" w:sz="4" w:space="0" w:color="auto"/>
              <w:left w:val="single" w:sz="4" w:space="0" w:color="auto"/>
              <w:bottom w:val="single" w:sz="4" w:space="0" w:color="auto"/>
              <w:right w:val="single" w:sz="4" w:space="0" w:color="auto"/>
            </w:tcBorders>
            <w:vAlign w:val="center"/>
            <w:hideMark/>
          </w:tcPr>
          <w:p w14:paraId="2E1A0396"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23940505" w14:textId="77777777" w:rsidTr="00C42BB8">
        <w:trPr>
          <w:trHeight w:val="20"/>
          <w:tblHead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42525F0"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302D3B49"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524823DA"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34945536" w14:textId="77777777" w:rsidR="0070459D" w:rsidRPr="0070459D" w:rsidRDefault="0070459D" w:rsidP="0070459D">
            <w:pPr>
              <w:rPr>
                <w:rFonts w:ascii="Arial" w:eastAsia="Times New Roman" w:hAnsi="Arial" w:cs="Arial"/>
                <w:b/>
                <w:bCs/>
                <w:color w:val="000000"/>
                <w:sz w:val="14"/>
                <w:szCs w:val="14"/>
                <w:lang w:val="cs-CZ" w:eastAsia="cs-CZ"/>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3995CB7D" w14:textId="77777777" w:rsidR="0070459D" w:rsidRPr="0070459D" w:rsidRDefault="0070459D" w:rsidP="0070459D">
            <w:pPr>
              <w:rPr>
                <w:rFonts w:ascii="Arial" w:eastAsia="Times New Roman" w:hAnsi="Arial" w:cs="Arial"/>
                <w:b/>
                <w:bCs/>
                <w:color w:val="000000"/>
                <w:sz w:val="14"/>
                <w:szCs w:val="14"/>
                <w:lang w:val="cs-CZ" w:eastAsia="cs-CZ"/>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42AC5034" w14:textId="77777777" w:rsidR="0070459D" w:rsidRPr="0070459D" w:rsidRDefault="0070459D" w:rsidP="0070459D">
            <w:pPr>
              <w:rPr>
                <w:rFonts w:ascii="Arial" w:eastAsia="Times New Roman" w:hAnsi="Arial" w:cs="Arial"/>
                <w:b/>
                <w:bCs/>
                <w:color w:val="000000"/>
                <w:sz w:val="14"/>
                <w:szCs w:val="14"/>
                <w:lang w:val="cs-CZ" w:eastAsia="cs-CZ"/>
              </w:rPr>
            </w:pPr>
          </w:p>
        </w:tc>
        <w:tc>
          <w:tcPr>
            <w:tcW w:w="812" w:type="dxa"/>
            <w:tcBorders>
              <w:top w:val="nil"/>
              <w:left w:val="nil"/>
              <w:bottom w:val="single" w:sz="4" w:space="0" w:color="auto"/>
              <w:right w:val="single" w:sz="4" w:space="0" w:color="auto"/>
            </w:tcBorders>
            <w:shd w:val="clear" w:color="000000" w:fill="E7E6E6"/>
            <w:vAlign w:val="center"/>
            <w:hideMark/>
          </w:tcPr>
          <w:p w14:paraId="678DB3E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423B9D0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0403F5E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26FD69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62B2D74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01FABA2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0AC45CD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2A29479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0CAC6D4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4DE7EF1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3" w:type="dxa"/>
            <w:tcBorders>
              <w:top w:val="nil"/>
              <w:left w:val="nil"/>
              <w:bottom w:val="single" w:sz="4" w:space="0" w:color="auto"/>
              <w:right w:val="single" w:sz="4" w:space="0" w:color="auto"/>
            </w:tcBorders>
            <w:shd w:val="clear" w:color="000000" w:fill="E7E6E6"/>
            <w:vAlign w:val="center"/>
            <w:hideMark/>
          </w:tcPr>
          <w:p w14:paraId="55CBA4A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61" w:type="dxa"/>
            <w:gridSpan w:val="2"/>
            <w:tcBorders>
              <w:top w:val="nil"/>
              <w:left w:val="nil"/>
              <w:bottom w:val="single" w:sz="4" w:space="0" w:color="auto"/>
              <w:right w:val="single" w:sz="4" w:space="0" w:color="auto"/>
            </w:tcBorders>
            <w:shd w:val="clear" w:color="000000" w:fill="E7E6E6"/>
            <w:vAlign w:val="center"/>
            <w:hideMark/>
          </w:tcPr>
          <w:p w14:paraId="0078565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r>
      <w:tr w:rsidR="0070459D" w:rsidRPr="0070459D" w14:paraId="749D65A8" w14:textId="77777777" w:rsidTr="00C42BB8">
        <w:trPr>
          <w:trHeight w:val="20"/>
          <w:tblHead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00914F03"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190DBED"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0D51ED47"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1B087FC8" w14:textId="77777777" w:rsidR="0070459D" w:rsidRPr="0070459D" w:rsidRDefault="0070459D" w:rsidP="0070459D">
            <w:pPr>
              <w:rPr>
                <w:rFonts w:ascii="Arial" w:eastAsia="Times New Roman" w:hAnsi="Arial" w:cs="Arial"/>
                <w:b/>
                <w:bCs/>
                <w:color w:val="000000"/>
                <w:sz w:val="14"/>
                <w:szCs w:val="14"/>
                <w:lang w:val="cs-CZ" w:eastAsia="cs-CZ"/>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301ADDF8" w14:textId="77777777" w:rsidR="0070459D" w:rsidRPr="0070459D" w:rsidRDefault="0070459D" w:rsidP="0070459D">
            <w:pPr>
              <w:rPr>
                <w:rFonts w:ascii="Arial" w:eastAsia="Times New Roman" w:hAnsi="Arial" w:cs="Arial"/>
                <w:b/>
                <w:bCs/>
                <w:color w:val="000000"/>
                <w:sz w:val="14"/>
                <w:szCs w:val="14"/>
                <w:lang w:val="cs-CZ" w:eastAsia="cs-CZ"/>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11C2436C" w14:textId="77777777" w:rsidR="0070459D" w:rsidRPr="0070459D" w:rsidRDefault="0070459D" w:rsidP="0070459D">
            <w:pPr>
              <w:rPr>
                <w:rFonts w:ascii="Arial" w:eastAsia="Times New Roman" w:hAnsi="Arial" w:cs="Arial"/>
                <w:b/>
                <w:bCs/>
                <w:color w:val="000000"/>
                <w:sz w:val="14"/>
                <w:szCs w:val="14"/>
                <w:lang w:val="cs-CZ" w:eastAsia="cs-CZ"/>
              </w:rPr>
            </w:pPr>
          </w:p>
        </w:tc>
        <w:tc>
          <w:tcPr>
            <w:tcW w:w="812" w:type="dxa"/>
            <w:tcBorders>
              <w:top w:val="nil"/>
              <w:left w:val="nil"/>
              <w:bottom w:val="single" w:sz="4" w:space="0" w:color="auto"/>
              <w:right w:val="single" w:sz="4" w:space="0" w:color="auto"/>
            </w:tcBorders>
            <w:shd w:val="clear" w:color="000000" w:fill="FFFFFF"/>
            <w:vAlign w:val="center"/>
            <w:hideMark/>
          </w:tcPr>
          <w:p w14:paraId="64A12EE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1691DF6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7534AA8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007E6EF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0D73812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232E67F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4657804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25E10A8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455EDB2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630B354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000000" w:fill="FFFFFF"/>
            <w:vAlign w:val="center"/>
            <w:hideMark/>
          </w:tcPr>
          <w:p w14:paraId="400795C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61" w:type="dxa"/>
            <w:gridSpan w:val="2"/>
            <w:tcBorders>
              <w:top w:val="nil"/>
              <w:left w:val="nil"/>
              <w:bottom w:val="single" w:sz="4" w:space="0" w:color="auto"/>
              <w:right w:val="single" w:sz="4" w:space="0" w:color="auto"/>
            </w:tcBorders>
            <w:shd w:val="clear" w:color="000000" w:fill="FFFFFF"/>
            <w:vAlign w:val="center"/>
            <w:hideMark/>
          </w:tcPr>
          <w:p w14:paraId="7E0A850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r>
      <w:tr w:rsidR="0070459D" w:rsidRPr="0070459D" w14:paraId="0B6FECFB" w14:textId="77777777" w:rsidTr="00C42BB8">
        <w:trPr>
          <w:trHeight w:val="20"/>
          <w:tblHead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5551C641"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3D2F9EEE"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66F0D8D7"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40BB9BC7" w14:textId="77777777" w:rsidR="0070459D" w:rsidRPr="0070459D" w:rsidRDefault="0070459D" w:rsidP="0070459D">
            <w:pPr>
              <w:rPr>
                <w:rFonts w:ascii="Arial" w:eastAsia="Times New Roman" w:hAnsi="Arial" w:cs="Arial"/>
                <w:b/>
                <w:bCs/>
                <w:color w:val="000000"/>
                <w:sz w:val="14"/>
                <w:szCs w:val="14"/>
                <w:lang w:val="cs-CZ" w:eastAsia="cs-CZ"/>
              </w:rPr>
            </w:pPr>
          </w:p>
        </w:tc>
        <w:tc>
          <w:tcPr>
            <w:tcW w:w="791" w:type="dxa"/>
            <w:vMerge/>
            <w:tcBorders>
              <w:top w:val="single" w:sz="4" w:space="0" w:color="auto"/>
              <w:left w:val="single" w:sz="4" w:space="0" w:color="auto"/>
              <w:bottom w:val="single" w:sz="4" w:space="0" w:color="auto"/>
              <w:right w:val="single" w:sz="4" w:space="0" w:color="auto"/>
            </w:tcBorders>
            <w:vAlign w:val="center"/>
            <w:hideMark/>
          </w:tcPr>
          <w:p w14:paraId="7853FBCE" w14:textId="77777777" w:rsidR="0070459D" w:rsidRPr="0070459D" w:rsidRDefault="0070459D" w:rsidP="0070459D">
            <w:pPr>
              <w:rPr>
                <w:rFonts w:ascii="Arial" w:eastAsia="Times New Roman" w:hAnsi="Arial" w:cs="Arial"/>
                <w:b/>
                <w:bCs/>
                <w:color w:val="000000"/>
                <w:sz w:val="14"/>
                <w:szCs w:val="14"/>
                <w:lang w:val="cs-CZ" w:eastAsia="cs-CZ"/>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48EFF7DC" w14:textId="77777777" w:rsidR="0070459D" w:rsidRPr="0070459D" w:rsidRDefault="0070459D" w:rsidP="0070459D">
            <w:pPr>
              <w:rPr>
                <w:rFonts w:ascii="Arial" w:eastAsia="Times New Roman" w:hAnsi="Arial" w:cs="Arial"/>
                <w:b/>
                <w:bCs/>
                <w:color w:val="000000"/>
                <w:sz w:val="14"/>
                <w:szCs w:val="14"/>
                <w:lang w:val="cs-CZ" w:eastAsia="cs-CZ"/>
              </w:rPr>
            </w:pPr>
          </w:p>
        </w:tc>
        <w:tc>
          <w:tcPr>
            <w:tcW w:w="812" w:type="dxa"/>
            <w:tcBorders>
              <w:top w:val="nil"/>
              <w:left w:val="nil"/>
              <w:bottom w:val="single" w:sz="4" w:space="0" w:color="auto"/>
              <w:right w:val="single" w:sz="4" w:space="0" w:color="auto"/>
            </w:tcBorders>
            <w:shd w:val="clear" w:color="000000" w:fill="FFFFFF"/>
            <w:vAlign w:val="center"/>
            <w:hideMark/>
          </w:tcPr>
          <w:p w14:paraId="39048DA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7EBB64F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761CFFA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518915E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131AA74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008FE62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2B7DF33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19E9290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20D8BE6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360DACC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000000" w:fill="FFFFFF"/>
            <w:vAlign w:val="center"/>
            <w:hideMark/>
          </w:tcPr>
          <w:p w14:paraId="45AB372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61" w:type="dxa"/>
            <w:gridSpan w:val="2"/>
            <w:tcBorders>
              <w:top w:val="nil"/>
              <w:left w:val="nil"/>
              <w:bottom w:val="single" w:sz="4" w:space="0" w:color="auto"/>
              <w:right w:val="single" w:sz="4" w:space="0" w:color="auto"/>
            </w:tcBorders>
            <w:shd w:val="clear" w:color="000000" w:fill="FFFFFF"/>
            <w:vAlign w:val="center"/>
            <w:hideMark/>
          </w:tcPr>
          <w:p w14:paraId="5470EE3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r>
      <w:tr w:rsidR="0070459D" w:rsidRPr="0070459D" w14:paraId="16B98378" w14:textId="77777777" w:rsidTr="00C42BB8">
        <w:trPr>
          <w:trHeight w:val="20"/>
        </w:trPr>
        <w:tc>
          <w:tcPr>
            <w:tcW w:w="5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E31EB7"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67010</w:t>
            </w:r>
          </w:p>
        </w:tc>
        <w:tc>
          <w:tcPr>
            <w:tcW w:w="242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71E41E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Využívání podpořených služeb</w:t>
            </w:r>
          </w:p>
        </w:tc>
        <w:tc>
          <w:tcPr>
            <w:tcW w:w="4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D2F23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DA303C5"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7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D4639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FDC5E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12"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19E79F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105 560,000</w:t>
            </w:r>
          </w:p>
        </w:tc>
        <w:tc>
          <w:tcPr>
            <w:tcW w:w="793" w:type="dxa"/>
            <w:tcBorders>
              <w:top w:val="nil"/>
              <w:left w:val="nil"/>
              <w:bottom w:val="single" w:sz="4" w:space="0" w:color="auto"/>
              <w:right w:val="single" w:sz="4" w:space="0" w:color="auto"/>
            </w:tcBorders>
            <w:shd w:val="clear" w:color="000000" w:fill="E7E6E6"/>
            <w:vAlign w:val="center"/>
            <w:hideMark/>
          </w:tcPr>
          <w:p w14:paraId="57BA28B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1BB9A7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3C6E59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7076B1A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0E0E0"/>
            <w:vAlign w:val="center"/>
            <w:hideMark/>
          </w:tcPr>
          <w:p w14:paraId="148970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3 455,180</w:t>
            </w:r>
          </w:p>
        </w:tc>
        <w:tc>
          <w:tcPr>
            <w:tcW w:w="793" w:type="dxa"/>
            <w:tcBorders>
              <w:top w:val="nil"/>
              <w:left w:val="nil"/>
              <w:bottom w:val="single" w:sz="4" w:space="0" w:color="auto"/>
              <w:right w:val="single" w:sz="4" w:space="0" w:color="auto"/>
            </w:tcBorders>
            <w:shd w:val="clear" w:color="000000" w:fill="E7E6E6"/>
            <w:vAlign w:val="center"/>
            <w:hideMark/>
          </w:tcPr>
          <w:p w14:paraId="77A3AC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1 360,820</w:t>
            </w:r>
          </w:p>
        </w:tc>
        <w:tc>
          <w:tcPr>
            <w:tcW w:w="793" w:type="dxa"/>
            <w:tcBorders>
              <w:top w:val="nil"/>
              <w:left w:val="nil"/>
              <w:bottom w:val="single" w:sz="4" w:space="0" w:color="auto"/>
              <w:right w:val="single" w:sz="4" w:space="0" w:color="auto"/>
            </w:tcBorders>
            <w:shd w:val="clear" w:color="000000" w:fill="E7E6E6"/>
            <w:vAlign w:val="center"/>
            <w:hideMark/>
          </w:tcPr>
          <w:p w14:paraId="5D234A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2DDAB8D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3AF1FD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70A838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007B56B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4,562</w:t>
            </w:r>
          </w:p>
        </w:tc>
      </w:tr>
      <w:tr w:rsidR="0070459D" w:rsidRPr="0070459D" w14:paraId="5E06055E"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65F54ACA"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0E431591"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3E9F264E"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7A8D54E0"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1AFE0DB6"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1F60CE2B"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vMerge/>
            <w:tcBorders>
              <w:top w:val="nil"/>
              <w:left w:val="single" w:sz="4" w:space="0" w:color="auto"/>
              <w:bottom w:val="single" w:sz="4" w:space="0" w:color="000000"/>
              <w:right w:val="single" w:sz="4" w:space="0" w:color="auto"/>
            </w:tcBorders>
            <w:vAlign w:val="center"/>
            <w:hideMark/>
          </w:tcPr>
          <w:p w14:paraId="5FD2134C" w14:textId="77777777" w:rsidR="0070459D" w:rsidRPr="0070459D" w:rsidRDefault="0070459D" w:rsidP="0070459D">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FFFFFF"/>
            <w:vAlign w:val="center"/>
            <w:hideMark/>
          </w:tcPr>
          <w:p w14:paraId="193B35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0F92C3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0C56DC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7B5919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242C31E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4E844F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44F08B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5B2421B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142F15A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6D5E27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vMerge/>
            <w:tcBorders>
              <w:top w:val="nil"/>
              <w:left w:val="single" w:sz="4" w:space="0" w:color="auto"/>
              <w:bottom w:val="single" w:sz="4" w:space="0" w:color="000000"/>
              <w:right w:val="single" w:sz="4" w:space="0" w:color="auto"/>
            </w:tcBorders>
            <w:vAlign w:val="center"/>
            <w:hideMark/>
          </w:tcPr>
          <w:p w14:paraId="501C0559"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D21B58B"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2808BF6A"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72A41E4C"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1D2B2CD1"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1C631449"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200DFD81"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53C2EE31"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vMerge/>
            <w:tcBorders>
              <w:top w:val="nil"/>
              <w:left w:val="single" w:sz="4" w:space="0" w:color="auto"/>
              <w:bottom w:val="single" w:sz="4" w:space="0" w:color="000000"/>
              <w:right w:val="single" w:sz="4" w:space="0" w:color="auto"/>
            </w:tcBorders>
            <w:vAlign w:val="center"/>
            <w:hideMark/>
          </w:tcPr>
          <w:p w14:paraId="7838ADB5" w14:textId="77777777" w:rsidR="0070459D" w:rsidRPr="0070459D" w:rsidRDefault="0070459D" w:rsidP="0070459D">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FFFFFF"/>
            <w:vAlign w:val="center"/>
            <w:hideMark/>
          </w:tcPr>
          <w:p w14:paraId="316CE5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39B7C1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5994E2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3FB2B65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460B137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31F64B2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50AD83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2B9C08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1BF8EF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37FCC86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vMerge/>
            <w:tcBorders>
              <w:top w:val="nil"/>
              <w:left w:val="single" w:sz="4" w:space="0" w:color="auto"/>
              <w:bottom w:val="single" w:sz="4" w:space="0" w:color="000000"/>
              <w:right w:val="single" w:sz="4" w:space="0" w:color="auto"/>
            </w:tcBorders>
            <w:vAlign w:val="center"/>
            <w:hideMark/>
          </w:tcPr>
          <w:p w14:paraId="77A0C13A"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7690292"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413E8FDB"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18218FDD"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5A98D9D0"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34E8FA2C"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68D23C41"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645E7462"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vMerge/>
            <w:tcBorders>
              <w:top w:val="nil"/>
              <w:left w:val="single" w:sz="4" w:space="0" w:color="auto"/>
              <w:bottom w:val="single" w:sz="4" w:space="0" w:color="000000"/>
              <w:right w:val="single" w:sz="4" w:space="0" w:color="auto"/>
            </w:tcBorders>
            <w:vAlign w:val="center"/>
            <w:hideMark/>
          </w:tcPr>
          <w:p w14:paraId="16A3CD96" w14:textId="77777777" w:rsidR="0070459D" w:rsidRPr="0070459D" w:rsidRDefault="0070459D" w:rsidP="0070459D">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E7E6E6"/>
            <w:vAlign w:val="center"/>
            <w:hideMark/>
          </w:tcPr>
          <w:p w14:paraId="2512C2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5BB29AB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6DE54D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10E648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0E0E0"/>
            <w:vAlign w:val="center"/>
            <w:hideMark/>
          </w:tcPr>
          <w:p w14:paraId="6D6EA17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3 455,180</w:t>
            </w:r>
          </w:p>
        </w:tc>
        <w:tc>
          <w:tcPr>
            <w:tcW w:w="793" w:type="dxa"/>
            <w:tcBorders>
              <w:top w:val="nil"/>
              <w:left w:val="nil"/>
              <w:bottom w:val="single" w:sz="4" w:space="0" w:color="auto"/>
              <w:right w:val="single" w:sz="4" w:space="0" w:color="auto"/>
            </w:tcBorders>
            <w:shd w:val="clear" w:color="000000" w:fill="E7E6E6"/>
            <w:vAlign w:val="center"/>
            <w:hideMark/>
          </w:tcPr>
          <w:p w14:paraId="4835CA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4 816,000</w:t>
            </w:r>
          </w:p>
        </w:tc>
        <w:tc>
          <w:tcPr>
            <w:tcW w:w="793" w:type="dxa"/>
            <w:tcBorders>
              <w:top w:val="nil"/>
              <w:left w:val="nil"/>
              <w:bottom w:val="single" w:sz="4" w:space="0" w:color="auto"/>
              <w:right w:val="single" w:sz="4" w:space="0" w:color="auto"/>
            </w:tcBorders>
            <w:shd w:val="clear" w:color="000000" w:fill="E7E6E6"/>
            <w:vAlign w:val="center"/>
            <w:hideMark/>
          </w:tcPr>
          <w:p w14:paraId="52A80E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144E07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108298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7D24793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vMerge/>
            <w:tcBorders>
              <w:top w:val="nil"/>
              <w:left w:val="single" w:sz="4" w:space="0" w:color="auto"/>
              <w:bottom w:val="single" w:sz="4" w:space="0" w:color="000000"/>
              <w:right w:val="single" w:sz="4" w:space="0" w:color="auto"/>
            </w:tcBorders>
            <w:vAlign w:val="center"/>
            <w:hideMark/>
          </w:tcPr>
          <w:p w14:paraId="7B4B6B87"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3D991B7"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32945D80"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00D3D5C4"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59BC60A5"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2AD48CBC"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3727D1BA"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0DA5A6B6"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tcBorders>
              <w:top w:val="nil"/>
              <w:left w:val="nil"/>
              <w:bottom w:val="single" w:sz="4" w:space="0" w:color="auto"/>
              <w:right w:val="single" w:sz="4" w:space="0" w:color="auto"/>
            </w:tcBorders>
            <w:shd w:val="clear" w:color="auto" w:fill="auto"/>
            <w:vAlign w:val="center"/>
            <w:hideMark/>
          </w:tcPr>
          <w:p w14:paraId="26F95B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73061E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2627C47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EA8C6E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0BE32B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2515991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89FEEB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3A959B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18811F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2CAF9AE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67D760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tcBorders>
              <w:top w:val="nil"/>
              <w:left w:val="nil"/>
              <w:bottom w:val="single" w:sz="4" w:space="0" w:color="auto"/>
              <w:right w:val="single" w:sz="4" w:space="0" w:color="auto"/>
            </w:tcBorders>
            <w:shd w:val="clear" w:color="auto" w:fill="auto"/>
            <w:vAlign w:val="center"/>
            <w:hideMark/>
          </w:tcPr>
          <w:p w14:paraId="4CA93EC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41372105"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1CB7C8EA"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51A36BA9"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05660425"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35B9B970"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310BC7CB"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2BFC82E0"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tcBorders>
              <w:top w:val="nil"/>
              <w:left w:val="nil"/>
              <w:bottom w:val="single" w:sz="4" w:space="0" w:color="auto"/>
              <w:right w:val="single" w:sz="4" w:space="0" w:color="auto"/>
            </w:tcBorders>
            <w:shd w:val="clear" w:color="auto" w:fill="auto"/>
            <w:vAlign w:val="center"/>
            <w:hideMark/>
          </w:tcPr>
          <w:p w14:paraId="113593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F751EA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B25E9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878BEA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2B3623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70FAAA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0F11B6C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359DFD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091CD2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31D45A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3A9699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tcBorders>
              <w:top w:val="nil"/>
              <w:left w:val="nil"/>
              <w:bottom w:val="single" w:sz="4" w:space="0" w:color="auto"/>
              <w:right w:val="single" w:sz="4" w:space="0" w:color="auto"/>
            </w:tcBorders>
            <w:shd w:val="clear" w:color="auto" w:fill="auto"/>
            <w:vAlign w:val="center"/>
            <w:hideMark/>
          </w:tcPr>
          <w:p w14:paraId="3E9DA7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7659CDA0" w14:textId="77777777" w:rsidTr="00C42BB8">
        <w:trPr>
          <w:trHeight w:val="20"/>
        </w:trPr>
        <w:tc>
          <w:tcPr>
            <w:tcW w:w="50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AFA8FFC"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67010</w:t>
            </w:r>
          </w:p>
        </w:tc>
        <w:tc>
          <w:tcPr>
            <w:tcW w:w="242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72A83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Využívání podpořených služeb</w:t>
            </w:r>
          </w:p>
        </w:tc>
        <w:tc>
          <w:tcPr>
            <w:tcW w:w="4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AC0E9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B86AC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7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E54FC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3245F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12"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DB2987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29 211,000</w:t>
            </w:r>
          </w:p>
        </w:tc>
        <w:tc>
          <w:tcPr>
            <w:tcW w:w="793" w:type="dxa"/>
            <w:tcBorders>
              <w:top w:val="nil"/>
              <w:left w:val="nil"/>
              <w:bottom w:val="single" w:sz="4" w:space="0" w:color="auto"/>
              <w:right w:val="single" w:sz="4" w:space="0" w:color="auto"/>
            </w:tcBorders>
            <w:shd w:val="clear" w:color="000000" w:fill="E7E6E6"/>
            <w:vAlign w:val="center"/>
            <w:hideMark/>
          </w:tcPr>
          <w:p w14:paraId="37905D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3858632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31DFFB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78BF2E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0E0E0"/>
            <w:vAlign w:val="center"/>
            <w:hideMark/>
          </w:tcPr>
          <w:p w14:paraId="5977BEA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373,825</w:t>
            </w:r>
          </w:p>
        </w:tc>
        <w:tc>
          <w:tcPr>
            <w:tcW w:w="793" w:type="dxa"/>
            <w:tcBorders>
              <w:top w:val="nil"/>
              <w:left w:val="nil"/>
              <w:bottom w:val="single" w:sz="4" w:space="0" w:color="auto"/>
              <w:right w:val="single" w:sz="4" w:space="0" w:color="auto"/>
            </w:tcBorders>
            <w:shd w:val="clear" w:color="000000" w:fill="E7E6E6"/>
            <w:vAlign w:val="center"/>
            <w:hideMark/>
          </w:tcPr>
          <w:p w14:paraId="61DA83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484,170</w:t>
            </w:r>
          </w:p>
        </w:tc>
        <w:tc>
          <w:tcPr>
            <w:tcW w:w="793" w:type="dxa"/>
            <w:tcBorders>
              <w:top w:val="nil"/>
              <w:left w:val="nil"/>
              <w:bottom w:val="single" w:sz="4" w:space="0" w:color="auto"/>
              <w:right w:val="single" w:sz="4" w:space="0" w:color="auto"/>
            </w:tcBorders>
            <w:shd w:val="clear" w:color="000000" w:fill="E7E6E6"/>
            <w:vAlign w:val="center"/>
            <w:hideMark/>
          </w:tcPr>
          <w:p w14:paraId="16E48C9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58F302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7DB113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0D56160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3A980DE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2,937</w:t>
            </w:r>
          </w:p>
        </w:tc>
      </w:tr>
      <w:tr w:rsidR="0070459D" w:rsidRPr="0070459D" w14:paraId="098FA530"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6E325F3E"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1D7CD1ED"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588E2313"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5FE46FA9"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599C857A"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64B9866A"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vMerge/>
            <w:tcBorders>
              <w:top w:val="nil"/>
              <w:left w:val="single" w:sz="4" w:space="0" w:color="auto"/>
              <w:bottom w:val="single" w:sz="4" w:space="0" w:color="000000"/>
              <w:right w:val="single" w:sz="4" w:space="0" w:color="auto"/>
            </w:tcBorders>
            <w:vAlign w:val="center"/>
            <w:hideMark/>
          </w:tcPr>
          <w:p w14:paraId="3C667C55" w14:textId="77777777" w:rsidR="0070459D" w:rsidRPr="0070459D" w:rsidRDefault="0070459D" w:rsidP="0070459D">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FFFFFF"/>
            <w:vAlign w:val="center"/>
            <w:hideMark/>
          </w:tcPr>
          <w:p w14:paraId="42BC8A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562C078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722908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2B24D8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3FA27F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57EFBF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23A0E52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6E837E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4588A3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25F918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vMerge/>
            <w:tcBorders>
              <w:top w:val="nil"/>
              <w:left w:val="single" w:sz="4" w:space="0" w:color="auto"/>
              <w:bottom w:val="single" w:sz="4" w:space="0" w:color="000000"/>
              <w:right w:val="single" w:sz="4" w:space="0" w:color="auto"/>
            </w:tcBorders>
            <w:vAlign w:val="center"/>
            <w:hideMark/>
          </w:tcPr>
          <w:p w14:paraId="60391962"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FD0DE73"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66C0DB15"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0FA19AC2"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45BACE0E"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2A7FD72A"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056E2534"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6D95DF2E"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vMerge/>
            <w:tcBorders>
              <w:top w:val="nil"/>
              <w:left w:val="single" w:sz="4" w:space="0" w:color="auto"/>
              <w:bottom w:val="single" w:sz="4" w:space="0" w:color="000000"/>
              <w:right w:val="single" w:sz="4" w:space="0" w:color="auto"/>
            </w:tcBorders>
            <w:vAlign w:val="center"/>
            <w:hideMark/>
          </w:tcPr>
          <w:p w14:paraId="299FD6C2" w14:textId="77777777" w:rsidR="0070459D" w:rsidRPr="0070459D" w:rsidRDefault="0070459D" w:rsidP="0070459D">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FFFFFF"/>
            <w:vAlign w:val="center"/>
            <w:hideMark/>
          </w:tcPr>
          <w:p w14:paraId="73FE8B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07386C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1AA2A8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6D2D83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061629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1B4611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6A07C92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47BBC8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0A05352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FFFFFF"/>
            <w:vAlign w:val="center"/>
            <w:hideMark/>
          </w:tcPr>
          <w:p w14:paraId="04D5B3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vMerge/>
            <w:tcBorders>
              <w:top w:val="nil"/>
              <w:left w:val="single" w:sz="4" w:space="0" w:color="auto"/>
              <w:bottom w:val="single" w:sz="4" w:space="0" w:color="000000"/>
              <w:right w:val="single" w:sz="4" w:space="0" w:color="auto"/>
            </w:tcBorders>
            <w:vAlign w:val="center"/>
            <w:hideMark/>
          </w:tcPr>
          <w:p w14:paraId="1556D909"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4A3C6C5"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4AF2B3C0"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5BE69BA6"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38EE1369"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206B7066"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54C3B6F2"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734E3D19"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vMerge/>
            <w:tcBorders>
              <w:top w:val="nil"/>
              <w:left w:val="single" w:sz="4" w:space="0" w:color="auto"/>
              <w:bottom w:val="single" w:sz="4" w:space="0" w:color="000000"/>
              <w:right w:val="single" w:sz="4" w:space="0" w:color="auto"/>
            </w:tcBorders>
            <w:vAlign w:val="center"/>
            <w:hideMark/>
          </w:tcPr>
          <w:p w14:paraId="1B8AEA76" w14:textId="77777777" w:rsidR="0070459D" w:rsidRPr="0070459D" w:rsidRDefault="0070459D" w:rsidP="0070459D">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000000" w:fill="E7E6E6"/>
            <w:vAlign w:val="center"/>
            <w:hideMark/>
          </w:tcPr>
          <w:p w14:paraId="3B5166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3CD3D2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252CE2E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7E6E6"/>
            <w:vAlign w:val="center"/>
            <w:hideMark/>
          </w:tcPr>
          <w:p w14:paraId="4609B6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3" w:type="dxa"/>
            <w:tcBorders>
              <w:top w:val="nil"/>
              <w:left w:val="nil"/>
              <w:bottom w:val="single" w:sz="4" w:space="0" w:color="auto"/>
              <w:right w:val="single" w:sz="4" w:space="0" w:color="auto"/>
            </w:tcBorders>
            <w:shd w:val="clear" w:color="000000" w:fill="E0E0E0"/>
            <w:vAlign w:val="center"/>
            <w:hideMark/>
          </w:tcPr>
          <w:p w14:paraId="7DBE30D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373,825</w:t>
            </w:r>
          </w:p>
        </w:tc>
        <w:tc>
          <w:tcPr>
            <w:tcW w:w="793" w:type="dxa"/>
            <w:tcBorders>
              <w:top w:val="nil"/>
              <w:left w:val="nil"/>
              <w:bottom w:val="single" w:sz="4" w:space="0" w:color="auto"/>
              <w:right w:val="single" w:sz="4" w:space="0" w:color="auto"/>
            </w:tcBorders>
            <w:shd w:val="clear" w:color="000000" w:fill="E7E6E6"/>
            <w:vAlign w:val="center"/>
            <w:hideMark/>
          </w:tcPr>
          <w:p w14:paraId="0465CB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858,000</w:t>
            </w:r>
          </w:p>
        </w:tc>
        <w:tc>
          <w:tcPr>
            <w:tcW w:w="793" w:type="dxa"/>
            <w:tcBorders>
              <w:top w:val="nil"/>
              <w:left w:val="nil"/>
              <w:bottom w:val="single" w:sz="4" w:space="0" w:color="auto"/>
              <w:right w:val="single" w:sz="4" w:space="0" w:color="auto"/>
            </w:tcBorders>
            <w:shd w:val="clear" w:color="000000" w:fill="E7E6E6"/>
            <w:vAlign w:val="center"/>
            <w:hideMark/>
          </w:tcPr>
          <w:p w14:paraId="504A595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4F513A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7A3315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000000" w:fill="E7E6E6"/>
            <w:vAlign w:val="center"/>
            <w:hideMark/>
          </w:tcPr>
          <w:p w14:paraId="14DB91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61" w:type="dxa"/>
            <w:gridSpan w:val="2"/>
            <w:vMerge/>
            <w:tcBorders>
              <w:top w:val="nil"/>
              <w:left w:val="single" w:sz="4" w:space="0" w:color="auto"/>
              <w:bottom w:val="single" w:sz="4" w:space="0" w:color="000000"/>
              <w:right w:val="single" w:sz="4" w:space="0" w:color="auto"/>
            </w:tcBorders>
            <w:vAlign w:val="center"/>
            <w:hideMark/>
          </w:tcPr>
          <w:p w14:paraId="466465D7"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D554B8F"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6A0D28FD"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15EA5F4F"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5B5714AB"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36C0BC16"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1AFC7B46"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6311F9C1"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tcBorders>
              <w:top w:val="nil"/>
              <w:left w:val="nil"/>
              <w:bottom w:val="single" w:sz="4" w:space="0" w:color="auto"/>
              <w:right w:val="single" w:sz="4" w:space="0" w:color="auto"/>
            </w:tcBorders>
            <w:shd w:val="clear" w:color="auto" w:fill="auto"/>
            <w:noWrap/>
            <w:vAlign w:val="bottom"/>
            <w:hideMark/>
          </w:tcPr>
          <w:p w14:paraId="43A74C5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0428565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1A83F117"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52C4B16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5ED6C98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70FD5B3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42A02DE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160E05A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32FBD8D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02BAB60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4FE50E8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61" w:type="dxa"/>
            <w:gridSpan w:val="2"/>
            <w:tcBorders>
              <w:top w:val="nil"/>
              <w:left w:val="nil"/>
              <w:bottom w:val="single" w:sz="4" w:space="0" w:color="auto"/>
              <w:right w:val="single" w:sz="4" w:space="0" w:color="auto"/>
            </w:tcBorders>
            <w:shd w:val="clear" w:color="auto" w:fill="auto"/>
            <w:noWrap/>
            <w:vAlign w:val="bottom"/>
            <w:hideMark/>
          </w:tcPr>
          <w:p w14:paraId="216BBD9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r w:rsidR="0070459D" w:rsidRPr="0070459D" w14:paraId="7D6A44E3" w14:textId="77777777" w:rsidTr="00C42BB8">
        <w:trPr>
          <w:trHeight w:val="20"/>
        </w:trPr>
        <w:tc>
          <w:tcPr>
            <w:tcW w:w="500" w:type="dxa"/>
            <w:vMerge/>
            <w:tcBorders>
              <w:top w:val="nil"/>
              <w:left w:val="single" w:sz="4" w:space="0" w:color="auto"/>
              <w:bottom w:val="single" w:sz="4" w:space="0" w:color="000000"/>
              <w:right w:val="single" w:sz="4" w:space="0" w:color="auto"/>
            </w:tcBorders>
            <w:vAlign w:val="center"/>
            <w:hideMark/>
          </w:tcPr>
          <w:p w14:paraId="0C40708A" w14:textId="77777777" w:rsidR="0070459D" w:rsidRPr="0070459D" w:rsidRDefault="0070459D" w:rsidP="0070459D">
            <w:pPr>
              <w:rPr>
                <w:rFonts w:ascii="Arial" w:eastAsia="Times New Roman" w:hAnsi="Arial" w:cs="Arial"/>
                <w:color w:val="000000"/>
                <w:sz w:val="14"/>
                <w:szCs w:val="14"/>
                <w:lang w:val="cs-CZ" w:eastAsia="cs-CZ"/>
              </w:rPr>
            </w:pPr>
          </w:p>
        </w:tc>
        <w:tc>
          <w:tcPr>
            <w:tcW w:w="2426" w:type="dxa"/>
            <w:vMerge/>
            <w:tcBorders>
              <w:top w:val="nil"/>
              <w:left w:val="single" w:sz="4" w:space="0" w:color="auto"/>
              <w:bottom w:val="single" w:sz="4" w:space="0" w:color="000000"/>
              <w:right w:val="single" w:sz="4" w:space="0" w:color="auto"/>
            </w:tcBorders>
            <w:vAlign w:val="center"/>
            <w:hideMark/>
          </w:tcPr>
          <w:p w14:paraId="1F2A0B77"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2B06A9F3" w14:textId="77777777" w:rsidR="0070459D" w:rsidRPr="0070459D" w:rsidRDefault="0070459D" w:rsidP="0070459D">
            <w:pPr>
              <w:rPr>
                <w:rFonts w:ascii="Arial" w:eastAsia="Times New Roman" w:hAnsi="Arial" w:cs="Arial"/>
                <w:color w:val="000000"/>
                <w:sz w:val="14"/>
                <w:szCs w:val="14"/>
                <w:lang w:val="cs-CZ" w:eastAsia="cs-CZ"/>
              </w:rPr>
            </w:pPr>
          </w:p>
        </w:tc>
        <w:tc>
          <w:tcPr>
            <w:tcW w:w="1164" w:type="dxa"/>
            <w:vMerge/>
            <w:tcBorders>
              <w:top w:val="nil"/>
              <w:left w:val="single" w:sz="4" w:space="0" w:color="auto"/>
              <w:bottom w:val="single" w:sz="4" w:space="0" w:color="000000"/>
              <w:right w:val="single" w:sz="4" w:space="0" w:color="auto"/>
            </w:tcBorders>
            <w:vAlign w:val="center"/>
            <w:hideMark/>
          </w:tcPr>
          <w:p w14:paraId="39B2A153" w14:textId="77777777" w:rsidR="0070459D" w:rsidRPr="0070459D" w:rsidRDefault="0070459D" w:rsidP="0070459D">
            <w:pPr>
              <w:rPr>
                <w:rFonts w:ascii="Arial" w:eastAsia="Times New Roman" w:hAnsi="Arial" w:cs="Arial"/>
                <w:color w:val="000000"/>
                <w:sz w:val="14"/>
                <w:szCs w:val="14"/>
                <w:lang w:val="cs-CZ" w:eastAsia="cs-CZ"/>
              </w:rPr>
            </w:pPr>
          </w:p>
        </w:tc>
        <w:tc>
          <w:tcPr>
            <w:tcW w:w="791" w:type="dxa"/>
            <w:vMerge/>
            <w:tcBorders>
              <w:top w:val="nil"/>
              <w:left w:val="single" w:sz="4" w:space="0" w:color="auto"/>
              <w:bottom w:val="single" w:sz="4" w:space="0" w:color="000000"/>
              <w:right w:val="single" w:sz="4" w:space="0" w:color="auto"/>
            </w:tcBorders>
            <w:vAlign w:val="center"/>
            <w:hideMark/>
          </w:tcPr>
          <w:p w14:paraId="14E3C306" w14:textId="77777777" w:rsidR="0070459D" w:rsidRPr="0070459D" w:rsidRDefault="0070459D" w:rsidP="0070459D">
            <w:pPr>
              <w:rPr>
                <w:rFonts w:ascii="Arial" w:eastAsia="Times New Roman" w:hAnsi="Arial" w:cs="Arial"/>
                <w:color w:val="000000"/>
                <w:sz w:val="14"/>
                <w:szCs w:val="14"/>
                <w:lang w:val="cs-CZ" w:eastAsia="cs-CZ"/>
              </w:rPr>
            </w:pPr>
          </w:p>
        </w:tc>
        <w:tc>
          <w:tcPr>
            <w:tcW w:w="940" w:type="dxa"/>
            <w:vMerge/>
            <w:tcBorders>
              <w:top w:val="nil"/>
              <w:left w:val="single" w:sz="4" w:space="0" w:color="auto"/>
              <w:bottom w:val="single" w:sz="4" w:space="0" w:color="000000"/>
              <w:right w:val="single" w:sz="4" w:space="0" w:color="auto"/>
            </w:tcBorders>
            <w:vAlign w:val="center"/>
            <w:hideMark/>
          </w:tcPr>
          <w:p w14:paraId="00BD76CE" w14:textId="77777777" w:rsidR="0070459D" w:rsidRPr="0070459D" w:rsidRDefault="0070459D" w:rsidP="0070459D">
            <w:pPr>
              <w:rPr>
                <w:rFonts w:ascii="Arial" w:eastAsia="Times New Roman" w:hAnsi="Arial" w:cs="Arial"/>
                <w:color w:val="000000"/>
                <w:sz w:val="14"/>
                <w:szCs w:val="14"/>
                <w:lang w:val="cs-CZ" w:eastAsia="cs-CZ"/>
              </w:rPr>
            </w:pPr>
          </w:p>
        </w:tc>
        <w:tc>
          <w:tcPr>
            <w:tcW w:w="812" w:type="dxa"/>
            <w:tcBorders>
              <w:top w:val="nil"/>
              <w:left w:val="nil"/>
              <w:bottom w:val="single" w:sz="4" w:space="0" w:color="auto"/>
              <w:right w:val="single" w:sz="4" w:space="0" w:color="auto"/>
            </w:tcBorders>
            <w:shd w:val="clear" w:color="auto" w:fill="auto"/>
            <w:noWrap/>
            <w:vAlign w:val="bottom"/>
            <w:hideMark/>
          </w:tcPr>
          <w:p w14:paraId="7F83641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6EA3F3D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22CD6B2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3D93682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5B0F0BC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6B440EA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2CF25D4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68F1538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0D1DF04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5097C14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3" w:type="dxa"/>
            <w:tcBorders>
              <w:top w:val="nil"/>
              <w:left w:val="nil"/>
              <w:bottom w:val="single" w:sz="4" w:space="0" w:color="auto"/>
              <w:right w:val="single" w:sz="4" w:space="0" w:color="auto"/>
            </w:tcBorders>
            <w:shd w:val="clear" w:color="auto" w:fill="auto"/>
            <w:noWrap/>
            <w:vAlign w:val="bottom"/>
            <w:hideMark/>
          </w:tcPr>
          <w:p w14:paraId="68DE0FA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61" w:type="dxa"/>
            <w:gridSpan w:val="2"/>
            <w:tcBorders>
              <w:top w:val="nil"/>
              <w:left w:val="nil"/>
              <w:bottom w:val="single" w:sz="4" w:space="0" w:color="auto"/>
              <w:right w:val="single" w:sz="4" w:space="0" w:color="auto"/>
            </w:tcBorders>
            <w:shd w:val="clear" w:color="auto" w:fill="auto"/>
            <w:noWrap/>
            <w:vAlign w:val="bottom"/>
            <w:hideMark/>
          </w:tcPr>
          <w:p w14:paraId="2A0ADA6D" w14:textId="63389ED0"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bl>
    <w:p w14:paraId="761976F6" w14:textId="77777777" w:rsidR="006779CF" w:rsidRPr="002F2BE4" w:rsidRDefault="006779CF" w:rsidP="00DD7907">
      <w:pPr>
        <w:ind w:left="113" w:right="108"/>
        <w:jc w:val="both"/>
        <w:rPr>
          <w:rFonts w:ascii="Arial" w:eastAsia="Arial" w:hAnsi="Arial" w:cs="Arial"/>
          <w:color w:val="000000"/>
          <w:sz w:val="20"/>
          <w:lang w:val="cs-CZ"/>
        </w:rPr>
      </w:pPr>
    </w:p>
    <w:p w14:paraId="5E47C503" w14:textId="77777777" w:rsidR="00FD35AB" w:rsidRPr="002F2BE4" w:rsidRDefault="00FD35AB" w:rsidP="00DD7907">
      <w:pPr>
        <w:ind w:left="113" w:right="108"/>
        <w:jc w:val="both"/>
        <w:rPr>
          <w:rFonts w:ascii="Arial" w:eastAsia="Arial" w:hAnsi="Arial" w:cs="Arial"/>
          <w:color w:val="000000"/>
          <w:sz w:val="20"/>
          <w:lang w:val="cs-CZ"/>
        </w:rPr>
      </w:pPr>
    </w:p>
    <w:p w14:paraId="025DE43A"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03.2.65 Strategie komunitně vedeného místního rozvoje</w:t>
      </w:r>
    </w:p>
    <w:tbl>
      <w:tblPr>
        <w:tblW w:w="15688" w:type="dxa"/>
        <w:tblInd w:w="75" w:type="dxa"/>
        <w:tblCellMar>
          <w:left w:w="70" w:type="dxa"/>
          <w:right w:w="70" w:type="dxa"/>
        </w:tblCellMar>
        <w:tblLook w:val="04A0" w:firstRow="1" w:lastRow="0" w:firstColumn="1" w:lastColumn="0" w:noHBand="0" w:noVBand="1"/>
      </w:tblPr>
      <w:tblGrid>
        <w:gridCol w:w="530"/>
        <w:gridCol w:w="2361"/>
        <w:gridCol w:w="487"/>
        <w:gridCol w:w="1152"/>
        <w:gridCol w:w="790"/>
        <w:gridCol w:w="935"/>
        <w:gridCol w:w="816"/>
        <w:gridCol w:w="797"/>
        <w:gridCol w:w="797"/>
        <w:gridCol w:w="797"/>
        <w:gridCol w:w="797"/>
        <w:gridCol w:w="797"/>
        <w:gridCol w:w="797"/>
        <w:gridCol w:w="797"/>
        <w:gridCol w:w="797"/>
        <w:gridCol w:w="797"/>
        <w:gridCol w:w="797"/>
        <w:gridCol w:w="14"/>
        <w:gridCol w:w="633"/>
      </w:tblGrid>
      <w:tr w:rsidR="0070459D" w:rsidRPr="0070459D" w14:paraId="706FC2FB" w14:textId="77777777" w:rsidTr="00C42BB8">
        <w:trPr>
          <w:trHeight w:val="20"/>
          <w:tblHeader/>
        </w:trPr>
        <w:tc>
          <w:tcPr>
            <w:tcW w:w="50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49531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ID</w:t>
            </w:r>
          </w:p>
        </w:tc>
        <w:tc>
          <w:tcPr>
            <w:tcW w:w="23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04635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Indikátor</w:t>
            </w:r>
          </w:p>
        </w:tc>
        <w:tc>
          <w:tcPr>
            <w:tcW w:w="48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646C0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ESF / YEI</w:t>
            </w:r>
          </w:p>
        </w:tc>
        <w:tc>
          <w:tcPr>
            <w:tcW w:w="11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59154C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Kategorie regionu (je-li relevantní)</w:t>
            </w:r>
          </w:p>
        </w:tc>
        <w:tc>
          <w:tcPr>
            <w:tcW w:w="7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6F643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Měrná jednotka</w:t>
            </w:r>
          </w:p>
        </w:tc>
        <w:tc>
          <w:tcPr>
            <w:tcW w:w="93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365463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Jednotka měření pro výchozí hodnotu a cíl</w:t>
            </w:r>
          </w:p>
        </w:tc>
        <w:tc>
          <w:tcPr>
            <w:tcW w:w="8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F444FF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Cílová hodnota (2023)</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0ABCFE0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2014</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0F6AA5C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2015</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09662BC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2016</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2FA9D6B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2017</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219E31F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2018</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4CF0DA7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2019</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4EFA682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2020</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777AF80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2021</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438A56D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2022</w:t>
            </w:r>
          </w:p>
        </w:tc>
        <w:tc>
          <w:tcPr>
            <w:tcW w:w="797" w:type="dxa"/>
            <w:tcBorders>
              <w:top w:val="single" w:sz="4" w:space="0" w:color="auto"/>
              <w:left w:val="nil"/>
              <w:bottom w:val="single" w:sz="4" w:space="0" w:color="auto"/>
              <w:right w:val="single" w:sz="4" w:space="0" w:color="auto"/>
            </w:tcBorders>
            <w:shd w:val="clear" w:color="000000" w:fill="FFFFFF"/>
            <w:vAlign w:val="center"/>
            <w:hideMark/>
          </w:tcPr>
          <w:p w14:paraId="2D338E8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2023</w:t>
            </w:r>
          </w:p>
        </w:tc>
        <w:tc>
          <w:tcPr>
            <w:tcW w:w="61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F022B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Míra splnění</w:t>
            </w:r>
          </w:p>
        </w:tc>
      </w:tr>
      <w:tr w:rsidR="0070459D" w:rsidRPr="0070459D" w14:paraId="2DD4129B" w14:textId="77777777" w:rsidTr="00C42BB8">
        <w:trPr>
          <w:trHeight w:val="20"/>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0A97F97E" w14:textId="77777777" w:rsidR="0070459D" w:rsidRPr="0070459D" w:rsidRDefault="0070459D" w:rsidP="0070459D">
            <w:pPr>
              <w:rPr>
                <w:rFonts w:ascii="Arial" w:eastAsia="Times New Roman" w:hAnsi="Arial" w:cs="Arial"/>
                <w:b/>
                <w:bCs/>
                <w:color w:val="000000"/>
                <w:sz w:val="14"/>
                <w:szCs w:val="14"/>
                <w:lang w:val="cs-CZ" w:eastAsia="cs-CZ"/>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034B163E"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72A0F63A"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241307A2" w14:textId="77777777" w:rsidR="0070459D" w:rsidRPr="0070459D" w:rsidRDefault="0070459D" w:rsidP="0070459D">
            <w:pPr>
              <w:rPr>
                <w:rFonts w:ascii="Arial" w:eastAsia="Times New Roman" w:hAnsi="Arial" w:cs="Arial"/>
                <w:b/>
                <w:bCs/>
                <w:color w:val="000000"/>
                <w:sz w:val="14"/>
                <w:szCs w:val="14"/>
                <w:lang w:val="cs-CZ" w:eastAsia="cs-CZ"/>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0918A64D" w14:textId="77777777" w:rsidR="0070459D" w:rsidRPr="0070459D" w:rsidRDefault="0070459D" w:rsidP="0070459D">
            <w:pPr>
              <w:rPr>
                <w:rFonts w:ascii="Arial" w:eastAsia="Times New Roman" w:hAnsi="Arial" w:cs="Arial"/>
                <w:b/>
                <w:bCs/>
                <w:color w:val="000000"/>
                <w:sz w:val="14"/>
                <w:szCs w:val="14"/>
                <w:lang w:val="cs-CZ" w:eastAsia="cs-CZ"/>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11B0804A" w14:textId="77777777" w:rsidR="0070459D" w:rsidRPr="0070459D" w:rsidRDefault="0070459D" w:rsidP="0070459D">
            <w:pPr>
              <w:rPr>
                <w:rFonts w:ascii="Arial" w:eastAsia="Times New Roman" w:hAnsi="Arial" w:cs="Arial"/>
                <w:b/>
                <w:bCs/>
                <w:color w:val="000000"/>
                <w:sz w:val="14"/>
                <w:szCs w:val="14"/>
                <w:lang w:val="cs-CZ" w:eastAsia="cs-CZ"/>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3B363FB8" w14:textId="77777777" w:rsidR="0070459D" w:rsidRPr="0070459D" w:rsidRDefault="0070459D" w:rsidP="0070459D">
            <w:pPr>
              <w:rPr>
                <w:rFonts w:ascii="Arial" w:eastAsia="Times New Roman" w:hAnsi="Arial" w:cs="Arial"/>
                <w:b/>
                <w:bCs/>
                <w:color w:val="000000"/>
                <w:sz w:val="14"/>
                <w:szCs w:val="14"/>
                <w:lang w:val="cs-CZ" w:eastAsia="cs-CZ"/>
              </w:rPr>
            </w:pPr>
          </w:p>
        </w:tc>
        <w:tc>
          <w:tcPr>
            <w:tcW w:w="7979" w:type="dxa"/>
            <w:gridSpan w:val="11"/>
            <w:tcBorders>
              <w:top w:val="single" w:sz="4" w:space="0" w:color="auto"/>
              <w:left w:val="nil"/>
              <w:bottom w:val="single" w:sz="4" w:space="0" w:color="auto"/>
              <w:right w:val="single" w:sz="4" w:space="0" w:color="auto"/>
            </w:tcBorders>
            <w:shd w:val="clear" w:color="000000" w:fill="FFFFFF"/>
            <w:vAlign w:val="center"/>
            <w:hideMark/>
          </w:tcPr>
          <w:p w14:paraId="2B374F7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Roční hodnota</w:t>
            </w:r>
          </w:p>
        </w:tc>
        <w:tc>
          <w:tcPr>
            <w:tcW w:w="614" w:type="dxa"/>
            <w:vMerge/>
            <w:tcBorders>
              <w:top w:val="single" w:sz="4" w:space="0" w:color="auto"/>
              <w:left w:val="single" w:sz="4" w:space="0" w:color="auto"/>
              <w:bottom w:val="single" w:sz="4" w:space="0" w:color="auto"/>
              <w:right w:val="single" w:sz="4" w:space="0" w:color="auto"/>
            </w:tcBorders>
            <w:vAlign w:val="center"/>
            <w:hideMark/>
          </w:tcPr>
          <w:p w14:paraId="03F01EA3"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0CB0DDAA" w14:textId="77777777" w:rsidTr="00C42BB8">
        <w:trPr>
          <w:trHeight w:val="20"/>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3BDA9169" w14:textId="77777777" w:rsidR="0070459D" w:rsidRPr="0070459D" w:rsidRDefault="0070459D" w:rsidP="0070459D">
            <w:pPr>
              <w:rPr>
                <w:rFonts w:ascii="Arial" w:eastAsia="Times New Roman" w:hAnsi="Arial" w:cs="Arial"/>
                <w:b/>
                <w:bCs/>
                <w:color w:val="000000"/>
                <w:sz w:val="14"/>
                <w:szCs w:val="14"/>
                <w:lang w:val="cs-CZ" w:eastAsia="cs-CZ"/>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4B093F76"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3CD4754C"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3DA4BFDF" w14:textId="77777777" w:rsidR="0070459D" w:rsidRPr="0070459D" w:rsidRDefault="0070459D" w:rsidP="0070459D">
            <w:pPr>
              <w:rPr>
                <w:rFonts w:ascii="Arial" w:eastAsia="Times New Roman" w:hAnsi="Arial" w:cs="Arial"/>
                <w:b/>
                <w:bCs/>
                <w:color w:val="000000"/>
                <w:sz w:val="14"/>
                <w:szCs w:val="14"/>
                <w:lang w:val="cs-CZ" w:eastAsia="cs-CZ"/>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7461B0FD" w14:textId="77777777" w:rsidR="0070459D" w:rsidRPr="0070459D" w:rsidRDefault="0070459D" w:rsidP="0070459D">
            <w:pPr>
              <w:rPr>
                <w:rFonts w:ascii="Arial" w:eastAsia="Times New Roman" w:hAnsi="Arial" w:cs="Arial"/>
                <w:b/>
                <w:bCs/>
                <w:color w:val="000000"/>
                <w:sz w:val="14"/>
                <w:szCs w:val="14"/>
                <w:lang w:val="cs-CZ" w:eastAsia="cs-CZ"/>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62CFD816" w14:textId="77777777" w:rsidR="0070459D" w:rsidRPr="0070459D" w:rsidRDefault="0070459D" w:rsidP="0070459D">
            <w:pPr>
              <w:rPr>
                <w:rFonts w:ascii="Arial" w:eastAsia="Times New Roman" w:hAnsi="Arial" w:cs="Arial"/>
                <w:b/>
                <w:bCs/>
                <w:color w:val="000000"/>
                <w:sz w:val="14"/>
                <w:szCs w:val="14"/>
                <w:lang w:val="cs-CZ" w:eastAsia="cs-CZ"/>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5AA1BFB3" w14:textId="77777777" w:rsidR="0070459D" w:rsidRPr="0070459D" w:rsidRDefault="0070459D" w:rsidP="0070459D">
            <w:pPr>
              <w:rPr>
                <w:rFonts w:ascii="Arial" w:eastAsia="Times New Roman" w:hAnsi="Arial" w:cs="Arial"/>
                <w:b/>
                <w:bCs/>
                <w:color w:val="000000"/>
                <w:sz w:val="14"/>
                <w:szCs w:val="14"/>
                <w:lang w:val="cs-CZ" w:eastAsia="cs-CZ"/>
              </w:rPr>
            </w:pPr>
          </w:p>
        </w:tc>
        <w:tc>
          <w:tcPr>
            <w:tcW w:w="797" w:type="dxa"/>
            <w:tcBorders>
              <w:top w:val="nil"/>
              <w:left w:val="nil"/>
              <w:bottom w:val="single" w:sz="4" w:space="0" w:color="auto"/>
              <w:right w:val="single" w:sz="4" w:space="0" w:color="auto"/>
            </w:tcBorders>
            <w:shd w:val="clear" w:color="000000" w:fill="E7E6E6"/>
            <w:vAlign w:val="center"/>
            <w:hideMark/>
          </w:tcPr>
          <w:p w14:paraId="0A440B9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6F7DB0B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43F0546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75E31F6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2537A0E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6224C80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3819EBD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557A4FC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505384F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2F210BB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4" w:type="dxa"/>
            <w:gridSpan w:val="2"/>
            <w:vMerge/>
            <w:tcBorders>
              <w:top w:val="single" w:sz="4" w:space="0" w:color="auto"/>
              <w:left w:val="single" w:sz="4" w:space="0" w:color="auto"/>
              <w:bottom w:val="single" w:sz="4" w:space="0" w:color="auto"/>
              <w:right w:val="single" w:sz="4" w:space="0" w:color="auto"/>
            </w:tcBorders>
            <w:vAlign w:val="center"/>
            <w:hideMark/>
          </w:tcPr>
          <w:p w14:paraId="21CB3B5B"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6B366B58" w14:textId="77777777" w:rsidTr="00C42BB8">
        <w:trPr>
          <w:trHeight w:val="20"/>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783480CC" w14:textId="77777777" w:rsidR="0070459D" w:rsidRPr="0070459D" w:rsidRDefault="0070459D" w:rsidP="0070459D">
            <w:pPr>
              <w:rPr>
                <w:rFonts w:ascii="Arial" w:eastAsia="Times New Roman" w:hAnsi="Arial" w:cs="Arial"/>
                <w:b/>
                <w:bCs/>
                <w:color w:val="000000"/>
                <w:sz w:val="14"/>
                <w:szCs w:val="14"/>
                <w:lang w:val="cs-CZ" w:eastAsia="cs-CZ"/>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113DFB3D"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11DC00A5"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4011773C" w14:textId="77777777" w:rsidR="0070459D" w:rsidRPr="0070459D" w:rsidRDefault="0070459D" w:rsidP="0070459D">
            <w:pPr>
              <w:rPr>
                <w:rFonts w:ascii="Arial" w:eastAsia="Times New Roman" w:hAnsi="Arial" w:cs="Arial"/>
                <w:b/>
                <w:bCs/>
                <w:color w:val="000000"/>
                <w:sz w:val="14"/>
                <w:szCs w:val="14"/>
                <w:lang w:val="cs-CZ" w:eastAsia="cs-CZ"/>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79180299" w14:textId="77777777" w:rsidR="0070459D" w:rsidRPr="0070459D" w:rsidRDefault="0070459D" w:rsidP="0070459D">
            <w:pPr>
              <w:rPr>
                <w:rFonts w:ascii="Arial" w:eastAsia="Times New Roman" w:hAnsi="Arial" w:cs="Arial"/>
                <w:b/>
                <w:bCs/>
                <w:color w:val="000000"/>
                <w:sz w:val="14"/>
                <w:szCs w:val="14"/>
                <w:lang w:val="cs-CZ" w:eastAsia="cs-CZ"/>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2928A490" w14:textId="77777777" w:rsidR="0070459D" w:rsidRPr="0070459D" w:rsidRDefault="0070459D" w:rsidP="0070459D">
            <w:pPr>
              <w:rPr>
                <w:rFonts w:ascii="Arial" w:eastAsia="Times New Roman" w:hAnsi="Arial" w:cs="Arial"/>
                <w:b/>
                <w:bCs/>
                <w:color w:val="000000"/>
                <w:sz w:val="14"/>
                <w:szCs w:val="14"/>
                <w:lang w:val="cs-CZ" w:eastAsia="cs-CZ"/>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173E0141" w14:textId="77777777" w:rsidR="0070459D" w:rsidRPr="0070459D" w:rsidRDefault="0070459D" w:rsidP="0070459D">
            <w:pPr>
              <w:rPr>
                <w:rFonts w:ascii="Arial" w:eastAsia="Times New Roman" w:hAnsi="Arial" w:cs="Arial"/>
                <w:b/>
                <w:bCs/>
                <w:color w:val="000000"/>
                <w:sz w:val="14"/>
                <w:szCs w:val="14"/>
                <w:lang w:val="cs-CZ" w:eastAsia="cs-CZ"/>
              </w:rPr>
            </w:pPr>
          </w:p>
        </w:tc>
        <w:tc>
          <w:tcPr>
            <w:tcW w:w="797" w:type="dxa"/>
            <w:tcBorders>
              <w:top w:val="nil"/>
              <w:left w:val="nil"/>
              <w:bottom w:val="single" w:sz="4" w:space="0" w:color="auto"/>
              <w:right w:val="single" w:sz="4" w:space="0" w:color="auto"/>
            </w:tcBorders>
            <w:shd w:val="clear" w:color="000000" w:fill="FFFFFF"/>
            <w:vAlign w:val="center"/>
            <w:hideMark/>
          </w:tcPr>
          <w:p w14:paraId="40C2E56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0FE711C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2EA2FBE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3DA7A91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640F743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3FEAEC3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3274488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320F416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0E4BF40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12DD05C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4" w:type="dxa"/>
            <w:gridSpan w:val="2"/>
            <w:vMerge/>
            <w:tcBorders>
              <w:top w:val="single" w:sz="4" w:space="0" w:color="auto"/>
              <w:left w:val="single" w:sz="4" w:space="0" w:color="auto"/>
              <w:bottom w:val="single" w:sz="4" w:space="0" w:color="auto"/>
              <w:right w:val="single" w:sz="4" w:space="0" w:color="auto"/>
            </w:tcBorders>
            <w:vAlign w:val="center"/>
            <w:hideMark/>
          </w:tcPr>
          <w:p w14:paraId="4432C82E"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6F21E044" w14:textId="77777777" w:rsidTr="00C42BB8">
        <w:trPr>
          <w:trHeight w:val="20"/>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21C0F89F" w14:textId="77777777" w:rsidR="0070459D" w:rsidRPr="0070459D" w:rsidRDefault="0070459D" w:rsidP="0070459D">
            <w:pPr>
              <w:rPr>
                <w:rFonts w:ascii="Arial" w:eastAsia="Times New Roman" w:hAnsi="Arial" w:cs="Arial"/>
                <w:b/>
                <w:bCs/>
                <w:color w:val="000000"/>
                <w:sz w:val="14"/>
                <w:szCs w:val="14"/>
                <w:lang w:val="cs-CZ" w:eastAsia="cs-CZ"/>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030EA3BD"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63AC3112"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5FE36E35" w14:textId="77777777" w:rsidR="0070459D" w:rsidRPr="0070459D" w:rsidRDefault="0070459D" w:rsidP="0070459D">
            <w:pPr>
              <w:rPr>
                <w:rFonts w:ascii="Arial" w:eastAsia="Times New Roman" w:hAnsi="Arial" w:cs="Arial"/>
                <w:b/>
                <w:bCs/>
                <w:color w:val="000000"/>
                <w:sz w:val="14"/>
                <w:szCs w:val="14"/>
                <w:lang w:val="cs-CZ" w:eastAsia="cs-CZ"/>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3307E2F6" w14:textId="77777777" w:rsidR="0070459D" w:rsidRPr="0070459D" w:rsidRDefault="0070459D" w:rsidP="0070459D">
            <w:pPr>
              <w:rPr>
                <w:rFonts w:ascii="Arial" w:eastAsia="Times New Roman" w:hAnsi="Arial" w:cs="Arial"/>
                <w:b/>
                <w:bCs/>
                <w:color w:val="000000"/>
                <w:sz w:val="14"/>
                <w:szCs w:val="14"/>
                <w:lang w:val="cs-CZ" w:eastAsia="cs-CZ"/>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509ACCEF" w14:textId="77777777" w:rsidR="0070459D" w:rsidRPr="0070459D" w:rsidRDefault="0070459D" w:rsidP="0070459D">
            <w:pPr>
              <w:rPr>
                <w:rFonts w:ascii="Arial" w:eastAsia="Times New Roman" w:hAnsi="Arial" w:cs="Arial"/>
                <w:b/>
                <w:bCs/>
                <w:color w:val="000000"/>
                <w:sz w:val="14"/>
                <w:szCs w:val="14"/>
                <w:lang w:val="cs-CZ" w:eastAsia="cs-CZ"/>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5DB4D74C" w14:textId="77777777" w:rsidR="0070459D" w:rsidRPr="0070459D" w:rsidRDefault="0070459D" w:rsidP="0070459D">
            <w:pPr>
              <w:rPr>
                <w:rFonts w:ascii="Arial" w:eastAsia="Times New Roman" w:hAnsi="Arial" w:cs="Arial"/>
                <w:b/>
                <w:bCs/>
                <w:color w:val="000000"/>
                <w:sz w:val="14"/>
                <w:szCs w:val="14"/>
                <w:lang w:val="cs-CZ" w:eastAsia="cs-CZ"/>
              </w:rPr>
            </w:pPr>
          </w:p>
        </w:tc>
        <w:tc>
          <w:tcPr>
            <w:tcW w:w="797" w:type="dxa"/>
            <w:tcBorders>
              <w:top w:val="nil"/>
              <w:left w:val="nil"/>
              <w:bottom w:val="single" w:sz="4" w:space="0" w:color="auto"/>
              <w:right w:val="single" w:sz="4" w:space="0" w:color="auto"/>
            </w:tcBorders>
            <w:shd w:val="clear" w:color="000000" w:fill="FFFFFF"/>
            <w:vAlign w:val="center"/>
            <w:hideMark/>
          </w:tcPr>
          <w:p w14:paraId="7DB45CB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0B55DE1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78357A0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3696894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481D27A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2187411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5CD88F6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7B034FC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4918061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39AF86B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4" w:type="dxa"/>
            <w:gridSpan w:val="2"/>
            <w:vMerge/>
            <w:tcBorders>
              <w:top w:val="single" w:sz="4" w:space="0" w:color="auto"/>
              <w:left w:val="single" w:sz="4" w:space="0" w:color="auto"/>
              <w:bottom w:val="single" w:sz="4" w:space="0" w:color="auto"/>
              <w:right w:val="single" w:sz="4" w:space="0" w:color="auto"/>
            </w:tcBorders>
            <w:vAlign w:val="center"/>
            <w:hideMark/>
          </w:tcPr>
          <w:p w14:paraId="1DD0D256"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219329AA" w14:textId="77777777" w:rsidTr="00C42BB8">
        <w:trPr>
          <w:trHeight w:val="20"/>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01A5854C" w14:textId="77777777" w:rsidR="0070459D" w:rsidRPr="0070459D" w:rsidRDefault="0070459D" w:rsidP="0070459D">
            <w:pPr>
              <w:rPr>
                <w:rFonts w:ascii="Arial" w:eastAsia="Times New Roman" w:hAnsi="Arial" w:cs="Arial"/>
                <w:b/>
                <w:bCs/>
                <w:color w:val="000000"/>
                <w:sz w:val="14"/>
                <w:szCs w:val="14"/>
                <w:lang w:val="cs-CZ" w:eastAsia="cs-CZ"/>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45F75A00"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3D447DFB"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07A1CC2C" w14:textId="77777777" w:rsidR="0070459D" w:rsidRPr="0070459D" w:rsidRDefault="0070459D" w:rsidP="0070459D">
            <w:pPr>
              <w:rPr>
                <w:rFonts w:ascii="Arial" w:eastAsia="Times New Roman" w:hAnsi="Arial" w:cs="Arial"/>
                <w:b/>
                <w:bCs/>
                <w:color w:val="000000"/>
                <w:sz w:val="14"/>
                <w:szCs w:val="14"/>
                <w:lang w:val="cs-CZ" w:eastAsia="cs-CZ"/>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65225A1F" w14:textId="77777777" w:rsidR="0070459D" w:rsidRPr="0070459D" w:rsidRDefault="0070459D" w:rsidP="0070459D">
            <w:pPr>
              <w:rPr>
                <w:rFonts w:ascii="Arial" w:eastAsia="Times New Roman" w:hAnsi="Arial" w:cs="Arial"/>
                <w:b/>
                <w:bCs/>
                <w:color w:val="000000"/>
                <w:sz w:val="14"/>
                <w:szCs w:val="14"/>
                <w:lang w:val="cs-CZ" w:eastAsia="cs-CZ"/>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71E8428E" w14:textId="77777777" w:rsidR="0070459D" w:rsidRPr="0070459D" w:rsidRDefault="0070459D" w:rsidP="0070459D">
            <w:pPr>
              <w:rPr>
                <w:rFonts w:ascii="Arial" w:eastAsia="Times New Roman" w:hAnsi="Arial" w:cs="Arial"/>
                <w:b/>
                <w:bCs/>
                <w:color w:val="000000"/>
                <w:sz w:val="14"/>
                <w:szCs w:val="14"/>
                <w:lang w:val="cs-CZ" w:eastAsia="cs-CZ"/>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764E45FB" w14:textId="77777777" w:rsidR="0070459D" w:rsidRPr="0070459D" w:rsidRDefault="0070459D" w:rsidP="0070459D">
            <w:pPr>
              <w:rPr>
                <w:rFonts w:ascii="Arial" w:eastAsia="Times New Roman" w:hAnsi="Arial" w:cs="Arial"/>
                <w:b/>
                <w:bCs/>
                <w:color w:val="000000"/>
                <w:sz w:val="14"/>
                <w:szCs w:val="14"/>
                <w:lang w:val="cs-CZ" w:eastAsia="cs-CZ"/>
              </w:rPr>
            </w:pPr>
          </w:p>
        </w:tc>
        <w:tc>
          <w:tcPr>
            <w:tcW w:w="7979" w:type="dxa"/>
            <w:gridSpan w:val="11"/>
            <w:tcBorders>
              <w:top w:val="single" w:sz="4" w:space="0" w:color="auto"/>
              <w:left w:val="nil"/>
              <w:bottom w:val="single" w:sz="4" w:space="0" w:color="auto"/>
              <w:right w:val="single" w:sz="4" w:space="0" w:color="auto"/>
            </w:tcBorders>
            <w:shd w:val="clear" w:color="000000" w:fill="FFFFFF"/>
            <w:vAlign w:val="center"/>
            <w:hideMark/>
          </w:tcPr>
          <w:p w14:paraId="33DFACE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Kumulativní hodnota</w:t>
            </w:r>
          </w:p>
        </w:tc>
        <w:tc>
          <w:tcPr>
            <w:tcW w:w="614" w:type="dxa"/>
            <w:vMerge/>
            <w:tcBorders>
              <w:top w:val="single" w:sz="4" w:space="0" w:color="auto"/>
              <w:left w:val="single" w:sz="4" w:space="0" w:color="auto"/>
              <w:bottom w:val="single" w:sz="4" w:space="0" w:color="auto"/>
              <w:right w:val="single" w:sz="4" w:space="0" w:color="auto"/>
            </w:tcBorders>
            <w:vAlign w:val="center"/>
            <w:hideMark/>
          </w:tcPr>
          <w:p w14:paraId="26F8604D"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16050397" w14:textId="77777777" w:rsidTr="00C42BB8">
        <w:trPr>
          <w:trHeight w:val="20"/>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25B2215F" w14:textId="77777777" w:rsidR="0070459D" w:rsidRPr="0070459D" w:rsidRDefault="0070459D" w:rsidP="0070459D">
            <w:pPr>
              <w:rPr>
                <w:rFonts w:ascii="Arial" w:eastAsia="Times New Roman" w:hAnsi="Arial" w:cs="Arial"/>
                <w:b/>
                <w:bCs/>
                <w:color w:val="000000"/>
                <w:sz w:val="14"/>
                <w:szCs w:val="14"/>
                <w:lang w:val="cs-CZ" w:eastAsia="cs-CZ"/>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3DB6FF58"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306EB7E6"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2291BFBC" w14:textId="77777777" w:rsidR="0070459D" w:rsidRPr="0070459D" w:rsidRDefault="0070459D" w:rsidP="0070459D">
            <w:pPr>
              <w:rPr>
                <w:rFonts w:ascii="Arial" w:eastAsia="Times New Roman" w:hAnsi="Arial" w:cs="Arial"/>
                <w:b/>
                <w:bCs/>
                <w:color w:val="000000"/>
                <w:sz w:val="14"/>
                <w:szCs w:val="14"/>
                <w:lang w:val="cs-CZ" w:eastAsia="cs-CZ"/>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4C754638" w14:textId="77777777" w:rsidR="0070459D" w:rsidRPr="0070459D" w:rsidRDefault="0070459D" w:rsidP="0070459D">
            <w:pPr>
              <w:rPr>
                <w:rFonts w:ascii="Arial" w:eastAsia="Times New Roman" w:hAnsi="Arial" w:cs="Arial"/>
                <w:b/>
                <w:bCs/>
                <w:color w:val="000000"/>
                <w:sz w:val="14"/>
                <w:szCs w:val="14"/>
                <w:lang w:val="cs-CZ" w:eastAsia="cs-CZ"/>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4A13B1A7" w14:textId="77777777" w:rsidR="0070459D" w:rsidRPr="0070459D" w:rsidRDefault="0070459D" w:rsidP="0070459D">
            <w:pPr>
              <w:rPr>
                <w:rFonts w:ascii="Arial" w:eastAsia="Times New Roman" w:hAnsi="Arial" w:cs="Arial"/>
                <w:b/>
                <w:bCs/>
                <w:color w:val="000000"/>
                <w:sz w:val="14"/>
                <w:szCs w:val="14"/>
                <w:lang w:val="cs-CZ" w:eastAsia="cs-CZ"/>
              </w:rPr>
            </w:pPr>
          </w:p>
        </w:tc>
        <w:tc>
          <w:tcPr>
            <w:tcW w:w="816" w:type="dxa"/>
            <w:tcBorders>
              <w:top w:val="nil"/>
              <w:left w:val="nil"/>
              <w:bottom w:val="single" w:sz="4" w:space="0" w:color="auto"/>
              <w:right w:val="single" w:sz="4" w:space="0" w:color="auto"/>
            </w:tcBorders>
            <w:shd w:val="clear" w:color="000000" w:fill="E7E6E6"/>
            <w:vAlign w:val="center"/>
            <w:hideMark/>
          </w:tcPr>
          <w:p w14:paraId="70932F4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598AA2C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36942F7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6DEDF3B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5CACC87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6B93749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12ECAC4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1C992CE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3B5D6ED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0A7219C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797" w:type="dxa"/>
            <w:tcBorders>
              <w:top w:val="nil"/>
              <w:left w:val="nil"/>
              <w:bottom w:val="single" w:sz="4" w:space="0" w:color="auto"/>
              <w:right w:val="single" w:sz="4" w:space="0" w:color="auto"/>
            </w:tcBorders>
            <w:shd w:val="clear" w:color="000000" w:fill="E7E6E6"/>
            <w:vAlign w:val="center"/>
            <w:hideMark/>
          </w:tcPr>
          <w:p w14:paraId="5653C1C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4" w:type="dxa"/>
            <w:gridSpan w:val="2"/>
            <w:tcBorders>
              <w:top w:val="nil"/>
              <w:left w:val="nil"/>
              <w:bottom w:val="single" w:sz="4" w:space="0" w:color="auto"/>
              <w:right w:val="single" w:sz="4" w:space="0" w:color="auto"/>
            </w:tcBorders>
            <w:shd w:val="clear" w:color="000000" w:fill="E7E6E6"/>
            <w:vAlign w:val="center"/>
            <w:hideMark/>
          </w:tcPr>
          <w:p w14:paraId="663EE5D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r>
      <w:tr w:rsidR="0070459D" w:rsidRPr="0070459D" w14:paraId="58C17825" w14:textId="77777777" w:rsidTr="00C42BB8">
        <w:trPr>
          <w:trHeight w:val="20"/>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59676316" w14:textId="77777777" w:rsidR="0070459D" w:rsidRPr="0070459D" w:rsidRDefault="0070459D" w:rsidP="0070459D">
            <w:pPr>
              <w:rPr>
                <w:rFonts w:ascii="Arial" w:eastAsia="Times New Roman" w:hAnsi="Arial" w:cs="Arial"/>
                <w:b/>
                <w:bCs/>
                <w:color w:val="000000"/>
                <w:sz w:val="14"/>
                <w:szCs w:val="14"/>
                <w:lang w:val="cs-CZ" w:eastAsia="cs-CZ"/>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6E513BC6"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3D6F13A4"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69514607" w14:textId="77777777" w:rsidR="0070459D" w:rsidRPr="0070459D" w:rsidRDefault="0070459D" w:rsidP="0070459D">
            <w:pPr>
              <w:rPr>
                <w:rFonts w:ascii="Arial" w:eastAsia="Times New Roman" w:hAnsi="Arial" w:cs="Arial"/>
                <w:b/>
                <w:bCs/>
                <w:color w:val="000000"/>
                <w:sz w:val="14"/>
                <w:szCs w:val="14"/>
                <w:lang w:val="cs-CZ" w:eastAsia="cs-CZ"/>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6DF8775F" w14:textId="77777777" w:rsidR="0070459D" w:rsidRPr="0070459D" w:rsidRDefault="0070459D" w:rsidP="0070459D">
            <w:pPr>
              <w:rPr>
                <w:rFonts w:ascii="Arial" w:eastAsia="Times New Roman" w:hAnsi="Arial" w:cs="Arial"/>
                <w:b/>
                <w:bCs/>
                <w:color w:val="000000"/>
                <w:sz w:val="14"/>
                <w:szCs w:val="14"/>
                <w:lang w:val="cs-CZ" w:eastAsia="cs-CZ"/>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700868E0" w14:textId="77777777" w:rsidR="0070459D" w:rsidRPr="0070459D" w:rsidRDefault="0070459D" w:rsidP="0070459D">
            <w:pPr>
              <w:rPr>
                <w:rFonts w:ascii="Arial" w:eastAsia="Times New Roman" w:hAnsi="Arial" w:cs="Arial"/>
                <w:b/>
                <w:bCs/>
                <w:color w:val="000000"/>
                <w:sz w:val="14"/>
                <w:szCs w:val="14"/>
                <w:lang w:val="cs-CZ" w:eastAsia="cs-CZ"/>
              </w:rPr>
            </w:pPr>
          </w:p>
        </w:tc>
        <w:tc>
          <w:tcPr>
            <w:tcW w:w="816" w:type="dxa"/>
            <w:tcBorders>
              <w:top w:val="nil"/>
              <w:left w:val="nil"/>
              <w:bottom w:val="single" w:sz="4" w:space="0" w:color="auto"/>
              <w:right w:val="single" w:sz="4" w:space="0" w:color="auto"/>
            </w:tcBorders>
            <w:shd w:val="clear" w:color="000000" w:fill="FFFFFF"/>
            <w:vAlign w:val="center"/>
            <w:hideMark/>
          </w:tcPr>
          <w:p w14:paraId="0DAC52D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26F2A02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44F6CBC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4AF4D32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2D54958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20F8E4D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076EBCB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3E4A279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3DDEDD9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29E8F4F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000000" w:fill="FFFFFF"/>
            <w:vAlign w:val="center"/>
            <w:hideMark/>
          </w:tcPr>
          <w:p w14:paraId="690A067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4" w:type="dxa"/>
            <w:gridSpan w:val="2"/>
            <w:tcBorders>
              <w:top w:val="nil"/>
              <w:left w:val="nil"/>
              <w:bottom w:val="single" w:sz="4" w:space="0" w:color="auto"/>
              <w:right w:val="single" w:sz="4" w:space="0" w:color="auto"/>
            </w:tcBorders>
            <w:shd w:val="clear" w:color="000000" w:fill="FFFFFF"/>
            <w:vAlign w:val="center"/>
            <w:hideMark/>
          </w:tcPr>
          <w:p w14:paraId="40A6C43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r>
      <w:tr w:rsidR="0070459D" w:rsidRPr="0070459D" w14:paraId="2BACD567" w14:textId="77777777" w:rsidTr="00C42BB8">
        <w:trPr>
          <w:trHeight w:val="20"/>
          <w:tblHeader/>
        </w:trPr>
        <w:tc>
          <w:tcPr>
            <w:tcW w:w="503" w:type="dxa"/>
            <w:vMerge/>
            <w:tcBorders>
              <w:top w:val="single" w:sz="4" w:space="0" w:color="auto"/>
              <w:left w:val="single" w:sz="4" w:space="0" w:color="auto"/>
              <w:bottom w:val="single" w:sz="4" w:space="0" w:color="auto"/>
              <w:right w:val="single" w:sz="4" w:space="0" w:color="auto"/>
            </w:tcBorders>
            <w:vAlign w:val="center"/>
            <w:hideMark/>
          </w:tcPr>
          <w:p w14:paraId="112B164F" w14:textId="77777777" w:rsidR="0070459D" w:rsidRPr="0070459D" w:rsidRDefault="0070459D" w:rsidP="0070459D">
            <w:pPr>
              <w:rPr>
                <w:rFonts w:ascii="Arial" w:eastAsia="Times New Roman" w:hAnsi="Arial" w:cs="Arial"/>
                <w:b/>
                <w:bCs/>
                <w:color w:val="000000"/>
                <w:sz w:val="14"/>
                <w:szCs w:val="14"/>
                <w:lang w:val="cs-CZ" w:eastAsia="cs-CZ"/>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3D0399A2" w14:textId="77777777" w:rsidR="0070459D" w:rsidRPr="0070459D" w:rsidRDefault="0070459D" w:rsidP="0070459D">
            <w:pPr>
              <w:rPr>
                <w:rFonts w:ascii="Arial" w:eastAsia="Times New Roman" w:hAnsi="Arial" w:cs="Arial"/>
                <w:b/>
                <w:bCs/>
                <w:color w:val="000000"/>
                <w:sz w:val="14"/>
                <w:szCs w:val="14"/>
                <w:lang w:val="cs-CZ" w:eastAsia="cs-CZ"/>
              </w:rPr>
            </w:pPr>
          </w:p>
        </w:tc>
        <w:tc>
          <w:tcPr>
            <w:tcW w:w="489" w:type="dxa"/>
            <w:vMerge/>
            <w:tcBorders>
              <w:top w:val="single" w:sz="4" w:space="0" w:color="auto"/>
              <w:left w:val="single" w:sz="4" w:space="0" w:color="auto"/>
              <w:bottom w:val="single" w:sz="4" w:space="0" w:color="auto"/>
              <w:right w:val="single" w:sz="4" w:space="0" w:color="auto"/>
            </w:tcBorders>
            <w:vAlign w:val="center"/>
            <w:hideMark/>
          </w:tcPr>
          <w:p w14:paraId="4E29B9E3"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14:paraId="31CD11BB" w14:textId="77777777" w:rsidR="0070459D" w:rsidRPr="0070459D" w:rsidRDefault="0070459D" w:rsidP="0070459D">
            <w:pPr>
              <w:rPr>
                <w:rFonts w:ascii="Arial" w:eastAsia="Times New Roman" w:hAnsi="Arial" w:cs="Arial"/>
                <w:b/>
                <w:bCs/>
                <w:color w:val="000000"/>
                <w:sz w:val="14"/>
                <w:szCs w:val="14"/>
                <w:lang w:val="cs-CZ" w:eastAsia="cs-CZ"/>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232E0BBA" w14:textId="77777777" w:rsidR="0070459D" w:rsidRPr="0070459D" w:rsidRDefault="0070459D" w:rsidP="0070459D">
            <w:pPr>
              <w:rPr>
                <w:rFonts w:ascii="Arial" w:eastAsia="Times New Roman" w:hAnsi="Arial" w:cs="Arial"/>
                <w:b/>
                <w:bCs/>
                <w:color w:val="000000"/>
                <w:sz w:val="14"/>
                <w:szCs w:val="14"/>
                <w:lang w:val="cs-CZ" w:eastAsia="cs-CZ"/>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38849B6A" w14:textId="77777777" w:rsidR="0070459D" w:rsidRPr="0070459D" w:rsidRDefault="0070459D" w:rsidP="0070459D">
            <w:pPr>
              <w:rPr>
                <w:rFonts w:ascii="Arial" w:eastAsia="Times New Roman" w:hAnsi="Arial" w:cs="Arial"/>
                <w:b/>
                <w:bCs/>
                <w:color w:val="000000"/>
                <w:sz w:val="14"/>
                <w:szCs w:val="14"/>
                <w:lang w:val="cs-CZ" w:eastAsia="cs-CZ"/>
              </w:rPr>
            </w:pPr>
          </w:p>
        </w:tc>
        <w:tc>
          <w:tcPr>
            <w:tcW w:w="816" w:type="dxa"/>
            <w:tcBorders>
              <w:top w:val="nil"/>
              <w:left w:val="nil"/>
              <w:bottom w:val="single" w:sz="4" w:space="0" w:color="auto"/>
              <w:right w:val="single" w:sz="4" w:space="0" w:color="auto"/>
            </w:tcBorders>
            <w:shd w:val="clear" w:color="000000" w:fill="FFFFFF"/>
            <w:vAlign w:val="center"/>
            <w:hideMark/>
          </w:tcPr>
          <w:p w14:paraId="524AF7D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2113C8A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0F049F2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3F5B879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356EA56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70CCDEB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7E894BC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742CF2C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7B6A7BE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3F20555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000000" w:fill="FFFFFF"/>
            <w:vAlign w:val="center"/>
            <w:hideMark/>
          </w:tcPr>
          <w:p w14:paraId="5677A1C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4" w:type="dxa"/>
            <w:gridSpan w:val="2"/>
            <w:tcBorders>
              <w:top w:val="nil"/>
              <w:left w:val="nil"/>
              <w:bottom w:val="single" w:sz="4" w:space="0" w:color="auto"/>
              <w:right w:val="single" w:sz="4" w:space="0" w:color="auto"/>
            </w:tcBorders>
            <w:shd w:val="clear" w:color="000000" w:fill="FFFFFF"/>
            <w:vAlign w:val="center"/>
            <w:hideMark/>
          </w:tcPr>
          <w:p w14:paraId="46865D0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r>
      <w:tr w:rsidR="0070459D" w:rsidRPr="0070459D" w14:paraId="4C3B51F3" w14:textId="77777777" w:rsidTr="00C42BB8">
        <w:trPr>
          <w:trHeight w:val="20"/>
        </w:trPr>
        <w:tc>
          <w:tcPr>
            <w:tcW w:w="50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8398CD" w14:textId="77777777" w:rsidR="0070459D" w:rsidRPr="0070459D" w:rsidRDefault="0070459D" w:rsidP="0070459D">
            <w:pPr>
              <w:jc w:val="cente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67010</w:t>
            </w:r>
          </w:p>
        </w:tc>
        <w:tc>
          <w:tcPr>
            <w:tcW w:w="239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89B5C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Využívání podpořených služeb</w:t>
            </w:r>
          </w:p>
        </w:tc>
        <w:tc>
          <w:tcPr>
            <w:tcW w:w="4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0F942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B41FA5"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7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2ED79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3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1226E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81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96B64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4 410,000</w:t>
            </w:r>
          </w:p>
        </w:tc>
        <w:tc>
          <w:tcPr>
            <w:tcW w:w="797" w:type="dxa"/>
            <w:tcBorders>
              <w:top w:val="nil"/>
              <w:left w:val="nil"/>
              <w:bottom w:val="single" w:sz="4" w:space="0" w:color="auto"/>
              <w:right w:val="single" w:sz="4" w:space="0" w:color="auto"/>
            </w:tcBorders>
            <w:shd w:val="clear" w:color="000000" w:fill="E7E6E6"/>
            <w:vAlign w:val="center"/>
            <w:hideMark/>
          </w:tcPr>
          <w:p w14:paraId="08031F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7" w:type="dxa"/>
            <w:tcBorders>
              <w:top w:val="nil"/>
              <w:left w:val="nil"/>
              <w:bottom w:val="single" w:sz="4" w:space="0" w:color="auto"/>
              <w:right w:val="single" w:sz="4" w:space="0" w:color="auto"/>
            </w:tcBorders>
            <w:shd w:val="clear" w:color="000000" w:fill="E7E6E6"/>
            <w:vAlign w:val="center"/>
            <w:hideMark/>
          </w:tcPr>
          <w:p w14:paraId="7AE5610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7" w:type="dxa"/>
            <w:tcBorders>
              <w:top w:val="nil"/>
              <w:left w:val="nil"/>
              <w:bottom w:val="single" w:sz="4" w:space="0" w:color="auto"/>
              <w:right w:val="single" w:sz="4" w:space="0" w:color="auto"/>
            </w:tcBorders>
            <w:shd w:val="clear" w:color="000000" w:fill="E7E6E6"/>
            <w:vAlign w:val="center"/>
            <w:hideMark/>
          </w:tcPr>
          <w:p w14:paraId="4CC88C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7" w:type="dxa"/>
            <w:tcBorders>
              <w:top w:val="nil"/>
              <w:left w:val="nil"/>
              <w:bottom w:val="single" w:sz="4" w:space="0" w:color="auto"/>
              <w:right w:val="single" w:sz="4" w:space="0" w:color="auto"/>
            </w:tcBorders>
            <w:shd w:val="clear" w:color="000000" w:fill="E7E6E6"/>
            <w:vAlign w:val="center"/>
            <w:hideMark/>
          </w:tcPr>
          <w:p w14:paraId="44B4C3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59,000</w:t>
            </w:r>
          </w:p>
        </w:tc>
        <w:tc>
          <w:tcPr>
            <w:tcW w:w="797" w:type="dxa"/>
            <w:tcBorders>
              <w:top w:val="nil"/>
              <w:left w:val="nil"/>
              <w:bottom w:val="single" w:sz="4" w:space="0" w:color="auto"/>
              <w:right w:val="single" w:sz="4" w:space="0" w:color="auto"/>
            </w:tcBorders>
            <w:shd w:val="clear" w:color="000000" w:fill="E7E6E6"/>
            <w:vAlign w:val="center"/>
            <w:hideMark/>
          </w:tcPr>
          <w:p w14:paraId="65BED1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350,000</w:t>
            </w:r>
          </w:p>
        </w:tc>
        <w:tc>
          <w:tcPr>
            <w:tcW w:w="797" w:type="dxa"/>
            <w:tcBorders>
              <w:top w:val="nil"/>
              <w:left w:val="nil"/>
              <w:bottom w:val="single" w:sz="4" w:space="0" w:color="auto"/>
              <w:right w:val="single" w:sz="4" w:space="0" w:color="auto"/>
            </w:tcBorders>
            <w:shd w:val="clear" w:color="000000" w:fill="E7E6E6"/>
            <w:vAlign w:val="center"/>
            <w:hideMark/>
          </w:tcPr>
          <w:p w14:paraId="6484E1D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5 065,000</w:t>
            </w:r>
          </w:p>
        </w:tc>
        <w:tc>
          <w:tcPr>
            <w:tcW w:w="797" w:type="dxa"/>
            <w:tcBorders>
              <w:top w:val="nil"/>
              <w:left w:val="nil"/>
              <w:bottom w:val="single" w:sz="4" w:space="0" w:color="auto"/>
              <w:right w:val="single" w:sz="4" w:space="0" w:color="auto"/>
            </w:tcBorders>
            <w:shd w:val="clear" w:color="000000" w:fill="E7E6E6"/>
            <w:vAlign w:val="center"/>
            <w:hideMark/>
          </w:tcPr>
          <w:p w14:paraId="58DA0DC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E7E6E6"/>
            <w:vAlign w:val="center"/>
            <w:hideMark/>
          </w:tcPr>
          <w:p w14:paraId="404EE5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E7E6E6"/>
            <w:vAlign w:val="center"/>
            <w:hideMark/>
          </w:tcPr>
          <w:p w14:paraId="2DBFB7A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E7E6E6"/>
            <w:vAlign w:val="center"/>
            <w:hideMark/>
          </w:tcPr>
          <w:p w14:paraId="2EF565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4"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17344B5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124,127</w:t>
            </w:r>
          </w:p>
        </w:tc>
      </w:tr>
      <w:tr w:rsidR="0070459D" w:rsidRPr="0070459D" w14:paraId="32B98E57" w14:textId="77777777" w:rsidTr="00C42BB8">
        <w:trPr>
          <w:trHeight w:val="20"/>
        </w:trPr>
        <w:tc>
          <w:tcPr>
            <w:tcW w:w="503" w:type="dxa"/>
            <w:vMerge/>
            <w:tcBorders>
              <w:top w:val="nil"/>
              <w:left w:val="single" w:sz="4" w:space="0" w:color="auto"/>
              <w:bottom w:val="single" w:sz="4" w:space="0" w:color="000000"/>
              <w:right w:val="single" w:sz="4" w:space="0" w:color="auto"/>
            </w:tcBorders>
            <w:vAlign w:val="center"/>
            <w:hideMark/>
          </w:tcPr>
          <w:p w14:paraId="1AC3AF19" w14:textId="77777777" w:rsidR="0070459D" w:rsidRPr="0070459D" w:rsidRDefault="0070459D" w:rsidP="0070459D">
            <w:pPr>
              <w:rPr>
                <w:rFonts w:ascii="Arial" w:eastAsia="Times New Roman" w:hAnsi="Arial" w:cs="Arial"/>
                <w:color w:val="000000"/>
                <w:sz w:val="14"/>
                <w:szCs w:val="14"/>
                <w:lang w:val="cs-CZ" w:eastAsia="cs-CZ"/>
              </w:rPr>
            </w:pPr>
          </w:p>
        </w:tc>
        <w:tc>
          <w:tcPr>
            <w:tcW w:w="2396" w:type="dxa"/>
            <w:vMerge/>
            <w:tcBorders>
              <w:top w:val="nil"/>
              <w:left w:val="single" w:sz="4" w:space="0" w:color="auto"/>
              <w:bottom w:val="single" w:sz="4" w:space="0" w:color="000000"/>
              <w:right w:val="single" w:sz="4" w:space="0" w:color="auto"/>
            </w:tcBorders>
            <w:vAlign w:val="center"/>
            <w:hideMark/>
          </w:tcPr>
          <w:p w14:paraId="6021010F"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6D329861" w14:textId="77777777" w:rsidR="0070459D" w:rsidRPr="0070459D" w:rsidRDefault="0070459D" w:rsidP="0070459D">
            <w:pPr>
              <w:rPr>
                <w:rFonts w:ascii="Arial" w:eastAsia="Times New Roman" w:hAnsi="Arial" w:cs="Arial"/>
                <w:color w:val="000000"/>
                <w:sz w:val="14"/>
                <w:szCs w:val="14"/>
                <w:lang w:val="cs-CZ" w:eastAsia="cs-CZ"/>
              </w:rPr>
            </w:pPr>
          </w:p>
        </w:tc>
        <w:tc>
          <w:tcPr>
            <w:tcW w:w="1160" w:type="dxa"/>
            <w:vMerge/>
            <w:tcBorders>
              <w:top w:val="nil"/>
              <w:left w:val="single" w:sz="4" w:space="0" w:color="auto"/>
              <w:bottom w:val="single" w:sz="4" w:space="0" w:color="000000"/>
              <w:right w:val="single" w:sz="4" w:space="0" w:color="auto"/>
            </w:tcBorders>
            <w:vAlign w:val="center"/>
            <w:hideMark/>
          </w:tcPr>
          <w:p w14:paraId="490CABB6" w14:textId="77777777" w:rsidR="0070459D" w:rsidRPr="0070459D" w:rsidRDefault="0070459D" w:rsidP="0070459D">
            <w:pPr>
              <w:rPr>
                <w:rFonts w:ascii="Arial" w:eastAsia="Times New Roman" w:hAnsi="Arial" w:cs="Arial"/>
                <w:color w:val="000000"/>
                <w:sz w:val="14"/>
                <w:szCs w:val="14"/>
                <w:lang w:val="cs-CZ" w:eastAsia="cs-CZ"/>
              </w:rPr>
            </w:pPr>
          </w:p>
        </w:tc>
        <w:tc>
          <w:tcPr>
            <w:tcW w:w="792" w:type="dxa"/>
            <w:vMerge/>
            <w:tcBorders>
              <w:top w:val="nil"/>
              <w:left w:val="single" w:sz="4" w:space="0" w:color="auto"/>
              <w:bottom w:val="single" w:sz="4" w:space="0" w:color="000000"/>
              <w:right w:val="single" w:sz="4" w:space="0" w:color="auto"/>
            </w:tcBorders>
            <w:vAlign w:val="center"/>
            <w:hideMark/>
          </w:tcPr>
          <w:p w14:paraId="0624434E" w14:textId="77777777" w:rsidR="0070459D" w:rsidRPr="0070459D" w:rsidRDefault="0070459D" w:rsidP="0070459D">
            <w:pPr>
              <w:rPr>
                <w:rFonts w:ascii="Arial" w:eastAsia="Times New Roman" w:hAnsi="Arial" w:cs="Arial"/>
                <w:color w:val="000000"/>
                <w:sz w:val="14"/>
                <w:szCs w:val="14"/>
                <w:lang w:val="cs-CZ" w:eastAsia="cs-CZ"/>
              </w:rPr>
            </w:pPr>
          </w:p>
        </w:tc>
        <w:tc>
          <w:tcPr>
            <w:tcW w:w="939" w:type="dxa"/>
            <w:vMerge/>
            <w:tcBorders>
              <w:top w:val="nil"/>
              <w:left w:val="single" w:sz="4" w:space="0" w:color="auto"/>
              <w:bottom w:val="single" w:sz="4" w:space="0" w:color="000000"/>
              <w:right w:val="single" w:sz="4" w:space="0" w:color="auto"/>
            </w:tcBorders>
            <w:vAlign w:val="center"/>
            <w:hideMark/>
          </w:tcPr>
          <w:p w14:paraId="3836C72D" w14:textId="77777777" w:rsidR="0070459D" w:rsidRPr="0070459D" w:rsidRDefault="0070459D" w:rsidP="0070459D">
            <w:pPr>
              <w:rPr>
                <w:rFonts w:ascii="Arial" w:eastAsia="Times New Roman" w:hAnsi="Arial" w:cs="Arial"/>
                <w:color w:val="000000"/>
                <w:sz w:val="14"/>
                <w:szCs w:val="14"/>
                <w:lang w:val="cs-CZ" w:eastAsia="cs-CZ"/>
              </w:rPr>
            </w:pPr>
          </w:p>
        </w:tc>
        <w:tc>
          <w:tcPr>
            <w:tcW w:w="816" w:type="dxa"/>
            <w:vMerge/>
            <w:tcBorders>
              <w:top w:val="nil"/>
              <w:left w:val="single" w:sz="4" w:space="0" w:color="auto"/>
              <w:bottom w:val="single" w:sz="4" w:space="0" w:color="000000"/>
              <w:right w:val="single" w:sz="4" w:space="0" w:color="auto"/>
            </w:tcBorders>
            <w:vAlign w:val="center"/>
            <w:hideMark/>
          </w:tcPr>
          <w:p w14:paraId="2883D9E6" w14:textId="77777777" w:rsidR="0070459D" w:rsidRPr="0070459D" w:rsidRDefault="0070459D" w:rsidP="0070459D">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000000" w:fill="FFFFFF"/>
            <w:vAlign w:val="center"/>
            <w:hideMark/>
          </w:tcPr>
          <w:p w14:paraId="654B0A2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0AD1131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11D7526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0C80C7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436420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732E24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4C45DDE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2F5DD6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3E01B8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6302ECC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4" w:type="dxa"/>
            <w:gridSpan w:val="2"/>
            <w:vMerge/>
            <w:tcBorders>
              <w:top w:val="nil"/>
              <w:left w:val="single" w:sz="4" w:space="0" w:color="auto"/>
              <w:bottom w:val="single" w:sz="4" w:space="0" w:color="000000"/>
              <w:right w:val="single" w:sz="4" w:space="0" w:color="auto"/>
            </w:tcBorders>
            <w:vAlign w:val="center"/>
            <w:hideMark/>
          </w:tcPr>
          <w:p w14:paraId="0241D5F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41B2A24" w14:textId="77777777" w:rsidTr="00C42BB8">
        <w:trPr>
          <w:trHeight w:val="20"/>
        </w:trPr>
        <w:tc>
          <w:tcPr>
            <w:tcW w:w="503" w:type="dxa"/>
            <w:vMerge/>
            <w:tcBorders>
              <w:top w:val="nil"/>
              <w:left w:val="single" w:sz="4" w:space="0" w:color="auto"/>
              <w:bottom w:val="single" w:sz="4" w:space="0" w:color="000000"/>
              <w:right w:val="single" w:sz="4" w:space="0" w:color="auto"/>
            </w:tcBorders>
            <w:vAlign w:val="center"/>
            <w:hideMark/>
          </w:tcPr>
          <w:p w14:paraId="139668E4" w14:textId="77777777" w:rsidR="0070459D" w:rsidRPr="0070459D" w:rsidRDefault="0070459D" w:rsidP="0070459D">
            <w:pPr>
              <w:rPr>
                <w:rFonts w:ascii="Arial" w:eastAsia="Times New Roman" w:hAnsi="Arial" w:cs="Arial"/>
                <w:color w:val="000000"/>
                <w:sz w:val="14"/>
                <w:szCs w:val="14"/>
                <w:lang w:val="cs-CZ" w:eastAsia="cs-CZ"/>
              </w:rPr>
            </w:pPr>
          </w:p>
        </w:tc>
        <w:tc>
          <w:tcPr>
            <w:tcW w:w="2396" w:type="dxa"/>
            <w:vMerge/>
            <w:tcBorders>
              <w:top w:val="nil"/>
              <w:left w:val="single" w:sz="4" w:space="0" w:color="auto"/>
              <w:bottom w:val="single" w:sz="4" w:space="0" w:color="000000"/>
              <w:right w:val="single" w:sz="4" w:space="0" w:color="auto"/>
            </w:tcBorders>
            <w:vAlign w:val="center"/>
            <w:hideMark/>
          </w:tcPr>
          <w:p w14:paraId="0C42AFAC"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755A1FD7" w14:textId="77777777" w:rsidR="0070459D" w:rsidRPr="0070459D" w:rsidRDefault="0070459D" w:rsidP="0070459D">
            <w:pPr>
              <w:rPr>
                <w:rFonts w:ascii="Arial" w:eastAsia="Times New Roman" w:hAnsi="Arial" w:cs="Arial"/>
                <w:color w:val="000000"/>
                <w:sz w:val="14"/>
                <w:szCs w:val="14"/>
                <w:lang w:val="cs-CZ" w:eastAsia="cs-CZ"/>
              </w:rPr>
            </w:pPr>
          </w:p>
        </w:tc>
        <w:tc>
          <w:tcPr>
            <w:tcW w:w="1160" w:type="dxa"/>
            <w:vMerge/>
            <w:tcBorders>
              <w:top w:val="nil"/>
              <w:left w:val="single" w:sz="4" w:space="0" w:color="auto"/>
              <w:bottom w:val="single" w:sz="4" w:space="0" w:color="000000"/>
              <w:right w:val="single" w:sz="4" w:space="0" w:color="auto"/>
            </w:tcBorders>
            <w:vAlign w:val="center"/>
            <w:hideMark/>
          </w:tcPr>
          <w:p w14:paraId="1D846A74" w14:textId="77777777" w:rsidR="0070459D" w:rsidRPr="0070459D" w:rsidRDefault="0070459D" w:rsidP="0070459D">
            <w:pPr>
              <w:rPr>
                <w:rFonts w:ascii="Arial" w:eastAsia="Times New Roman" w:hAnsi="Arial" w:cs="Arial"/>
                <w:color w:val="000000"/>
                <w:sz w:val="14"/>
                <w:szCs w:val="14"/>
                <w:lang w:val="cs-CZ" w:eastAsia="cs-CZ"/>
              </w:rPr>
            </w:pPr>
          </w:p>
        </w:tc>
        <w:tc>
          <w:tcPr>
            <w:tcW w:w="792" w:type="dxa"/>
            <w:vMerge/>
            <w:tcBorders>
              <w:top w:val="nil"/>
              <w:left w:val="single" w:sz="4" w:space="0" w:color="auto"/>
              <w:bottom w:val="single" w:sz="4" w:space="0" w:color="000000"/>
              <w:right w:val="single" w:sz="4" w:space="0" w:color="auto"/>
            </w:tcBorders>
            <w:vAlign w:val="center"/>
            <w:hideMark/>
          </w:tcPr>
          <w:p w14:paraId="7BF4949E" w14:textId="77777777" w:rsidR="0070459D" w:rsidRPr="0070459D" w:rsidRDefault="0070459D" w:rsidP="0070459D">
            <w:pPr>
              <w:rPr>
                <w:rFonts w:ascii="Arial" w:eastAsia="Times New Roman" w:hAnsi="Arial" w:cs="Arial"/>
                <w:color w:val="000000"/>
                <w:sz w:val="14"/>
                <w:szCs w:val="14"/>
                <w:lang w:val="cs-CZ" w:eastAsia="cs-CZ"/>
              </w:rPr>
            </w:pPr>
          </w:p>
        </w:tc>
        <w:tc>
          <w:tcPr>
            <w:tcW w:w="939" w:type="dxa"/>
            <w:vMerge/>
            <w:tcBorders>
              <w:top w:val="nil"/>
              <w:left w:val="single" w:sz="4" w:space="0" w:color="auto"/>
              <w:bottom w:val="single" w:sz="4" w:space="0" w:color="000000"/>
              <w:right w:val="single" w:sz="4" w:space="0" w:color="auto"/>
            </w:tcBorders>
            <w:vAlign w:val="center"/>
            <w:hideMark/>
          </w:tcPr>
          <w:p w14:paraId="70F65F3E" w14:textId="77777777" w:rsidR="0070459D" w:rsidRPr="0070459D" w:rsidRDefault="0070459D" w:rsidP="0070459D">
            <w:pPr>
              <w:rPr>
                <w:rFonts w:ascii="Arial" w:eastAsia="Times New Roman" w:hAnsi="Arial" w:cs="Arial"/>
                <w:color w:val="000000"/>
                <w:sz w:val="14"/>
                <w:szCs w:val="14"/>
                <w:lang w:val="cs-CZ" w:eastAsia="cs-CZ"/>
              </w:rPr>
            </w:pPr>
          </w:p>
        </w:tc>
        <w:tc>
          <w:tcPr>
            <w:tcW w:w="816" w:type="dxa"/>
            <w:vMerge/>
            <w:tcBorders>
              <w:top w:val="nil"/>
              <w:left w:val="single" w:sz="4" w:space="0" w:color="auto"/>
              <w:bottom w:val="single" w:sz="4" w:space="0" w:color="000000"/>
              <w:right w:val="single" w:sz="4" w:space="0" w:color="auto"/>
            </w:tcBorders>
            <w:vAlign w:val="center"/>
            <w:hideMark/>
          </w:tcPr>
          <w:p w14:paraId="36B0B274" w14:textId="77777777" w:rsidR="0070459D" w:rsidRPr="0070459D" w:rsidRDefault="0070459D" w:rsidP="0070459D">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000000" w:fill="FFFFFF"/>
            <w:vAlign w:val="center"/>
            <w:hideMark/>
          </w:tcPr>
          <w:p w14:paraId="33BAD96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2232B5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0E6CF0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044C2F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79C4B79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0AC54A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4DB853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3379C4A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617A35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FFFFFF"/>
            <w:vAlign w:val="center"/>
            <w:hideMark/>
          </w:tcPr>
          <w:p w14:paraId="285118C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4" w:type="dxa"/>
            <w:gridSpan w:val="2"/>
            <w:vMerge/>
            <w:tcBorders>
              <w:top w:val="nil"/>
              <w:left w:val="single" w:sz="4" w:space="0" w:color="auto"/>
              <w:bottom w:val="single" w:sz="4" w:space="0" w:color="000000"/>
              <w:right w:val="single" w:sz="4" w:space="0" w:color="auto"/>
            </w:tcBorders>
            <w:vAlign w:val="center"/>
            <w:hideMark/>
          </w:tcPr>
          <w:p w14:paraId="4A30257E"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4E1887F" w14:textId="77777777" w:rsidTr="00C42BB8">
        <w:trPr>
          <w:trHeight w:val="20"/>
        </w:trPr>
        <w:tc>
          <w:tcPr>
            <w:tcW w:w="503" w:type="dxa"/>
            <w:vMerge/>
            <w:tcBorders>
              <w:top w:val="nil"/>
              <w:left w:val="single" w:sz="4" w:space="0" w:color="auto"/>
              <w:bottom w:val="single" w:sz="4" w:space="0" w:color="000000"/>
              <w:right w:val="single" w:sz="4" w:space="0" w:color="auto"/>
            </w:tcBorders>
            <w:vAlign w:val="center"/>
            <w:hideMark/>
          </w:tcPr>
          <w:p w14:paraId="112C78FA" w14:textId="77777777" w:rsidR="0070459D" w:rsidRPr="0070459D" w:rsidRDefault="0070459D" w:rsidP="0070459D">
            <w:pPr>
              <w:rPr>
                <w:rFonts w:ascii="Arial" w:eastAsia="Times New Roman" w:hAnsi="Arial" w:cs="Arial"/>
                <w:color w:val="000000"/>
                <w:sz w:val="14"/>
                <w:szCs w:val="14"/>
                <w:lang w:val="cs-CZ" w:eastAsia="cs-CZ"/>
              </w:rPr>
            </w:pPr>
          </w:p>
        </w:tc>
        <w:tc>
          <w:tcPr>
            <w:tcW w:w="2396" w:type="dxa"/>
            <w:vMerge/>
            <w:tcBorders>
              <w:top w:val="nil"/>
              <w:left w:val="single" w:sz="4" w:space="0" w:color="auto"/>
              <w:bottom w:val="single" w:sz="4" w:space="0" w:color="000000"/>
              <w:right w:val="single" w:sz="4" w:space="0" w:color="auto"/>
            </w:tcBorders>
            <w:vAlign w:val="center"/>
            <w:hideMark/>
          </w:tcPr>
          <w:p w14:paraId="7229D6C0"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4A206BFA" w14:textId="77777777" w:rsidR="0070459D" w:rsidRPr="0070459D" w:rsidRDefault="0070459D" w:rsidP="0070459D">
            <w:pPr>
              <w:rPr>
                <w:rFonts w:ascii="Arial" w:eastAsia="Times New Roman" w:hAnsi="Arial" w:cs="Arial"/>
                <w:color w:val="000000"/>
                <w:sz w:val="14"/>
                <w:szCs w:val="14"/>
                <w:lang w:val="cs-CZ" w:eastAsia="cs-CZ"/>
              </w:rPr>
            </w:pPr>
          </w:p>
        </w:tc>
        <w:tc>
          <w:tcPr>
            <w:tcW w:w="1160" w:type="dxa"/>
            <w:vMerge/>
            <w:tcBorders>
              <w:top w:val="nil"/>
              <w:left w:val="single" w:sz="4" w:space="0" w:color="auto"/>
              <w:bottom w:val="single" w:sz="4" w:space="0" w:color="000000"/>
              <w:right w:val="single" w:sz="4" w:space="0" w:color="auto"/>
            </w:tcBorders>
            <w:vAlign w:val="center"/>
            <w:hideMark/>
          </w:tcPr>
          <w:p w14:paraId="58DB22C5" w14:textId="77777777" w:rsidR="0070459D" w:rsidRPr="0070459D" w:rsidRDefault="0070459D" w:rsidP="0070459D">
            <w:pPr>
              <w:rPr>
                <w:rFonts w:ascii="Arial" w:eastAsia="Times New Roman" w:hAnsi="Arial" w:cs="Arial"/>
                <w:color w:val="000000"/>
                <w:sz w:val="14"/>
                <w:szCs w:val="14"/>
                <w:lang w:val="cs-CZ" w:eastAsia="cs-CZ"/>
              </w:rPr>
            </w:pPr>
          </w:p>
        </w:tc>
        <w:tc>
          <w:tcPr>
            <w:tcW w:w="792" w:type="dxa"/>
            <w:vMerge/>
            <w:tcBorders>
              <w:top w:val="nil"/>
              <w:left w:val="single" w:sz="4" w:space="0" w:color="auto"/>
              <w:bottom w:val="single" w:sz="4" w:space="0" w:color="000000"/>
              <w:right w:val="single" w:sz="4" w:space="0" w:color="auto"/>
            </w:tcBorders>
            <w:vAlign w:val="center"/>
            <w:hideMark/>
          </w:tcPr>
          <w:p w14:paraId="69D1CE4F" w14:textId="77777777" w:rsidR="0070459D" w:rsidRPr="0070459D" w:rsidRDefault="0070459D" w:rsidP="0070459D">
            <w:pPr>
              <w:rPr>
                <w:rFonts w:ascii="Arial" w:eastAsia="Times New Roman" w:hAnsi="Arial" w:cs="Arial"/>
                <w:color w:val="000000"/>
                <w:sz w:val="14"/>
                <w:szCs w:val="14"/>
                <w:lang w:val="cs-CZ" w:eastAsia="cs-CZ"/>
              </w:rPr>
            </w:pPr>
          </w:p>
        </w:tc>
        <w:tc>
          <w:tcPr>
            <w:tcW w:w="939" w:type="dxa"/>
            <w:vMerge/>
            <w:tcBorders>
              <w:top w:val="nil"/>
              <w:left w:val="single" w:sz="4" w:space="0" w:color="auto"/>
              <w:bottom w:val="single" w:sz="4" w:space="0" w:color="000000"/>
              <w:right w:val="single" w:sz="4" w:space="0" w:color="auto"/>
            </w:tcBorders>
            <w:vAlign w:val="center"/>
            <w:hideMark/>
          </w:tcPr>
          <w:p w14:paraId="30E4985F" w14:textId="77777777" w:rsidR="0070459D" w:rsidRPr="0070459D" w:rsidRDefault="0070459D" w:rsidP="0070459D">
            <w:pPr>
              <w:rPr>
                <w:rFonts w:ascii="Arial" w:eastAsia="Times New Roman" w:hAnsi="Arial" w:cs="Arial"/>
                <w:color w:val="000000"/>
                <w:sz w:val="14"/>
                <w:szCs w:val="14"/>
                <w:lang w:val="cs-CZ" w:eastAsia="cs-CZ"/>
              </w:rPr>
            </w:pPr>
          </w:p>
        </w:tc>
        <w:tc>
          <w:tcPr>
            <w:tcW w:w="816" w:type="dxa"/>
            <w:vMerge/>
            <w:tcBorders>
              <w:top w:val="nil"/>
              <w:left w:val="single" w:sz="4" w:space="0" w:color="auto"/>
              <w:bottom w:val="single" w:sz="4" w:space="0" w:color="000000"/>
              <w:right w:val="single" w:sz="4" w:space="0" w:color="auto"/>
            </w:tcBorders>
            <w:vAlign w:val="center"/>
            <w:hideMark/>
          </w:tcPr>
          <w:p w14:paraId="4CB64F06" w14:textId="77777777" w:rsidR="0070459D" w:rsidRPr="0070459D" w:rsidRDefault="0070459D" w:rsidP="0070459D">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000000" w:fill="E7E6E6"/>
            <w:vAlign w:val="center"/>
            <w:hideMark/>
          </w:tcPr>
          <w:p w14:paraId="090283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7" w:type="dxa"/>
            <w:tcBorders>
              <w:top w:val="nil"/>
              <w:left w:val="nil"/>
              <w:bottom w:val="single" w:sz="4" w:space="0" w:color="auto"/>
              <w:right w:val="single" w:sz="4" w:space="0" w:color="auto"/>
            </w:tcBorders>
            <w:shd w:val="clear" w:color="000000" w:fill="E7E6E6"/>
            <w:vAlign w:val="center"/>
            <w:hideMark/>
          </w:tcPr>
          <w:p w14:paraId="40703C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7" w:type="dxa"/>
            <w:tcBorders>
              <w:top w:val="nil"/>
              <w:left w:val="nil"/>
              <w:bottom w:val="single" w:sz="4" w:space="0" w:color="auto"/>
              <w:right w:val="single" w:sz="4" w:space="0" w:color="auto"/>
            </w:tcBorders>
            <w:shd w:val="clear" w:color="000000" w:fill="E7E6E6"/>
            <w:vAlign w:val="center"/>
            <w:hideMark/>
          </w:tcPr>
          <w:p w14:paraId="2CCFE5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797" w:type="dxa"/>
            <w:tcBorders>
              <w:top w:val="nil"/>
              <w:left w:val="nil"/>
              <w:bottom w:val="single" w:sz="4" w:space="0" w:color="auto"/>
              <w:right w:val="single" w:sz="4" w:space="0" w:color="auto"/>
            </w:tcBorders>
            <w:shd w:val="clear" w:color="000000" w:fill="E7E6E6"/>
            <w:vAlign w:val="center"/>
            <w:hideMark/>
          </w:tcPr>
          <w:p w14:paraId="3E980E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59,000</w:t>
            </w:r>
          </w:p>
        </w:tc>
        <w:tc>
          <w:tcPr>
            <w:tcW w:w="797" w:type="dxa"/>
            <w:tcBorders>
              <w:top w:val="nil"/>
              <w:left w:val="nil"/>
              <w:bottom w:val="single" w:sz="4" w:space="0" w:color="auto"/>
              <w:right w:val="single" w:sz="4" w:space="0" w:color="auto"/>
            </w:tcBorders>
            <w:shd w:val="clear" w:color="000000" w:fill="E7E6E6"/>
            <w:vAlign w:val="center"/>
            <w:hideMark/>
          </w:tcPr>
          <w:p w14:paraId="6A70F07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409,000</w:t>
            </w:r>
          </w:p>
        </w:tc>
        <w:tc>
          <w:tcPr>
            <w:tcW w:w="797" w:type="dxa"/>
            <w:tcBorders>
              <w:top w:val="nil"/>
              <w:left w:val="nil"/>
              <w:bottom w:val="single" w:sz="4" w:space="0" w:color="auto"/>
              <w:right w:val="single" w:sz="4" w:space="0" w:color="auto"/>
            </w:tcBorders>
            <w:shd w:val="clear" w:color="000000" w:fill="E7E6E6"/>
            <w:vAlign w:val="center"/>
            <w:hideMark/>
          </w:tcPr>
          <w:p w14:paraId="09C690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5 474,000</w:t>
            </w:r>
          </w:p>
        </w:tc>
        <w:tc>
          <w:tcPr>
            <w:tcW w:w="797" w:type="dxa"/>
            <w:tcBorders>
              <w:top w:val="nil"/>
              <w:left w:val="nil"/>
              <w:bottom w:val="single" w:sz="4" w:space="0" w:color="auto"/>
              <w:right w:val="single" w:sz="4" w:space="0" w:color="auto"/>
            </w:tcBorders>
            <w:shd w:val="clear" w:color="000000" w:fill="E7E6E6"/>
            <w:vAlign w:val="center"/>
            <w:hideMark/>
          </w:tcPr>
          <w:p w14:paraId="219F75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E7E6E6"/>
            <w:vAlign w:val="center"/>
            <w:hideMark/>
          </w:tcPr>
          <w:p w14:paraId="7D5C0F3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E7E6E6"/>
            <w:vAlign w:val="center"/>
            <w:hideMark/>
          </w:tcPr>
          <w:p w14:paraId="4FC036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000000" w:fill="E7E6E6"/>
            <w:vAlign w:val="center"/>
            <w:hideMark/>
          </w:tcPr>
          <w:p w14:paraId="1C06FCE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4" w:type="dxa"/>
            <w:gridSpan w:val="2"/>
            <w:vMerge/>
            <w:tcBorders>
              <w:top w:val="nil"/>
              <w:left w:val="single" w:sz="4" w:space="0" w:color="auto"/>
              <w:bottom w:val="single" w:sz="4" w:space="0" w:color="000000"/>
              <w:right w:val="single" w:sz="4" w:space="0" w:color="auto"/>
            </w:tcBorders>
            <w:vAlign w:val="center"/>
            <w:hideMark/>
          </w:tcPr>
          <w:p w14:paraId="53203015"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902FF51" w14:textId="77777777" w:rsidTr="00C42BB8">
        <w:trPr>
          <w:trHeight w:val="20"/>
        </w:trPr>
        <w:tc>
          <w:tcPr>
            <w:tcW w:w="503" w:type="dxa"/>
            <w:vMerge/>
            <w:tcBorders>
              <w:top w:val="nil"/>
              <w:left w:val="single" w:sz="4" w:space="0" w:color="auto"/>
              <w:bottom w:val="single" w:sz="4" w:space="0" w:color="000000"/>
              <w:right w:val="single" w:sz="4" w:space="0" w:color="auto"/>
            </w:tcBorders>
            <w:vAlign w:val="center"/>
            <w:hideMark/>
          </w:tcPr>
          <w:p w14:paraId="2B3E3513" w14:textId="77777777" w:rsidR="0070459D" w:rsidRPr="0070459D" w:rsidRDefault="0070459D" w:rsidP="0070459D">
            <w:pPr>
              <w:rPr>
                <w:rFonts w:ascii="Arial" w:eastAsia="Times New Roman" w:hAnsi="Arial" w:cs="Arial"/>
                <w:color w:val="000000"/>
                <w:sz w:val="14"/>
                <w:szCs w:val="14"/>
                <w:lang w:val="cs-CZ" w:eastAsia="cs-CZ"/>
              </w:rPr>
            </w:pPr>
          </w:p>
        </w:tc>
        <w:tc>
          <w:tcPr>
            <w:tcW w:w="2396" w:type="dxa"/>
            <w:vMerge/>
            <w:tcBorders>
              <w:top w:val="nil"/>
              <w:left w:val="single" w:sz="4" w:space="0" w:color="auto"/>
              <w:bottom w:val="single" w:sz="4" w:space="0" w:color="000000"/>
              <w:right w:val="single" w:sz="4" w:space="0" w:color="auto"/>
            </w:tcBorders>
            <w:vAlign w:val="center"/>
            <w:hideMark/>
          </w:tcPr>
          <w:p w14:paraId="0C86D194"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2B22CCAB" w14:textId="77777777" w:rsidR="0070459D" w:rsidRPr="0070459D" w:rsidRDefault="0070459D" w:rsidP="0070459D">
            <w:pPr>
              <w:rPr>
                <w:rFonts w:ascii="Arial" w:eastAsia="Times New Roman" w:hAnsi="Arial" w:cs="Arial"/>
                <w:color w:val="000000"/>
                <w:sz w:val="14"/>
                <w:szCs w:val="14"/>
                <w:lang w:val="cs-CZ" w:eastAsia="cs-CZ"/>
              </w:rPr>
            </w:pPr>
          </w:p>
        </w:tc>
        <w:tc>
          <w:tcPr>
            <w:tcW w:w="1160" w:type="dxa"/>
            <w:vMerge/>
            <w:tcBorders>
              <w:top w:val="nil"/>
              <w:left w:val="single" w:sz="4" w:space="0" w:color="auto"/>
              <w:bottom w:val="single" w:sz="4" w:space="0" w:color="000000"/>
              <w:right w:val="single" w:sz="4" w:space="0" w:color="auto"/>
            </w:tcBorders>
            <w:vAlign w:val="center"/>
            <w:hideMark/>
          </w:tcPr>
          <w:p w14:paraId="711294E9" w14:textId="77777777" w:rsidR="0070459D" w:rsidRPr="0070459D" w:rsidRDefault="0070459D" w:rsidP="0070459D">
            <w:pPr>
              <w:rPr>
                <w:rFonts w:ascii="Arial" w:eastAsia="Times New Roman" w:hAnsi="Arial" w:cs="Arial"/>
                <w:color w:val="000000"/>
                <w:sz w:val="14"/>
                <w:szCs w:val="14"/>
                <w:lang w:val="cs-CZ" w:eastAsia="cs-CZ"/>
              </w:rPr>
            </w:pPr>
          </w:p>
        </w:tc>
        <w:tc>
          <w:tcPr>
            <w:tcW w:w="792" w:type="dxa"/>
            <w:vMerge/>
            <w:tcBorders>
              <w:top w:val="nil"/>
              <w:left w:val="single" w:sz="4" w:space="0" w:color="auto"/>
              <w:bottom w:val="single" w:sz="4" w:space="0" w:color="000000"/>
              <w:right w:val="single" w:sz="4" w:space="0" w:color="auto"/>
            </w:tcBorders>
            <w:vAlign w:val="center"/>
            <w:hideMark/>
          </w:tcPr>
          <w:p w14:paraId="70E791D9" w14:textId="77777777" w:rsidR="0070459D" w:rsidRPr="0070459D" w:rsidRDefault="0070459D" w:rsidP="0070459D">
            <w:pPr>
              <w:rPr>
                <w:rFonts w:ascii="Arial" w:eastAsia="Times New Roman" w:hAnsi="Arial" w:cs="Arial"/>
                <w:color w:val="000000"/>
                <w:sz w:val="14"/>
                <w:szCs w:val="14"/>
                <w:lang w:val="cs-CZ" w:eastAsia="cs-CZ"/>
              </w:rPr>
            </w:pPr>
          </w:p>
        </w:tc>
        <w:tc>
          <w:tcPr>
            <w:tcW w:w="939" w:type="dxa"/>
            <w:vMerge/>
            <w:tcBorders>
              <w:top w:val="nil"/>
              <w:left w:val="single" w:sz="4" w:space="0" w:color="auto"/>
              <w:bottom w:val="single" w:sz="4" w:space="0" w:color="000000"/>
              <w:right w:val="single" w:sz="4" w:space="0" w:color="auto"/>
            </w:tcBorders>
            <w:vAlign w:val="center"/>
            <w:hideMark/>
          </w:tcPr>
          <w:p w14:paraId="7ED31E8D" w14:textId="77777777" w:rsidR="0070459D" w:rsidRPr="0070459D" w:rsidRDefault="0070459D" w:rsidP="0070459D">
            <w:pPr>
              <w:rPr>
                <w:rFonts w:ascii="Arial" w:eastAsia="Times New Roman" w:hAnsi="Arial" w:cs="Arial"/>
                <w:color w:val="000000"/>
                <w:sz w:val="14"/>
                <w:szCs w:val="14"/>
                <w:lang w:val="cs-CZ" w:eastAsia="cs-CZ"/>
              </w:rPr>
            </w:pPr>
          </w:p>
        </w:tc>
        <w:tc>
          <w:tcPr>
            <w:tcW w:w="816" w:type="dxa"/>
            <w:tcBorders>
              <w:top w:val="nil"/>
              <w:left w:val="nil"/>
              <w:bottom w:val="single" w:sz="4" w:space="0" w:color="auto"/>
              <w:right w:val="single" w:sz="4" w:space="0" w:color="auto"/>
            </w:tcBorders>
            <w:shd w:val="clear" w:color="auto" w:fill="auto"/>
            <w:noWrap/>
            <w:vAlign w:val="bottom"/>
            <w:hideMark/>
          </w:tcPr>
          <w:p w14:paraId="0447F6A5"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57CDCF5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0D9712D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77B9C53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2CCF173C"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1FBB2D3E"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6AC3723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6700DDB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2747023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6A2BA83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27E0B8A5"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14" w:type="dxa"/>
            <w:gridSpan w:val="2"/>
            <w:tcBorders>
              <w:top w:val="nil"/>
              <w:left w:val="nil"/>
              <w:bottom w:val="single" w:sz="4" w:space="0" w:color="auto"/>
              <w:right w:val="single" w:sz="4" w:space="0" w:color="auto"/>
            </w:tcBorders>
            <w:shd w:val="clear" w:color="auto" w:fill="auto"/>
            <w:noWrap/>
            <w:vAlign w:val="bottom"/>
            <w:hideMark/>
          </w:tcPr>
          <w:p w14:paraId="73185F0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r w:rsidR="0070459D" w:rsidRPr="0070459D" w14:paraId="4BC9C999" w14:textId="77777777" w:rsidTr="00C42BB8">
        <w:trPr>
          <w:trHeight w:val="20"/>
        </w:trPr>
        <w:tc>
          <w:tcPr>
            <w:tcW w:w="503" w:type="dxa"/>
            <w:vMerge/>
            <w:tcBorders>
              <w:top w:val="nil"/>
              <w:left w:val="single" w:sz="4" w:space="0" w:color="auto"/>
              <w:bottom w:val="single" w:sz="4" w:space="0" w:color="000000"/>
              <w:right w:val="single" w:sz="4" w:space="0" w:color="auto"/>
            </w:tcBorders>
            <w:vAlign w:val="center"/>
            <w:hideMark/>
          </w:tcPr>
          <w:p w14:paraId="5309837E" w14:textId="77777777" w:rsidR="0070459D" w:rsidRPr="0070459D" w:rsidRDefault="0070459D" w:rsidP="0070459D">
            <w:pPr>
              <w:rPr>
                <w:rFonts w:ascii="Arial" w:eastAsia="Times New Roman" w:hAnsi="Arial" w:cs="Arial"/>
                <w:color w:val="000000"/>
                <w:sz w:val="14"/>
                <w:szCs w:val="14"/>
                <w:lang w:val="cs-CZ" w:eastAsia="cs-CZ"/>
              </w:rPr>
            </w:pPr>
          </w:p>
        </w:tc>
        <w:tc>
          <w:tcPr>
            <w:tcW w:w="2396" w:type="dxa"/>
            <w:vMerge/>
            <w:tcBorders>
              <w:top w:val="nil"/>
              <w:left w:val="single" w:sz="4" w:space="0" w:color="auto"/>
              <w:bottom w:val="single" w:sz="4" w:space="0" w:color="000000"/>
              <w:right w:val="single" w:sz="4" w:space="0" w:color="auto"/>
            </w:tcBorders>
            <w:vAlign w:val="center"/>
            <w:hideMark/>
          </w:tcPr>
          <w:p w14:paraId="2F06540A" w14:textId="77777777" w:rsidR="0070459D" w:rsidRPr="0070459D" w:rsidRDefault="0070459D" w:rsidP="0070459D">
            <w:pPr>
              <w:rPr>
                <w:rFonts w:ascii="Arial" w:eastAsia="Times New Roman" w:hAnsi="Arial" w:cs="Arial"/>
                <w:color w:val="000000"/>
                <w:sz w:val="14"/>
                <w:szCs w:val="14"/>
                <w:lang w:val="cs-CZ" w:eastAsia="cs-CZ"/>
              </w:rPr>
            </w:pPr>
          </w:p>
        </w:tc>
        <w:tc>
          <w:tcPr>
            <w:tcW w:w="489" w:type="dxa"/>
            <w:vMerge/>
            <w:tcBorders>
              <w:top w:val="nil"/>
              <w:left w:val="single" w:sz="4" w:space="0" w:color="auto"/>
              <w:bottom w:val="single" w:sz="4" w:space="0" w:color="000000"/>
              <w:right w:val="single" w:sz="4" w:space="0" w:color="auto"/>
            </w:tcBorders>
            <w:vAlign w:val="center"/>
            <w:hideMark/>
          </w:tcPr>
          <w:p w14:paraId="20D2C041" w14:textId="77777777" w:rsidR="0070459D" w:rsidRPr="0070459D" w:rsidRDefault="0070459D" w:rsidP="0070459D">
            <w:pPr>
              <w:rPr>
                <w:rFonts w:ascii="Arial" w:eastAsia="Times New Roman" w:hAnsi="Arial" w:cs="Arial"/>
                <w:color w:val="000000"/>
                <w:sz w:val="14"/>
                <w:szCs w:val="14"/>
                <w:lang w:val="cs-CZ" w:eastAsia="cs-CZ"/>
              </w:rPr>
            </w:pPr>
          </w:p>
        </w:tc>
        <w:tc>
          <w:tcPr>
            <w:tcW w:w="1160" w:type="dxa"/>
            <w:vMerge/>
            <w:tcBorders>
              <w:top w:val="nil"/>
              <w:left w:val="single" w:sz="4" w:space="0" w:color="auto"/>
              <w:bottom w:val="single" w:sz="4" w:space="0" w:color="000000"/>
              <w:right w:val="single" w:sz="4" w:space="0" w:color="auto"/>
            </w:tcBorders>
            <w:vAlign w:val="center"/>
            <w:hideMark/>
          </w:tcPr>
          <w:p w14:paraId="50262F11" w14:textId="77777777" w:rsidR="0070459D" w:rsidRPr="0070459D" w:rsidRDefault="0070459D" w:rsidP="0070459D">
            <w:pPr>
              <w:rPr>
                <w:rFonts w:ascii="Arial" w:eastAsia="Times New Roman" w:hAnsi="Arial" w:cs="Arial"/>
                <w:color w:val="000000"/>
                <w:sz w:val="14"/>
                <w:szCs w:val="14"/>
                <w:lang w:val="cs-CZ" w:eastAsia="cs-CZ"/>
              </w:rPr>
            </w:pPr>
          </w:p>
        </w:tc>
        <w:tc>
          <w:tcPr>
            <w:tcW w:w="792" w:type="dxa"/>
            <w:vMerge/>
            <w:tcBorders>
              <w:top w:val="nil"/>
              <w:left w:val="single" w:sz="4" w:space="0" w:color="auto"/>
              <w:bottom w:val="single" w:sz="4" w:space="0" w:color="000000"/>
              <w:right w:val="single" w:sz="4" w:space="0" w:color="auto"/>
            </w:tcBorders>
            <w:vAlign w:val="center"/>
            <w:hideMark/>
          </w:tcPr>
          <w:p w14:paraId="63E87484" w14:textId="77777777" w:rsidR="0070459D" w:rsidRPr="0070459D" w:rsidRDefault="0070459D" w:rsidP="0070459D">
            <w:pPr>
              <w:rPr>
                <w:rFonts w:ascii="Arial" w:eastAsia="Times New Roman" w:hAnsi="Arial" w:cs="Arial"/>
                <w:color w:val="000000"/>
                <w:sz w:val="14"/>
                <w:szCs w:val="14"/>
                <w:lang w:val="cs-CZ" w:eastAsia="cs-CZ"/>
              </w:rPr>
            </w:pPr>
          </w:p>
        </w:tc>
        <w:tc>
          <w:tcPr>
            <w:tcW w:w="939" w:type="dxa"/>
            <w:vMerge/>
            <w:tcBorders>
              <w:top w:val="nil"/>
              <w:left w:val="single" w:sz="4" w:space="0" w:color="auto"/>
              <w:bottom w:val="single" w:sz="4" w:space="0" w:color="000000"/>
              <w:right w:val="single" w:sz="4" w:space="0" w:color="auto"/>
            </w:tcBorders>
            <w:vAlign w:val="center"/>
            <w:hideMark/>
          </w:tcPr>
          <w:p w14:paraId="67CAE7E2" w14:textId="77777777" w:rsidR="0070459D" w:rsidRPr="0070459D" w:rsidRDefault="0070459D" w:rsidP="0070459D">
            <w:pPr>
              <w:rPr>
                <w:rFonts w:ascii="Arial" w:eastAsia="Times New Roman" w:hAnsi="Arial" w:cs="Arial"/>
                <w:color w:val="000000"/>
                <w:sz w:val="14"/>
                <w:szCs w:val="14"/>
                <w:lang w:val="cs-CZ" w:eastAsia="cs-CZ"/>
              </w:rPr>
            </w:pPr>
          </w:p>
        </w:tc>
        <w:tc>
          <w:tcPr>
            <w:tcW w:w="816" w:type="dxa"/>
            <w:tcBorders>
              <w:top w:val="nil"/>
              <w:left w:val="nil"/>
              <w:bottom w:val="single" w:sz="4" w:space="0" w:color="auto"/>
              <w:right w:val="single" w:sz="4" w:space="0" w:color="auto"/>
            </w:tcBorders>
            <w:shd w:val="clear" w:color="auto" w:fill="auto"/>
            <w:noWrap/>
            <w:vAlign w:val="bottom"/>
            <w:hideMark/>
          </w:tcPr>
          <w:p w14:paraId="6E2EB39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10ABEC8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2E9D3CD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61333F5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0611105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57ADCF5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41F8641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7123DF1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0832DD1D"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22594DF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797" w:type="dxa"/>
            <w:tcBorders>
              <w:top w:val="nil"/>
              <w:left w:val="nil"/>
              <w:bottom w:val="single" w:sz="4" w:space="0" w:color="auto"/>
              <w:right w:val="single" w:sz="4" w:space="0" w:color="auto"/>
            </w:tcBorders>
            <w:shd w:val="clear" w:color="auto" w:fill="auto"/>
            <w:noWrap/>
            <w:vAlign w:val="bottom"/>
            <w:hideMark/>
          </w:tcPr>
          <w:p w14:paraId="5710F1E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14" w:type="dxa"/>
            <w:gridSpan w:val="2"/>
            <w:tcBorders>
              <w:top w:val="nil"/>
              <w:left w:val="nil"/>
              <w:bottom w:val="single" w:sz="4" w:space="0" w:color="auto"/>
              <w:right w:val="single" w:sz="4" w:space="0" w:color="auto"/>
            </w:tcBorders>
            <w:shd w:val="clear" w:color="auto" w:fill="auto"/>
            <w:noWrap/>
            <w:vAlign w:val="bottom"/>
            <w:hideMark/>
          </w:tcPr>
          <w:p w14:paraId="401DA182" w14:textId="1CB7754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bl>
    <w:p w14:paraId="00B4B5CB" w14:textId="08A0CF9B" w:rsidR="00C42BB8" w:rsidRPr="002F2BE4" w:rsidRDefault="00C42BB8" w:rsidP="00DD7907">
      <w:pPr>
        <w:ind w:right="108"/>
        <w:jc w:val="both"/>
        <w:rPr>
          <w:rFonts w:ascii="Arial" w:eastAsia="Arial" w:hAnsi="Arial" w:cs="Arial"/>
          <w:color w:val="000000"/>
          <w:sz w:val="20"/>
          <w:lang w:val="cs-CZ"/>
        </w:rPr>
      </w:pPr>
    </w:p>
    <w:p w14:paraId="3C3ABC22"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03.3.48 Přístup k zaměstnání pro osoby hledající zaměstnání a neaktivní osoby, včetně dlouhodobě nezaměstnaných a osob vzdálených trhu práce, také prostřednictvím místních iniciativ na podporu zaměstnanosti a mobility pracovníků</w:t>
      </w:r>
    </w:p>
    <w:tbl>
      <w:tblPr>
        <w:tblW w:w="15678" w:type="dxa"/>
        <w:tblInd w:w="75" w:type="dxa"/>
        <w:tblCellMar>
          <w:left w:w="70" w:type="dxa"/>
          <w:right w:w="70" w:type="dxa"/>
        </w:tblCellMar>
        <w:tblLook w:val="04A0" w:firstRow="1" w:lastRow="0" w:firstColumn="1" w:lastColumn="0" w:noHBand="0" w:noVBand="1"/>
      </w:tblPr>
      <w:tblGrid>
        <w:gridCol w:w="530"/>
        <w:gridCol w:w="2355"/>
        <w:gridCol w:w="487"/>
        <w:gridCol w:w="1150"/>
        <w:gridCol w:w="856"/>
        <w:gridCol w:w="933"/>
        <w:gridCol w:w="706"/>
        <w:gridCol w:w="802"/>
        <w:gridCol w:w="802"/>
        <w:gridCol w:w="802"/>
        <w:gridCol w:w="802"/>
        <w:gridCol w:w="802"/>
        <w:gridCol w:w="802"/>
        <w:gridCol w:w="802"/>
        <w:gridCol w:w="802"/>
        <w:gridCol w:w="802"/>
        <w:gridCol w:w="804"/>
        <w:gridCol w:w="639"/>
      </w:tblGrid>
      <w:tr w:rsidR="0070459D" w:rsidRPr="0070459D" w14:paraId="05863CC5" w14:textId="77777777" w:rsidTr="00C42BB8">
        <w:trPr>
          <w:trHeight w:val="20"/>
          <w:tblHeader/>
        </w:trPr>
        <w:tc>
          <w:tcPr>
            <w:tcW w:w="5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529F11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ID</w:t>
            </w:r>
          </w:p>
        </w:tc>
        <w:tc>
          <w:tcPr>
            <w:tcW w:w="2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13AA2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Indikátor</w:t>
            </w:r>
          </w:p>
        </w:tc>
        <w:tc>
          <w:tcPr>
            <w:tcW w:w="4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741C2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ESF / YEI</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768A03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Kategorie regionu (je-li relevantní)</w:t>
            </w:r>
          </w:p>
        </w:tc>
        <w:tc>
          <w:tcPr>
            <w:tcW w:w="8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3D64F1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Měrná jednotka</w:t>
            </w:r>
          </w:p>
        </w:tc>
        <w:tc>
          <w:tcPr>
            <w:tcW w:w="9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FA516A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Jednotka měření pro výchozí hodnotu a cíl</w:t>
            </w:r>
          </w:p>
        </w:tc>
        <w:tc>
          <w:tcPr>
            <w:tcW w:w="7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B62AA5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Cílová hodnota (2023)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132E4CF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2014</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724C36F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2015</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70E660C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2016</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511B764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2017</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25946BD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2018</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49FAC55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2019</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347276F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2020</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264A0CE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2021</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01DE2F2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2022</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43C46D5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2023</w:t>
            </w:r>
          </w:p>
        </w:tc>
        <w:tc>
          <w:tcPr>
            <w:tcW w:w="6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A4ACC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Míra splnění</w:t>
            </w:r>
          </w:p>
        </w:tc>
      </w:tr>
      <w:tr w:rsidR="0070459D" w:rsidRPr="0070459D" w14:paraId="00138955" w14:textId="77777777" w:rsidTr="00C42BB8">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09D6148E" w14:textId="77777777" w:rsidR="0070459D" w:rsidRPr="0070459D" w:rsidRDefault="0070459D" w:rsidP="0070459D">
            <w:pPr>
              <w:rPr>
                <w:rFonts w:ascii="Arial" w:eastAsia="Times New Roman" w:hAnsi="Arial" w:cs="Arial"/>
                <w:b/>
                <w:bCs/>
                <w:color w:val="000000"/>
                <w:sz w:val="14"/>
                <w:szCs w:val="14"/>
                <w:lang w:val="cs-CZ" w:eastAsia="cs-CZ"/>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14:paraId="74DF4DE5" w14:textId="77777777" w:rsidR="0070459D" w:rsidRPr="0070459D" w:rsidRDefault="0070459D" w:rsidP="0070459D">
            <w:pPr>
              <w:rPr>
                <w:rFonts w:ascii="Arial" w:eastAsia="Times New Roman" w:hAnsi="Arial" w:cs="Arial"/>
                <w:b/>
                <w:bCs/>
                <w:color w:val="000000"/>
                <w:sz w:val="14"/>
                <w:szCs w:val="14"/>
                <w:lang w:val="cs-CZ" w:eastAsia="cs-CZ"/>
              </w:rPr>
            </w:pPr>
          </w:p>
        </w:tc>
        <w:tc>
          <w:tcPr>
            <w:tcW w:w="491" w:type="dxa"/>
            <w:vMerge/>
            <w:tcBorders>
              <w:top w:val="single" w:sz="4" w:space="0" w:color="auto"/>
              <w:left w:val="single" w:sz="4" w:space="0" w:color="auto"/>
              <w:bottom w:val="single" w:sz="4" w:space="0" w:color="auto"/>
              <w:right w:val="single" w:sz="4" w:space="0" w:color="auto"/>
            </w:tcBorders>
            <w:vAlign w:val="center"/>
            <w:hideMark/>
          </w:tcPr>
          <w:p w14:paraId="35BC40E1"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1211C6CA" w14:textId="77777777" w:rsidR="0070459D" w:rsidRPr="0070459D" w:rsidRDefault="0070459D" w:rsidP="0070459D">
            <w:pPr>
              <w:rPr>
                <w:rFonts w:ascii="Arial" w:eastAsia="Times New Roman" w:hAnsi="Arial" w:cs="Arial"/>
                <w:b/>
                <w:bCs/>
                <w:color w:val="000000"/>
                <w:sz w:val="14"/>
                <w:szCs w:val="14"/>
                <w:lang w:val="cs-CZ" w:eastAsia="cs-CZ"/>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4F03FF0F" w14:textId="77777777" w:rsidR="0070459D" w:rsidRPr="0070459D" w:rsidRDefault="0070459D" w:rsidP="0070459D">
            <w:pPr>
              <w:rPr>
                <w:rFonts w:ascii="Arial" w:eastAsia="Times New Roman" w:hAnsi="Arial" w:cs="Arial"/>
                <w:b/>
                <w:bCs/>
                <w:color w:val="000000"/>
                <w:sz w:val="14"/>
                <w:szCs w:val="14"/>
                <w:lang w:val="cs-CZ" w:eastAsia="cs-CZ"/>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675CCDD2" w14:textId="77777777" w:rsidR="0070459D" w:rsidRPr="0070459D" w:rsidRDefault="0070459D" w:rsidP="0070459D">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6E50D64A"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2" w:type="dxa"/>
            <w:gridSpan w:val="10"/>
            <w:tcBorders>
              <w:top w:val="single" w:sz="4" w:space="0" w:color="auto"/>
              <w:left w:val="nil"/>
              <w:bottom w:val="single" w:sz="4" w:space="0" w:color="auto"/>
              <w:right w:val="single" w:sz="4" w:space="0" w:color="auto"/>
            </w:tcBorders>
            <w:shd w:val="clear" w:color="000000" w:fill="FFFFFF"/>
            <w:vAlign w:val="center"/>
            <w:hideMark/>
          </w:tcPr>
          <w:p w14:paraId="2E39CF6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Roční hodnota</w:t>
            </w:r>
          </w:p>
        </w:tc>
        <w:tc>
          <w:tcPr>
            <w:tcW w:w="610" w:type="dxa"/>
            <w:vMerge/>
            <w:tcBorders>
              <w:top w:val="single" w:sz="4" w:space="0" w:color="auto"/>
              <w:left w:val="single" w:sz="4" w:space="0" w:color="auto"/>
              <w:bottom w:val="single" w:sz="4" w:space="0" w:color="auto"/>
              <w:right w:val="single" w:sz="4" w:space="0" w:color="auto"/>
            </w:tcBorders>
            <w:vAlign w:val="center"/>
            <w:hideMark/>
          </w:tcPr>
          <w:p w14:paraId="7AD60891"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3AB617AB" w14:textId="77777777" w:rsidTr="00C42BB8">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08882FA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14:paraId="6B993F8F" w14:textId="77777777" w:rsidR="0070459D" w:rsidRPr="0070459D" w:rsidRDefault="0070459D" w:rsidP="0070459D">
            <w:pPr>
              <w:rPr>
                <w:rFonts w:ascii="Arial" w:eastAsia="Times New Roman" w:hAnsi="Arial" w:cs="Arial"/>
                <w:b/>
                <w:bCs/>
                <w:color w:val="000000"/>
                <w:sz w:val="14"/>
                <w:szCs w:val="14"/>
                <w:lang w:val="cs-CZ" w:eastAsia="cs-CZ"/>
              </w:rPr>
            </w:pPr>
          </w:p>
        </w:tc>
        <w:tc>
          <w:tcPr>
            <w:tcW w:w="491" w:type="dxa"/>
            <w:vMerge/>
            <w:tcBorders>
              <w:top w:val="single" w:sz="4" w:space="0" w:color="auto"/>
              <w:left w:val="single" w:sz="4" w:space="0" w:color="auto"/>
              <w:bottom w:val="single" w:sz="4" w:space="0" w:color="auto"/>
              <w:right w:val="single" w:sz="4" w:space="0" w:color="auto"/>
            </w:tcBorders>
            <w:vAlign w:val="center"/>
            <w:hideMark/>
          </w:tcPr>
          <w:p w14:paraId="71283E49"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2FEA6F88" w14:textId="77777777" w:rsidR="0070459D" w:rsidRPr="0070459D" w:rsidRDefault="0070459D" w:rsidP="0070459D">
            <w:pPr>
              <w:rPr>
                <w:rFonts w:ascii="Arial" w:eastAsia="Times New Roman" w:hAnsi="Arial" w:cs="Arial"/>
                <w:b/>
                <w:bCs/>
                <w:color w:val="000000"/>
                <w:sz w:val="14"/>
                <w:szCs w:val="14"/>
                <w:lang w:val="cs-CZ" w:eastAsia="cs-CZ"/>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4FC5755E" w14:textId="77777777" w:rsidR="0070459D" w:rsidRPr="0070459D" w:rsidRDefault="0070459D" w:rsidP="0070459D">
            <w:pPr>
              <w:rPr>
                <w:rFonts w:ascii="Arial" w:eastAsia="Times New Roman" w:hAnsi="Arial" w:cs="Arial"/>
                <w:b/>
                <w:bCs/>
                <w:color w:val="000000"/>
                <w:sz w:val="14"/>
                <w:szCs w:val="14"/>
                <w:lang w:val="cs-CZ" w:eastAsia="cs-CZ"/>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6534837E" w14:textId="77777777" w:rsidR="0070459D" w:rsidRPr="0070459D" w:rsidRDefault="0070459D" w:rsidP="0070459D">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2AA56BA4"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E7E6E6"/>
            <w:vAlign w:val="center"/>
            <w:hideMark/>
          </w:tcPr>
          <w:p w14:paraId="271F378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73A17A9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14EA246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7582E94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3A3BC6D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2248311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469063C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2C4F842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018DD05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387E835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0" w:type="dxa"/>
            <w:vMerge/>
            <w:tcBorders>
              <w:top w:val="single" w:sz="4" w:space="0" w:color="auto"/>
              <w:left w:val="single" w:sz="4" w:space="0" w:color="auto"/>
              <w:bottom w:val="single" w:sz="4" w:space="0" w:color="auto"/>
              <w:right w:val="single" w:sz="4" w:space="0" w:color="auto"/>
            </w:tcBorders>
            <w:vAlign w:val="center"/>
            <w:hideMark/>
          </w:tcPr>
          <w:p w14:paraId="688112AB"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75F19509" w14:textId="77777777" w:rsidTr="00C42BB8">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76B6C406" w14:textId="77777777" w:rsidR="0070459D" w:rsidRPr="0070459D" w:rsidRDefault="0070459D" w:rsidP="0070459D">
            <w:pPr>
              <w:rPr>
                <w:rFonts w:ascii="Arial" w:eastAsia="Times New Roman" w:hAnsi="Arial" w:cs="Arial"/>
                <w:b/>
                <w:bCs/>
                <w:color w:val="000000"/>
                <w:sz w:val="14"/>
                <w:szCs w:val="14"/>
                <w:lang w:val="cs-CZ" w:eastAsia="cs-CZ"/>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14:paraId="5C8B1044" w14:textId="77777777" w:rsidR="0070459D" w:rsidRPr="0070459D" w:rsidRDefault="0070459D" w:rsidP="0070459D">
            <w:pPr>
              <w:rPr>
                <w:rFonts w:ascii="Arial" w:eastAsia="Times New Roman" w:hAnsi="Arial" w:cs="Arial"/>
                <w:b/>
                <w:bCs/>
                <w:color w:val="000000"/>
                <w:sz w:val="14"/>
                <w:szCs w:val="14"/>
                <w:lang w:val="cs-CZ" w:eastAsia="cs-CZ"/>
              </w:rPr>
            </w:pPr>
          </w:p>
        </w:tc>
        <w:tc>
          <w:tcPr>
            <w:tcW w:w="491" w:type="dxa"/>
            <w:vMerge/>
            <w:tcBorders>
              <w:top w:val="single" w:sz="4" w:space="0" w:color="auto"/>
              <w:left w:val="single" w:sz="4" w:space="0" w:color="auto"/>
              <w:bottom w:val="single" w:sz="4" w:space="0" w:color="auto"/>
              <w:right w:val="single" w:sz="4" w:space="0" w:color="auto"/>
            </w:tcBorders>
            <w:vAlign w:val="center"/>
            <w:hideMark/>
          </w:tcPr>
          <w:p w14:paraId="5DFBE4BB"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2382C695" w14:textId="77777777" w:rsidR="0070459D" w:rsidRPr="0070459D" w:rsidRDefault="0070459D" w:rsidP="0070459D">
            <w:pPr>
              <w:rPr>
                <w:rFonts w:ascii="Arial" w:eastAsia="Times New Roman" w:hAnsi="Arial" w:cs="Arial"/>
                <w:b/>
                <w:bCs/>
                <w:color w:val="000000"/>
                <w:sz w:val="14"/>
                <w:szCs w:val="14"/>
                <w:lang w:val="cs-CZ" w:eastAsia="cs-CZ"/>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6B090423" w14:textId="77777777" w:rsidR="0070459D" w:rsidRPr="0070459D" w:rsidRDefault="0070459D" w:rsidP="0070459D">
            <w:pPr>
              <w:rPr>
                <w:rFonts w:ascii="Arial" w:eastAsia="Times New Roman" w:hAnsi="Arial" w:cs="Arial"/>
                <w:b/>
                <w:bCs/>
                <w:color w:val="000000"/>
                <w:sz w:val="14"/>
                <w:szCs w:val="14"/>
                <w:lang w:val="cs-CZ" w:eastAsia="cs-CZ"/>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53F0B3E4" w14:textId="77777777" w:rsidR="0070459D" w:rsidRPr="0070459D" w:rsidRDefault="0070459D" w:rsidP="0070459D">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5432115C"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1FD0E6F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2C3964D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30DDDD5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4A81925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67D8333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6C3127A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34CC3D9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1A639B9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7A55434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3403D17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0" w:type="dxa"/>
            <w:vMerge/>
            <w:tcBorders>
              <w:top w:val="single" w:sz="4" w:space="0" w:color="auto"/>
              <w:left w:val="single" w:sz="4" w:space="0" w:color="auto"/>
              <w:bottom w:val="single" w:sz="4" w:space="0" w:color="auto"/>
              <w:right w:val="single" w:sz="4" w:space="0" w:color="auto"/>
            </w:tcBorders>
            <w:vAlign w:val="center"/>
            <w:hideMark/>
          </w:tcPr>
          <w:p w14:paraId="1186A842"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4BDB917E" w14:textId="77777777" w:rsidTr="00C42BB8">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4FEF68C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14:paraId="2E93E43A" w14:textId="77777777" w:rsidR="0070459D" w:rsidRPr="0070459D" w:rsidRDefault="0070459D" w:rsidP="0070459D">
            <w:pPr>
              <w:rPr>
                <w:rFonts w:ascii="Arial" w:eastAsia="Times New Roman" w:hAnsi="Arial" w:cs="Arial"/>
                <w:b/>
                <w:bCs/>
                <w:color w:val="000000"/>
                <w:sz w:val="14"/>
                <w:szCs w:val="14"/>
                <w:lang w:val="cs-CZ" w:eastAsia="cs-CZ"/>
              </w:rPr>
            </w:pPr>
          </w:p>
        </w:tc>
        <w:tc>
          <w:tcPr>
            <w:tcW w:w="491" w:type="dxa"/>
            <w:vMerge/>
            <w:tcBorders>
              <w:top w:val="single" w:sz="4" w:space="0" w:color="auto"/>
              <w:left w:val="single" w:sz="4" w:space="0" w:color="auto"/>
              <w:bottom w:val="single" w:sz="4" w:space="0" w:color="auto"/>
              <w:right w:val="single" w:sz="4" w:space="0" w:color="auto"/>
            </w:tcBorders>
            <w:vAlign w:val="center"/>
            <w:hideMark/>
          </w:tcPr>
          <w:p w14:paraId="7AA74C8C"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7F30A1FF" w14:textId="77777777" w:rsidR="0070459D" w:rsidRPr="0070459D" w:rsidRDefault="0070459D" w:rsidP="0070459D">
            <w:pPr>
              <w:rPr>
                <w:rFonts w:ascii="Arial" w:eastAsia="Times New Roman" w:hAnsi="Arial" w:cs="Arial"/>
                <w:b/>
                <w:bCs/>
                <w:color w:val="000000"/>
                <w:sz w:val="14"/>
                <w:szCs w:val="14"/>
                <w:lang w:val="cs-CZ" w:eastAsia="cs-CZ"/>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07C3BFAE" w14:textId="77777777" w:rsidR="0070459D" w:rsidRPr="0070459D" w:rsidRDefault="0070459D" w:rsidP="0070459D">
            <w:pPr>
              <w:rPr>
                <w:rFonts w:ascii="Arial" w:eastAsia="Times New Roman" w:hAnsi="Arial" w:cs="Arial"/>
                <w:b/>
                <w:bCs/>
                <w:color w:val="000000"/>
                <w:sz w:val="14"/>
                <w:szCs w:val="14"/>
                <w:lang w:val="cs-CZ" w:eastAsia="cs-CZ"/>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7B9D3C6A" w14:textId="77777777" w:rsidR="0070459D" w:rsidRPr="0070459D" w:rsidRDefault="0070459D" w:rsidP="0070459D">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5A23B647"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2714A0B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5D66DEB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4E7B79A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71F6238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0ABEC10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5300C7B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5FF9C57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0C18485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1A9CAFC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080FAA7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0" w:type="dxa"/>
            <w:vMerge/>
            <w:tcBorders>
              <w:top w:val="single" w:sz="4" w:space="0" w:color="auto"/>
              <w:left w:val="single" w:sz="4" w:space="0" w:color="auto"/>
              <w:bottom w:val="single" w:sz="4" w:space="0" w:color="auto"/>
              <w:right w:val="single" w:sz="4" w:space="0" w:color="auto"/>
            </w:tcBorders>
            <w:vAlign w:val="center"/>
            <w:hideMark/>
          </w:tcPr>
          <w:p w14:paraId="5C0BCD9B"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176D1F6F" w14:textId="77777777" w:rsidTr="00C42BB8">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416974F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14:paraId="05B96B5F" w14:textId="77777777" w:rsidR="0070459D" w:rsidRPr="0070459D" w:rsidRDefault="0070459D" w:rsidP="0070459D">
            <w:pPr>
              <w:rPr>
                <w:rFonts w:ascii="Arial" w:eastAsia="Times New Roman" w:hAnsi="Arial" w:cs="Arial"/>
                <w:b/>
                <w:bCs/>
                <w:color w:val="000000"/>
                <w:sz w:val="14"/>
                <w:szCs w:val="14"/>
                <w:lang w:val="cs-CZ" w:eastAsia="cs-CZ"/>
              </w:rPr>
            </w:pPr>
          </w:p>
        </w:tc>
        <w:tc>
          <w:tcPr>
            <w:tcW w:w="491" w:type="dxa"/>
            <w:vMerge/>
            <w:tcBorders>
              <w:top w:val="single" w:sz="4" w:space="0" w:color="auto"/>
              <w:left w:val="single" w:sz="4" w:space="0" w:color="auto"/>
              <w:bottom w:val="single" w:sz="4" w:space="0" w:color="auto"/>
              <w:right w:val="single" w:sz="4" w:space="0" w:color="auto"/>
            </w:tcBorders>
            <w:vAlign w:val="center"/>
            <w:hideMark/>
          </w:tcPr>
          <w:p w14:paraId="3558D91B"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2C8DA020" w14:textId="77777777" w:rsidR="0070459D" w:rsidRPr="0070459D" w:rsidRDefault="0070459D" w:rsidP="0070459D">
            <w:pPr>
              <w:rPr>
                <w:rFonts w:ascii="Arial" w:eastAsia="Times New Roman" w:hAnsi="Arial" w:cs="Arial"/>
                <w:b/>
                <w:bCs/>
                <w:color w:val="000000"/>
                <w:sz w:val="14"/>
                <w:szCs w:val="14"/>
                <w:lang w:val="cs-CZ" w:eastAsia="cs-CZ"/>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5044B1C2" w14:textId="77777777" w:rsidR="0070459D" w:rsidRPr="0070459D" w:rsidRDefault="0070459D" w:rsidP="0070459D">
            <w:pPr>
              <w:rPr>
                <w:rFonts w:ascii="Arial" w:eastAsia="Times New Roman" w:hAnsi="Arial" w:cs="Arial"/>
                <w:b/>
                <w:bCs/>
                <w:color w:val="000000"/>
                <w:sz w:val="14"/>
                <w:szCs w:val="14"/>
                <w:lang w:val="cs-CZ" w:eastAsia="cs-CZ"/>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766439E9" w14:textId="77777777" w:rsidR="0070459D" w:rsidRPr="0070459D" w:rsidRDefault="0070459D" w:rsidP="0070459D">
            <w:pPr>
              <w:rPr>
                <w:rFonts w:ascii="Arial" w:eastAsia="Times New Roman" w:hAnsi="Arial" w:cs="Arial"/>
                <w:b/>
                <w:bCs/>
                <w:color w:val="000000"/>
                <w:sz w:val="14"/>
                <w:szCs w:val="14"/>
                <w:lang w:val="cs-CZ" w:eastAsia="cs-CZ"/>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14:paraId="7E0EA90F"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2" w:type="dxa"/>
            <w:gridSpan w:val="10"/>
            <w:tcBorders>
              <w:top w:val="single" w:sz="4" w:space="0" w:color="auto"/>
              <w:left w:val="nil"/>
              <w:bottom w:val="single" w:sz="4" w:space="0" w:color="auto"/>
              <w:right w:val="single" w:sz="4" w:space="0" w:color="auto"/>
            </w:tcBorders>
            <w:shd w:val="clear" w:color="000000" w:fill="FFFFFF"/>
            <w:vAlign w:val="center"/>
            <w:hideMark/>
          </w:tcPr>
          <w:p w14:paraId="1378A9C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Kumulativní hodnota</w:t>
            </w:r>
          </w:p>
        </w:tc>
        <w:tc>
          <w:tcPr>
            <w:tcW w:w="610" w:type="dxa"/>
            <w:vMerge/>
            <w:tcBorders>
              <w:top w:val="single" w:sz="4" w:space="0" w:color="auto"/>
              <w:left w:val="single" w:sz="4" w:space="0" w:color="auto"/>
              <w:bottom w:val="single" w:sz="4" w:space="0" w:color="auto"/>
              <w:right w:val="single" w:sz="4" w:space="0" w:color="auto"/>
            </w:tcBorders>
            <w:vAlign w:val="center"/>
            <w:hideMark/>
          </w:tcPr>
          <w:p w14:paraId="1714E3A0"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7E3F4630" w14:textId="77777777" w:rsidTr="00C42BB8">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505BA28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14:paraId="66777155" w14:textId="77777777" w:rsidR="0070459D" w:rsidRPr="0070459D" w:rsidRDefault="0070459D" w:rsidP="0070459D">
            <w:pPr>
              <w:rPr>
                <w:rFonts w:ascii="Arial" w:eastAsia="Times New Roman" w:hAnsi="Arial" w:cs="Arial"/>
                <w:b/>
                <w:bCs/>
                <w:color w:val="000000"/>
                <w:sz w:val="14"/>
                <w:szCs w:val="14"/>
                <w:lang w:val="cs-CZ" w:eastAsia="cs-CZ"/>
              </w:rPr>
            </w:pPr>
          </w:p>
        </w:tc>
        <w:tc>
          <w:tcPr>
            <w:tcW w:w="491" w:type="dxa"/>
            <w:vMerge/>
            <w:tcBorders>
              <w:top w:val="single" w:sz="4" w:space="0" w:color="auto"/>
              <w:left w:val="single" w:sz="4" w:space="0" w:color="auto"/>
              <w:bottom w:val="single" w:sz="4" w:space="0" w:color="auto"/>
              <w:right w:val="single" w:sz="4" w:space="0" w:color="auto"/>
            </w:tcBorders>
            <w:vAlign w:val="center"/>
            <w:hideMark/>
          </w:tcPr>
          <w:p w14:paraId="0F43A49F"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310F19F7" w14:textId="77777777" w:rsidR="0070459D" w:rsidRPr="0070459D" w:rsidRDefault="0070459D" w:rsidP="0070459D">
            <w:pPr>
              <w:rPr>
                <w:rFonts w:ascii="Arial" w:eastAsia="Times New Roman" w:hAnsi="Arial" w:cs="Arial"/>
                <w:b/>
                <w:bCs/>
                <w:color w:val="000000"/>
                <w:sz w:val="14"/>
                <w:szCs w:val="14"/>
                <w:lang w:val="cs-CZ" w:eastAsia="cs-CZ"/>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2B63E708" w14:textId="77777777" w:rsidR="0070459D" w:rsidRPr="0070459D" w:rsidRDefault="0070459D" w:rsidP="0070459D">
            <w:pPr>
              <w:rPr>
                <w:rFonts w:ascii="Arial" w:eastAsia="Times New Roman" w:hAnsi="Arial" w:cs="Arial"/>
                <w:b/>
                <w:bCs/>
                <w:color w:val="000000"/>
                <w:sz w:val="14"/>
                <w:szCs w:val="14"/>
                <w:lang w:val="cs-CZ" w:eastAsia="cs-CZ"/>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32A2F0A1" w14:textId="77777777" w:rsidR="0070459D" w:rsidRPr="0070459D" w:rsidRDefault="0070459D" w:rsidP="0070459D">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E7E6E6"/>
            <w:vAlign w:val="center"/>
            <w:hideMark/>
          </w:tcPr>
          <w:p w14:paraId="2FF6185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0F10C93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1204871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52BE7E9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710AC0B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44901B3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6771458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7F85347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343BA78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6F97CE1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2" w:type="dxa"/>
            <w:tcBorders>
              <w:top w:val="nil"/>
              <w:left w:val="nil"/>
              <w:bottom w:val="single" w:sz="4" w:space="0" w:color="auto"/>
              <w:right w:val="single" w:sz="4" w:space="0" w:color="auto"/>
            </w:tcBorders>
            <w:shd w:val="clear" w:color="000000" w:fill="E7E6E6"/>
            <w:vAlign w:val="center"/>
            <w:hideMark/>
          </w:tcPr>
          <w:p w14:paraId="2DC9806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0" w:type="dxa"/>
            <w:tcBorders>
              <w:top w:val="nil"/>
              <w:left w:val="nil"/>
              <w:bottom w:val="single" w:sz="4" w:space="0" w:color="auto"/>
              <w:right w:val="single" w:sz="4" w:space="0" w:color="auto"/>
            </w:tcBorders>
            <w:shd w:val="clear" w:color="000000" w:fill="E7E6E6"/>
            <w:vAlign w:val="center"/>
            <w:hideMark/>
          </w:tcPr>
          <w:p w14:paraId="2650A10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r>
      <w:tr w:rsidR="0070459D" w:rsidRPr="0070459D" w14:paraId="6C742052" w14:textId="77777777" w:rsidTr="00C42BB8">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5C7490CD" w14:textId="77777777" w:rsidR="0070459D" w:rsidRPr="0070459D" w:rsidRDefault="0070459D" w:rsidP="0070459D">
            <w:pPr>
              <w:rPr>
                <w:rFonts w:ascii="Arial" w:eastAsia="Times New Roman" w:hAnsi="Arial" w:cs="Arial"/>
                <w:b/>
                <w:bCs/>
                <w:color w:val="000000"/>
                <w:sz w:val="14"/>
                <w:szCs w:val="14"/>
                <w:lang w:val="cs-CZ" w:eastAsia="cs-CZ"/>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14:paraId="7EE401EE" w14:textId="77777777" w:rsidR="0070459D" w:rsidRPr="0070459D" w:rsidRDefault="0070459D" w:rsidP="0070459D">
            <w:pPr>
              <w:rPr>
                <w:rFonts w:ascii="Arial" w:eastAsia="Times New Roman" w:hAnsi="Arial" w:cs="Arial"/>
                <w:b/>
                <w:bCs/>
                <w:color w:val="000000"/>
                <w:sz w:val="14"/>
                <w:szCs w:val="14"/>
                <w:lang w:val="cs-CZ" w:eastAsia="cs-CZ"/>
              </w:rPr>
            </w:pPr>
          </w:p>
        </w:tc>
        <w:tc>
          <w:tcPr>
            <w:tcW w:w="491" w:type="dxa"/>
            <w:vMerge/>
            <w:tcBorders>
              <w:top w:val="single" w:sz="4" w:space="0" w:color="auto"/>
              <w:left w:val="single" w:sz="4" w:space="0" w:color="auto"/>
              <w:bottom w:val="single" w:sz="4" w:space="0" w:color="auto"/>
              <w:right w:val="single" w:sz="4" w:space="0" w:color="auto"/>
            </w:tcBorders>
            <w:vAlign w:val="center"/>
            <w:hideMark/>
          </w:tcPr>
          <w:p w14:paraId="0C2AF22A"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6698DB8B" w14:textId="77777777" w:rsidR="0070459D" w:rsidRPr="0070459D" w:rsidRDefault="0070459D" w:rsidP="0070459D">
            <w:pPr>
              <w:rPr>
                <w:rFonts w:ascii="Arial" w:eastAsia="Times New Roman" w:hAnsi="Arial" w:cs="Arial"/>
                <w:b/>
                <w:bCs/>
                <w:color w:val="000000"/>
                <w:sz w:val="14"/>
                <w:szCs w:val="14"/>
                <w:lang w:val="cs-CZ" w:eastAsia="cs-CZ"/>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112B5CBC" w14:textId="77777777" w:rsidR="0070459D" w:rsidRPr="0070459D" w:rsidRDefault="0070459D" w:rsidP="0070459D">
            <w:pPr>
              <w:rPr>
                <w:rFonts w:ascii="Arial" w:eastAsia="Times New Roman" w:hAnsi="Arial" w:cs="Arial"/>
                <w:b/>
                <w:bCs/>
                <w:color w:val="000000"/>
                <w:sz w:val="14"/>
                <w:szCs w:val="14"/>
                <w:lang w:val="cs-CZ" w:eastAsia="cs-CZ"/>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479147BA" w14:textId="77777777" w:rsidR="0070459D" w:rsidRPr="0070459D" w:rsidRDefault="0070459D" w:rsidP="0070459D">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FFFFFF"/>
            <w:vAlign w:val="center"/>
            <w:hideMark/>
          </w:tcPr>
          <w:p w14:paraId="2B79839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6FB9E33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494F7B8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0942679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538C261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429E9A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5987A53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43D9B19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117F488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5B0D0B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000000" w:fill="FFFFFF"/>
            <w:vAlign w:val="center"/>
            <w:hideMark/>
          </w:tcPr>
          <w:p w14:paraId="1E6CCBA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0" w:type="dxa"/>
            <w:tcBorders>
              <w:top w:val="nil"/>
              <w:left w:val="nil"/>
              <w:bottom w:val="single" w:sz="4" w:space="0" w:color="auto"/>
              <w:right w:val="single" w:sz="4" w:space="0" w:color="auto"/>
            </w:tcBorders>
            <w:shd w:val="clear" w:color="000000" w:fill="FFFFFF"/>
            <w:vAlign w:val="center"/>
            <w:hideMark/>
          </w:tcPr>
          <w:p w14:paraId="4ECEBEA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r>
      <w:tr w:rsidR="0070459D" w:rsidRPr="0070459D" w14:paraId="249F2F67" w14:textId="77777777" w:rsidTr="00C42BB8">
        <w:trPr>
          <w:trHeight w:val="20"/>
          <w:tblHead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3E08D0F7" w14:textId="77777777" w:rsidR="0070459D" w:rsidRPr="0070459D" w:rsidRDefault="0070459D" w:rsidP="0070459D">
            <w:pPr>
              <w:rPr>
                <w:rFonts w:ascii="Arial" w:eastAsia="Times New Roman" w:hAnsi="Arial" w:cs="Arial"/>
                <w:b/>
                <w:bCs/>
                <w:color w:val="000000"/>
                <w:sz w:val="14"/>
                <w:szCs w:val="14"/>
                <w:lang w:val="cs-CZ" w:eastAsia="cs-CZ"/>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14:paraId="73457236" w14:textId="77777777" w:rsidR="0070459D" w:rsidRPr="0070459D" w:rsidRDefault="0070459D" w:rsidP="0070459D">
            <w:pPr>
              <w:rPr>
                <w:rFonts w:ascii="Arial" w:eastAsia="Times New Roman" w:hAnsi="Arial" w:cs="Arial"/>
                <w:b/>
                <w:bCs/>
                <w:color w:val="000000"/>
                <w:sz w:val="14"/>
                <w:szCs w:val="14"/>
                <w:lang w:val="cs-CZ" w:eastAsia="cs-CZ"/>
              </w:rPr>
            </w:pPr>
          </w:p>
        </w:tc>
        <w:tc>
          <w:tcPr>
            <w:tcW w:w="491" w:type="dxa"/>
            <w:vMerge/>
            <w:tcBorders>
              <w:top w:val="single" w:sz="4" w:space="0" w:color="auto"/>
              <w:left w:val="single" w:sz="4" w:space="0" w:color="auto"/>
              <w:bottom w:val="single" w:sz="4" w:space="0" w:color="auto"/>
              <w:right w:val="single" w:sz="4" w:space="0" w:color="auto"/>
            </w:tcBorders>
            <w:vAlign w:val="center"/>
            <w:hideMark/>
          </w:tcPr>
          <w:p w14:paraId="4A3B83B1" w14:textId="77777777" w:rsidR="0070459D" w:rsidRPr="0070459D" w:rsidRDefault="0070459D" w:rsidP="0070459D">
            <w:pPr>
              <w:rPr>
                <w:rFonts w:ascii="Arial" w:eastAsia="Times New Roman" w:hAnsi="Arial" w:cs="Arial"/>
                <w:b/>
                <w:bCs/>
                <w:color w:val="000000"/>
                <w:sz w:val="14"/>
                <w:szCs w:val="14"/>
                <w:lang w:val="cs-CZ" w:eastAsia="cs-CZ"/>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14:paraId="683803BA" w14:textId="77777777" w:rsidR="0070459D" w:rsidRPr="0070459D" w:rsidRDefault="0070459D" w:rsidP="0070459D">
            <w:pPr>
              <w:rPr>
                <w:rFonts w:ascii="Arial" w:eastAsia="Times New Roman" w:hAnsi="Arial" w:cs="Arial"/>
                <w:b/>
                <w:bCs/>
                <w:color w:val="000000"/>
                <w:sz w:val="14"/>
                <w:szCs w:val="14"/>
                <w:lang w:val="cs-CZ" w:eastAsia="cs-CZ"/>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47F3DC06" w14:textId="77777777" w:rsidR="0070459D" w:rsidRPr="0070459D" w:rsidRDefault="0070459D" w:rsidP="0070459D">
            <w:pPr>
              <w:rPr>
                <w:rFonts w:ascii="Arial" w:eastAsia="Times New Roman" w:hAnsi="Arial" w:cs="Arial"/>
                <w:b/>
                <w:bCs/>
                <w:color w:val="000000"/>
                <w:sz w:val="14"/>
                <w:szCs w:val="14"/>
                <w:lang w:val="cs-CZ" w:eastAsia="cs-CZ"/>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14:paraId="714CA9C5" w14:textId="77777777" w:rsidR="0070459D" w:rsidRPr="0070459D" w:rsidRDefault="0070459D" w:rsidP="0070459D">
            <w:pPr>
              <w:rPr>
                <w:rFonts w:ascii="Arial" w:eastAsia="Times New Roman" w:hAnsi="Arial" w:cs="Arial"/>
                <w:b/>
                <w:bCs/>
                <w:color w:val="000000"/>
                <w:sz w:val="14"/>
                <w:szCs w:val="14"/>
                <w:lang w:val="cs-CZ" w:eastAsia="cs-CZ"/>
              </w:rPr>
            </w:pPr>
          </w:p>
        </w:tc>
        <w:tc>
          <w:tcPr>
            <w:tcW w:w="706" w:type="dxa"/>
            <w:tcBorders>
              <w:top w:val="nil"/>
              <w:left w:val="nil"/>
              <w:bottom w:val="single" w:sz="4" w:space="0" w:color="auto"/>
              <w:right w:val="single" w:sz="4" w:space="0" w:color="auto"/>
            </w:tcBorders>
            <w:shd w:val="clear" w:color="000000" w:fill="FFFFFF"/>
            <w:vAlign w:val="center"/>
            <w:hideMark/>
          </w:tcPr>
          <w:p w14:paraId="2519D15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6A81E51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143E199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2D6984B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44150A7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763E601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51F9911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6E413DC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57EC149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16DEFDA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000000" w:fill="FFFFFF"/>
            <w:vAlign w:val="center"/>
            <w:hideMark/>
          </w:tcPr>
          <w:p w14:paraId="03B517B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0" w:type="dxa"/>
            <w:tcBorders>
              <w:top w:val="nil"/>
              <w:left w:val="nil"/>
              <w:bottom w:val="single" w:sz="4" w:space="0" w:color="auto"/>
              <w:right w:val="single" w:sz="4" w:space="0" w:color="auto"/>
            </w:tcBorders>
            <w:shd w:val="clear" w:color="000000" w:fill="FFFFFF"/>
            <w:vAlign w:val="center"/>
            <w:hideMark/>
          </w:tcPr>
          <w:p w14:paraId="555B24C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r>
      <w:tr w:rsidR="0070459D" w:rsidRPr="0070459D" w14:paraId="2FF83A1D" w14:textId="77777777" w:rsidTr="00C42BB8">
        <w:trPr>
          <w:trHeight w:val="20"/>
        </w:trPr>
        <w:tc>
          <w:tcPr>
            <w:tcW w:w="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EA49F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67110</w:t>
            </w:r>
          </w:p>
        </w:tc>
        <w:tc>
          <w:tcPr>
            <w:tcW w:w="24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C24C13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podpůrných institucí, které fungují i po ukončení podpory</w:t>
            </w:r>
          </w:p>
        </w:tc>
        <w:tc>
          <w:tcPr>
            <w:tcW w:w="4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14C96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7E277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BDC86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4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BE7AD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487AD5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1,000</w:t>
            </w:r>
          </w:p>
        </w:tc>
        <w:tc>
          <w:tcPr>
            <w:tcW w:w="802" w:type="dxa"/>
            <w:tcBorders>
              <w:top w:val="nil"/>
              <w:left w:val="nil"/>
              <w:bottom w:val="single" w:sz="4" w:space="0" w:color="auto"/>
              <w:right w:val="single" w:sz="4" w:space="0" w:color="auto"/>
            </w:tcBorders>
            <w:shd w:val="clear" w:color="000000" w:fill="E7E6E6"/>
            <w:vAlign w:val="center"/>
            <w:hideMark/>
          </w:tcPr>
          <w:p w14:paraId="2B5222F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0913B6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54406D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46A49F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348153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606484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0B4143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61D0CA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21FF3C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57B4AA6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48F9BDE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067D7E09"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60DA3E87"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2F9DB2A3"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4FDAD8C7"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19BB21A9"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3B07224B"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1BBB5F2E"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7E3F2992"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582AB9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A12C0B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3C782A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8F82B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3AFEEA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5F6250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59A80F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F72E5D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5E856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D3A0E9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074F4101"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5B4C387"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1758DB5D"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46E44C30"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3F4B9944"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524398A6"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0643F512"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781D6211"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1A481EAA"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5BCD16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5DAB1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1D07E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69603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41FCD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31947D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BE4AF4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F254A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49E651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B984B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1CA80AD8"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AFBF0FA"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32BE01B0"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3E53894A"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25C6B93F"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53BD65CD"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23F740FE"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5F8509BE"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0DD3A414"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E7E6E6"/>
            <w:vAlign w:val="center"/>
            <w:hideMark/>
          </w:tcPr>
          <w:p w14:paraId="0B4A55E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3DCD5E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0AB1EB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66B656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7C18725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50E7C6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66A3F0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3A3B0F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06CCE5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7D7D077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4094E402"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D4CE5B7"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1E586EE7"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41A363B8"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34354E7B"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7C1086D8"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2111F539"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48F93CC9"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vAlign w:val="center"/>
            <w:hideMark/>
          </w:tcPr>
          <w:p w14:paraId="1C9DC3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B709F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A9B290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D81E1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AAB9A8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4535EE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D6C3F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CD56F7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32187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85791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280C1E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tcBorders>
              <w:top w:val="nil"/>
              <w:left w:val="nil"/>
              <w:bottom w:val="single" w:sz="4" w:space="0" w:color="auto"/>
              <w:right w:val="single" w:sz="4" w:space="0" w:color="auto"/>
            </w:tcBorders>
            <w:shd w:val="clear" w:color="auto" w:fill="auto"/>
            <w:vAlign w:val="center"/>
            <w:hideMark/>
          </w:tcPr>
          <w:p w14:paraId="509ACA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6004C31E"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6A1584BB"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5691DF4F"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3530D0B0"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2CC2B480"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44934DB2"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62186C2B"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vAlign w:val="center"/>
            <w:hideMark/>
          </w:tcPr>
          <w:p w14:paraId="5DFAAA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47B2E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4AEACC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C2840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F510D5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37877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F97CC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D82E37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15CA1D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9B8D6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308A9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tcBorders>
              <w:top w:val="nil"/>
              <w:left w:val="nil"/>
              <w:bottom w:val="single" w:sz="4" w:space="0" w:color="auto"/>
              <w:right w:val="single" w:sz="4" w:space="0" w:color="auto"/>
            </w:tcBorders>
            <w:shd w:val="clear" w:color="auto" w:fill="auto"/>
            <w:vAlign w:val="center"/>
            <w:hideMark/>
          </w:tcPr>
          <w:p w14:paraId="7E6E141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26D78069" w14:textId="77777777" w:rsidTr="00C42BB8">
        <w:trPr>
          <w:trHeight w:val="20"/>
        </w:trPr>
        <w:tc>
          <w:tcPr>
            <w:tcW w:w="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1BE38E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67110</w:t>
            </w:r>
          </w:p>
        </w:tc>
        <w:tc>
          <w:tcPr>
            <w:tcW w:w="24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98E78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podpůrných institucí, které fungují i po ukončení podpory</w:t>
            </w:r>
          </w:p>
        </w:tc>
        <w:tc>
          <w:tcPr>
            <w:tcW w:w="4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F807E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B550B0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94F60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4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AED59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1F43D4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083DD38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46E8C59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6AF24D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6CA5B11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2B88317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22DDDE1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349F20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57BB4F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47E54C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42B569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449F1AE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N/A</w:t>
            </w:r>
          </w:p>
        </w:tc>
      </w:tr>
      <w:tr w:rsidR="0070459D" w:rsidRPr="0070459D" w14:paraId="2EDBDBED"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3465FEFB"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47F3BDEC"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6CC9DF4C"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17885B47"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65225F39"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72AC02E4"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4BF7E854"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0098AFF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CA35B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21EF27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ECDE2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B6EC09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2E04CE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1F4371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50F1D4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86B811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F4442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78C168B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5A46266"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4390CEAA"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2555391C"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517CA97C"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367ECA5F"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39266D90"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1245F8FE"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216DED49"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1134C8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30EFA1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401D5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573D2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76A8DF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5DD402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295DEE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382551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A0660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319F4AE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470A6A7F"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B80FC70"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3E5FE235"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7F75EE88"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6A4CCB18"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1F1842F2"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00CCEE9F"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50EAFFC9"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62639A6F"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E7E6E6"/>
            <w:vAlign w:val="center"/>
            <w:hideMark/>
          </w:tcPr>
          <w:p w14:paraId="2228868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07BD48E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03A27C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0B88045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7C1A8FE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220FBA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5071DC9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3B2994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453BA3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1BE9F5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798B2E6D"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96F4CE4"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4E6143CE"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04731E11"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4F5518B0"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0EA0FFB7"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517ED8E9"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0A543CC9"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vAlign w:val="center"/>
            <w:hideMark/>
          </w:tcPr>
          <w:p w14:paraId="5CACB23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83D3D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0788A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B72F1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3A40F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7F0B11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7C7DB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929D9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5854F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64BC0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31E3A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tcBorders>
              <w:top w:val="nil"/>
              <w:left w:val="nil"/>
              <w:bottom w:val="single" w:sz="4" w:space="0" w:color="auto"/>
              <w:right w:val="single" w:sz="4" w:space="0" w:color="auto"/>
            </w:tcBorders>
            <w:shd w:val="clear" w:color="auto" w:fill="auto"/>
            <w:vAlign w:val="center"/>
            <w:hideMark/>
          </w:tcPr>
          <w:p w14:paraId="19AD53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0903ABC2"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2DE5A025"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5D3D72B2"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19660CE7"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7B09C584"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40EB63B8"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215D72F8"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vAlign w:val="center"/>
            <w:hideMark/>
          </w:tcPr>
          <w:p w14:paraId="191067D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56D65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0EDCF6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E39B8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77513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166F3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5A371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A52F6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BC101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66A522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7DE18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tcBorders>
              <w:top w:val="nil"/>
              <w:left w:val="nil"/>
              <w:bottom w:val="single" w:sz="4" w:space="0" w:color="auto"/>
              <w:right w:val="single" w:sz="4" w:space="0" w:color="auto"/>
            </w:tcBorders>
            <w:shd w:val="clear" w:color="auto" w:fill="auto"/>
            <w:vAlign w:val="center"/>
            <w:hideMark/>
          </w:tcPr>
          <w:p w14:paraId="5E5BF6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7B6A7336" w14:textId="77777777" w:rsidTr="00C42BB8">
        <w:trPr>
          <w:trHeight w:val="20"/>
        </w:trPr>
        <w:tc>
          <w:tcPr>
            <w:tcW w:w="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E0DA2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69410</w:t>
            </w:r>
          </w:p>
        </w:tc>
        <w:tc>
          <w:tcPr>
            <w:tcW w:w="24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1E48F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zvalidovaných experimentálních či kvazi-experimentálních ověření nových nástrojů</w:t>
            </w:r>
          </w:p>
        </w:tc>
        <w:tc>
          <w:tcPr>
            <w:tcW w:w="4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E0E45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A4F6E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A1148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Ověření</w:t>
            </w:r>
          </w:p>
        </w:tc>
        <w:tc>
          <w:tcPr>
            <w:tcW w:w="94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9E18D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3C2C1C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11,000</w:t>
            </w:r>
          </w:p>
        </w:tc>
        <w:tc>
          <w:tcPr>
            <w:tcW w:w="802" w:type="dxa"/>
            <w:tcBorders>
              <w:top w:val="nil"/>
              <w:left w:val="nil"/>
              <w:bottom w:val="single" w:sz="4" w:space="0" w:color="auto"/>
              <w:right w:val="single" w:sz="4" w:space="0" w:color="auto"/>
            </w:tcBorders>
            <w:shd w:val="clear" w:color="000000" w:fill="E7E6E6"/>
            <w:vAlign w:val="center"/>
            <w:hideMark/>
          </w:tcPr>
          <w:p w14:paraId="034BEC3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12B12F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32782C9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4752E3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51EFDA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7997C75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2,060</w:t>
            </w:r>
          </w:p>
        </w:tc>
        <w:tc>
          <w:tcPr>
            <w:tcW w:w="802" w:type="dxa"/>
            <w:tcBorders>
              <w:top w:val="nil"/>
              <w:left w:val="nil"/>
              <w:bottom w:val="single" w:sz="4" w:space="0" w:color="auto"/>
              <w:right w:val="single" w:sz="4" w:space="0" w:color="auto"/>
            </w:tcBorders>
            <w:shd w:val="clear" w:color="000000" w:fill="E7E6E6"/>
            <w:vAlign w:val="center"/>
            <w:hideMark/>
          </w:tcPr>
          <w:p w14:paraId="4EC84ED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75858B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1F3E43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32B210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742CF2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18,727</w:t>
            </w:r>
          </w:p>
        </w:tc>
      </w:tr>
      <w:tr w:rsidR="0070459D" w:rsidRPr="0070459D" w14:paraId="47DC4ACF"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3DD2E45D"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5E8FA677"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47F20589"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2ACB3E99"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522D47A7"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2E22A3DE"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01F53918"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379BFF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696307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ACDE9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87804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3F45D4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4FD85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3CE571F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952573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6E8B9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591548F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209D268A"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65AC30C"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692EB665"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401840AB"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7D75C33F"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29D05401"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3833779D"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2980A64A"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47784012"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6B3ECE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386D3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65FA0F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5DADF7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5F3007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6664B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D6369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9D5BA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74EED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5A028EB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2F2B2C99"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F03EBD5"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02F9788F"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3792A738"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1025DBB4"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176A3008"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5FC159C1"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179D1975"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00E656E7"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E7E6E6"/>
            <w:vAlign w:val="center"/>
            <w:hideMark/>
          </w:tcPr>
          <w:p w14:paraId="1FA094A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6E731E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515EB4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392D1B0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1272B50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5596E2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2,060</w:t>
            </w:r>
          </w:p>
        </w:tc>
        <w:tc>
          <w:tcPr>
            <w:tcW w:w="802" w:type="dxa"/>
            <w:tcBorders>
              <w:top w:val="nil"/>
              <w:left w:val="nil"/>
              <w:bottom w:val="single" w:sz="4" w:space="0" w:color="auto"/>
              <w:right w:val="single" w:sz="4" w:space="0" w:color="auto"/>
            </w:tcBorders>
            <w:shd w:val="clear" w:color="000000" w:fill="E7E6E6"/>
            <w:vAlign w:val="center"/>
            <w:hideMark/>
          </w:tcPr>
          <w:p w14:paraId="188C3F5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5767C5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43109C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6F5E8A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18E89E0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815974E"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447B0A11"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3F3E1727"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4C0AF900"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5BFF59ED"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6E29CCA2"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549C6680"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vAlign w:val="center"/>
            <w:hideMark/>
          </w:tcPr>
          <w:p w14:paraId="0F151B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7DB8FB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D24EE1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CCED2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566CE2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4009E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6C846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C3637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70F28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B9926A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D6BD2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tcBorders>
              <w:top w:val="nil"/>
              <w:left w:val="nil"/>
              <w:bottom w:val="single" w:sz="4" w:space="0" w:color="auto"/>
              <w:right w:val="single" w:sz="4" w:space="0" w:color="auto"/>
            </w:tcBorders>
            <w:shd w:val="clear" w:color="auto" w:fill="auto"/>
            <w:vAlign w:val="center"/>
            <w:hideMark/>
          </w:tcPr>
          <w:p w14:paraId="0C893DD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6F186650"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3F5A4209"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04A41DAD"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2713377D"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27446E62"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074B7362"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7496188B"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vAlign w:val="center"/>
            <w:hideMark/>
          </w:tcPr>
          <w:p w14:paraId="3D38713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95B90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8B65E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755D8A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366716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C19C0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2E9BD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C060E5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F5FD9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B1C2D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30E4F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tcBorders>
              <w:top w:val="nil"/>
              <w:left w:val="nil"/>
              <w:bottom w:val="single" w:sz="4" w:space="0" w:color="auto"/>
              <w:right w:val="single" w:sz="4" w:space="0" w:color="auto"/>
            </w:tcBorders>
            <w:shd w:val="clear" w:color="auto" w:fill="auto"/>
            <w:vAlign w:val="center"/>
            <w:hideMark/>
          </w:tcPr>
          <w:p w14:paraId="071FEE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7D90B22A" w14:textId="77777777" w:rsidTr="00C42BB8">
        <w:trPr>
          <w:trHeight w:val="20"/>
        </w:trPr>
        <w:tc>
          <w:tcPr>
            <w:tcW w:w="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1A0E5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69410</w:t>
            </w:r>
          </w:p>
        </w:tc>
        <w:tc>
          <w:tcPr>
            <w:tcW w:w="24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A4DC1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zvalidovaných experimentálních či kvazi-experimentálních ověření nových nástrojů</w:t>
            </w:r>
          </w:p>
        </w:tc>
        <w:tc>
          <w:tcPr>
            <w:tcW w:w="4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F9B8EC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6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C16C3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6266C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Ověření</w:t>
            </w:r>
          </w:p>
        </w:tc>
        <w:tc>
          <w:tcPr>
            <w:tcW w:w="94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A0ED655"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6"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64171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1,000</w:t>
            </w:r>
          </w:p>
        </w:tc>
        <w:tc>
          <w:tcPr>
            <w:tcW w:w="802" w:type="dxa"/>
            <w:tcBorders>
              <w:top w:val="nil"/>
              <w:left w:val="nil"/>
              <w:bottom w:val="single" w:sz="4" w:space="0" w:color="auto"/>
              <w:right w:val="single" w:sz="4" w:space="0" w:color="auto"/>
            </w:tcBorders>
            <w:shd w:val="clear" w:color="000000" w:fill="E7E6E6"/>
            <w:vAlign w:val="center"/>
            <w:hideMark/>
          </w:tcPr>
          <w:p w14:paraId="37ABB6E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51959F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740A5A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4C4FDED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2F23B6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08284C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0,280</w:t>
            </w:r>
          </w:p>
        </w:tc>
        <w:tc>
          <w:tcPr>
            <w:tcW w:w="802" w:type="dxa"/>
            <w:tcBorders>
              <w:top w:val="nil"/>
              <w:left w:val="nil"/>
              <w:bottom w:val="single" w:sz="4" w:space="0" w:color="auto"/>
              <w:right w:val="single" w:sz="4" w:space="0" w:color="auto"/>
            </w:tcBorders>
            <w:shd w:val="clear" w:color="000000" w:fill="E7E6E6"/>
            <w:vAlign w:val="center"/>
            <w:hideMark/>
          </w:tcPr>
          <w:p w14:paraId="0D090B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2EFCAB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2E498E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56FB012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76678C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28,000</w:t>
            </w:r>
          </w:p>
        </w:tc>
      </w:tr>
      <w:tr w:rsidR="0070459D" w:rsidRPr="0070459D" w14:paraId="441B5B7D"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330FE979"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047C964F"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3A9F15E3"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0417805B"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14A3E333"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6E4FE195"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098E0AF7"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294766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333B80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CC32CC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369AC6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AAFE4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78D982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B65EA3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FD76F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26F00A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1C58B0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727315E1"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BBA31CB"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6891A2E6"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36233F40"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013E5119"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4EB9CD33"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4902024F"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6D1F5B66"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67025BED"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FFFFFF"/>
            <w:vAlign w:val="center"/>
            <w:hideMark/>
          </w:tcPr>
          <w:p w14:paraId="608D87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308CD75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262DDED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48CA23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DC6F08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24060E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175DE2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07B5F2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A12C0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FFFFFF"/>
            <w:vAlign w:val="center"/>
            <w:hideMark/>
          </w:tcPr>
          <w:p w14:paraId="6C642D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5A272B6F"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0137A65"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211504E0"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3E68CDD5"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55AD30A8"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7030736C"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0DC8E0A3"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6E5E7DFE"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vMerge/>
            <w:tcBorders>
              <w:top w:val="nil"/>
              <w:left w:val="single" w:sz="4" w:space="0" w:color="auto"/>
              <w:bottom w:val="single" w:sz="4" w:space="0" w:color="000000"/>
              <w:right w:val="single" w:sz="4" w:space="0" w:color="auto"/>
            </w:tcBorders>
            <w:vAlign w:val="center"/>
            <w:hideMark/>
          </w:tcPr>
          <w:p w14:paraId="3A145CA1"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000000" w:fill="E7E6E6"/>
            <w:vAlign w:val="center"/>
            <w:hideMark/>
          </w:tcPr>
          <w:p w14:paraId="3A3260E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39BD7F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35D120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32E04CA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61E912B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2" w:type="dxa"/>
            <w:tcBorders>
              <w:top w:val="nil"/>
              <w:left w:val="nil"/>
              <w:bottom w:val="single" w:sz="4" w:space="0" w:color="auto"/>
              <w:right w:val="single" w:sz="4" w:space="0" w:color="auto"/>
            </w:tcBorders>
            <w:shd w:val="clear" w:color="000000" w:fill="E7E6E6"/>
            <w:vAlign w:val="center"/>
            <w:hideMark/>
          </w:tcPr>
          <w:p w14:paraId="457F8F8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0,280</w:t>
            </w:r>
          </w:p>
        </w:tc>
        <w:tc>
          <w:tcPr>
            <w:tcW w:w="802" w:type="dxa"/>
            <w:tcBorders>
              <w:top w:val="nil"/>
              <w:left w:val="nil"/>
              <w:bottom w:val="single" w:sz="4" w:space="0" w:color="auto"/>
              <w:right w:val="single" w:sz="4" w:space="0" w:color="auto"/>
            </w:tcBorders>
            <w:shd w:val="clear" w:color="000000" w:fill="E7E6E6"/>
            <w:vAlign w:val="center"/>
            <w:hideMark/>
          </w:tcPr>
          <w:p w14:paraId="49B13B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2F3DDB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73275D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000000" w:fill="E7E6E6"/>
            <w:vAlign w:val="center"/>
            <w:hideMark/>
          </w:tcPr>
          <w:p w14:paraId="4846A9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0" w:type="dxa"/>
            <w:vMerge/>
            <w:tcBorders>
              <w:top w:val="nil"/>
              <w:left w:val="single" w:sz="4" w:space="0" w:color="auto"/>
              <w:bottom w:val="single" w:sz="4" w:space="0" w:color="000000"/>
              <w:right w:val="single" w:sz="4" w:space="0" w:color="auto"/>
            </w:tcBorders>
            <w:vAlign w:val="center"/>
            <w:hideMark/>
          </w:tcPr>
          <w:p w14:paraId="59DFF6FF"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AB1EC56"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064B1B6F"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0A682149"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57D191E1"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1DD63A67"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3E8B44A1"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7FD4ABB4"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noWrap/>
            <w:vAlign w:val="bottom"/>
            <w:hideMark/>
          </w:tcPr>
          <w:p w14:paraId="1CCC02B7"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5990F6B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29562C0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69E3654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53B0333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29AAE06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1B7004E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33789C7C"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35180BF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769041D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173BEFDD"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10" w:type="dxa"/>
            <w:tcBorders>
              <w:top w:val="nil"/>
              <w:left w:val="nil"/>
              <w:bottom w:val="single" w:sz="4" w:space="0" w:color="auto"/>
              <w:right w:val="single" w:sz="4" w:space="0" w:color="auto"/>
            </w:tcBorders>
            <w:shd w:val="clear" w:color="auto" w:fill="auto"/>
            <w:noWrap/>
            <w:vAlign w:val="bottom"/>
            <w:hideMark/>
          </w:tcPr>
          <w:p w14:paraId="716DC1D5"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r w:rsidR="0070459D" w:rsidRPr="0070459D" w14:paraId="7C2FB321" w14:textId="77777777" w:rsidTr="00C42BB8">
        <w:trPr>
          <w:trHeight w:val="20"/>
        </w:trPr>
        <w:tc>
          <w:tcPr>
            <w:tcW w:w="506" w:type="dxa"/>
            <w:vMerge/>
            <w:tcBorders>
              <w:top w:val="nil"/>
              <w:left w:val="single" w:sz="4" w:space="0" w:color="auto"/>
              <w:bottom w:val="single" w:sz="4" w:space="0" w:color="000000"/>
              <w:right w:val="single" w:sz="4" w:space="0" w:color="auto"/>
            </w:tcBorders>
            <w:vAlign w:val="center"/>
            <w:hideMark/>
          </w:tcPr>
          <w:p w14:paraId="36C45EB5" w14:textId="77777777" w:rsidR="0070459D" w:rsidRPr="0070459D" w:rsidRDefault="0070459D" w:rsidP="0070459D">
            <w:pPr>
              <w:rPr>
                <w:rFonts w:ascii="Arial" w:eastAsia="Times New Roman" w:hAnsi="Arial" w:cs="Arial"/>
                <w:color w:val="000000"/>
                <w:sz w:val="14"/>
                <w:szCs w:val="14"/>
                <w:lang w:val="cs-CZ" w:eastAsia="cs-CZ"/>
              </w:rPr>
            </w:pPr>
          </w:p>
        </w:tc>
        <w:tc>
          <w:tcPr>
            <w:tcW w:w="2417" w:type="dxa"/>
            <w:vMerge/>
            <w:tcBorders>
              <w:top w:val="nil"/>
              <w:left w:val="single" w:sz="4" w:space="0" w:color="auto"/>
              <w:bottom w:val="single" w:sz="4" w:space="0" w:color="000000"/>
              <w:right w:val="single" w:sz="4" w:space="0" w:color="auto"/>
            </w:tcBorders>
            <w:vAlign w:val="center"/>
            <w:hideMark/>
          </w:tcPr>
          <w:p w14:paraId="267219D3" w14:textId="77777777" w:rsidR="0070459D" w:rsidRPr="0070459D" w:rsidRDefault="0070459D" w:rsidP="0070459D">
            <w:pPr>
              <w:rPr>
                <w:rFonts w:ascii="Arial" w:eastAsia="Times New Roman" w:hAnsi="Arial" w:cs="Arial"/>
                <w:color w:val="000000"/>
                <w:sz w:val="14"/>
                <w:szCs w:val="14"/>
                <w:lang w:val="cs-CZ" w:eastAsia="cs-CZ"/>
              </w:rPr>
            </w:pPr>
          </w:p>
        </w:tc>
        <w:tc>
          <w:tcPr>
            <w:tcW w:w="491" w:type="dxa"/>
            <w:vMerge/>
            <w:tcBorders>
              <w:top w:val="nil"/>
              <w:left w:val="single" w:sz="4" w:space="0" w:color="auto"/>
              <w:bottom w:val="single" w:sz="4" w:space="0" w:color="000000"/>
              <w:right w:val="single" w:sz="4" w:space="0" w:color="auto"/>
            </w:tcBorders>
            <w:vAlign w:val="center"/>
            <w:hideMark/>
          </w:tcPr>
          <w:p w14:paraId="025585DA" w14:textId="77777777" w:rsidR="0070459D" w:rsidRPr="0070459D" w:rsidRDefault="0070459D" w:rsidP="0070459D">
            <w:pPr>
              <w:rPr>
                <w:rFonts w:ascii="Arial" w:eastAsia="Times New Roman" w:hAnsi="Arial" w:cs="Arial"/>
                <w:color w:val="000000"/>
                <w:sz w:val="14"/>
                <w:szCs w:val="14"/>
                <w:lang w:val="cs-CZ" w:eastAsia="cs-CZ"/>
              </w:rPr>
            </w:pPr>
          </w:p>
        </w:tc>
        <w:tc>
          <w:tcPr>
            <w:tcW w:w="1166" w:type="dxa"/>
            <w:vMerge/>
            <w:tcBorders>
              <w:top w:val="nil"/>
              <w:left w:val="single" w:sz="4" w:space="0" w:color="auto"/>
              <w:bottom w:val="single" w:sz="4" w:space="0" w:color="000000"/>
              <w:right w:val="single" w:sz="4" w:space="0" w:color="auto"/>
            </w:tcBorders>
            <w:vAlign w:val="center"/>
            <w:hideMark/>
          </w:tcPr>
          <w:p w14:paraId="25FCB9A3" w14:textId="77777777" w:rsidR="0070459D" w:rsidRPr="0070459D" w:rsidRDefault="0070459D" w:rsidP="0070459D">
            <w:pPr>
              <w:rPr>
                <w:rFonts w:ascii="Arial" w:eastAsia="Times New Roman" w:hAnsi="Arial" w:cs="Arial"/>
                <w:color w:val="000000"/>
                <w:sz w:val="14"/>
                <w:szCs w:val="14"/>
                <w:lang w:val="cs-CZ" w:eastAsia="cs-CZ"/>
              </w:rPr>
            </w:pPr>
          </w:p>
        </w:tc>
        <w:tc>
          <w:tcPr>
            <w:tcW w:w="817" w:type="dxa"/>
            <w:vMerge/>
            <w:tcBorders>
              <w:top w:val="nil"/>
              <w:left w:val="single" w:sz="4" w:space="0" w:color="auto"/>
              <w:bottom w:val="single" w:sz="4" w:space="0" w:color="000000"/>
              <w:right w:val="single" w:sz="4" w:space="0" w:color="auto"/>
            </w:tcBorders>
            <w:vAlign w:val="center"/>
            <w:hideMark/>
          </w:tcPr>
          <w:p w14:paraId="6B6A79F5" w14:textId="77777777" w:rsidR="0070459D" w:rsidRPr="0070459D" w:rsidRDefault="0070459D" w:rsidP="0070459D">
            <w:pPr>
              <w:rPr>
                <w:rFonts w:ascii="Arial" w:eastAsia="Times New Roman" w:hAnsi="Arial" w:cs="Arial"/>
                <w:color w:val="000000"/>
                <w:sz w:val="14"/>
                <w:szCs w:val="14"/>
                <w:lang w:val="cs-CZ" w:eastAsia="cs-CZ"/>
              </w:rPr>
            </w:pPr>
          </w:p>
        </w:tc>
        <w:tc>
          <w:tcPr>
            <w:tcW w:w="943" w:type="dxa"/>
            <w:vMerge/>
            <w:tcBorders>
              <w:top w:val="nil"/>
              <w:left w:val="single" w:sz="4" w:space="0" w:color="auto"/>
              <w:bottom w:val="single" w:sz="4" w:space="0" w:color="000000"/>
              <w:right w:val="single" w:sz="4" w:space="0" w:color="auto"/>
            </w:tcBorders>
            <w:vAlign w:val="center"/>
            <w:hideMark/>
          </w:tcPr>
          <w:p w14:paraId="6ED59161" w14:textId="77777777" w:rsidR="0070459D" w:rsidRPr="0070459D" w:rsidRDefault="0070459D" w:rsidP="0070459D">
            <w:pPr>
              <w:rPr>
                <w:rFonts w:ascii="Arial" w:eastAsia="Times New Roman" w:hAnsi="Arial" w:cs="Arial"/>
                <w:color w:val="000000"/>
                <w:sz w:val="14"/>
                <w:szCs w:val="14"/>
                <w:lang w:val="cs-CZ" w:eastAsia="cs-CZ"/>
              </w:rPr>
            </w:pPr>
          </w:p>
        </w:tc>
        <w:tc>
          <w:tcPr>
            <w:tcW w:w="706" w:type="dxa"/>
            <w:tcBorders>
              <w:top w:val="nil"/>
              <w:left w:val="nil"/>
              <w:bottom w:val="single" w:sz="4" w:space="0" w:color="auto"/>
              <w:right w:val="single" w:sz="4" w:space="0" w:color="auto"/>
            </w:tcBorders>
            <w:shd w:val="clear" w:color="auto" w:fill="auto"/>
            <w:noWrap/>
            <w:vAlign w:val="bottom"/>
            <w:hideMark/>
          </w:tcPr>
          <w:p w14:paraId="12372D4D"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69D1AE9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2C2321C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5AD4C4F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2F94E52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7E274C6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44AAD95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6960DB3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43C6831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319F75A7"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2" w:type="dxa"/>
            <w:tcBorders>
              <w:top w:val="nil"/>
              <w:left w:val="nil"/>
              <w:bottom w:val="single" w:sz="4" w:space="0" w:color="auto"/>
              <w:right w:val="single" w:sz="4" w:space="0" w:color="auto"/>
            </w:tcBorders>
            <w:shd w:val="clear" w:color="auto" w:fill="auto"/>
            <w:noWrap/>
            <w:vAlign w:val="bottom"/>
            <w:hideMark/>
          </w:tcPr>
          <w:p w14:paraId="4D7143E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10" w:type="dxa"/>
            <w:tcBorders>
              <w:top w:val="nil"/>
              <w:left w:val="nil"/>
              <w:bottom w:val="single" w:sz="4" w:space="0" w:color="auto"/>
              <w:right w:val="single" w:sz="4" w:space="0" w:color="auto"/>
            </w:tcBorders>
            <w:shd w:val="clear" w:color="auto" w:fill="auto"/>
            <w:noWrap/>
            <w:vAlign w:val="bottom"/>
            <w:hideMark/>
          </w:tcPr>
          <w:p w14:paraId="0D471CFC" w14:textId="63FFB94B"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bl>
    <w:p w14:paraId="3B772FB0" w14:textId="1AA6B24D" w:rsidR="00FD35AB" w:rsidRPr="002F2BE4" w:rsidRDefault="00FD35AB" w:rsidP="00A722E5">
      <w:pPr>
        <w:ind w:right="108"/>
        <w:jc w:val="both"/>
        <w:rPr>
          <w:rFonts w:ascii="Arial" w:eastAsia="Arial" w:hAnsi="Arial" w:cs="Arial"/>
          <w:color w:val="000000"/>
          <w:sz w:val="20"/>
          <w:lang w:val="cs-CZ"/>
        </w:rPr>
      </w:pPr>
    </w:p>
    <w:p w14:paraId="666D4B80"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03.3.60 Aktivní začleňování, včetně začleňování s ohledem na podporu rovných příležitostí a aktivní účast a zlepšení zaměstnatelnosti</w:t>
      </w:r>
    </w:p>
    <w:tbl>
      <w:tblPr>
        <w:tblW w:w="15740" w:type="dxa"/>
        <w:tblInd w:w="75" w:type="dxa"/>
        <w:tblCellMar>
          <w:left w:w="70" w:type="dxa"/>
          <w:right w:w="70" w:type="dxa"/>
        </w:tblCellMar>
        <w:tblLook w:val="04A0" w:firstRow="1" w:lastRow="0" w:firstColumn="1" w:lastColumn="0" w:noHBand="0" w:noVBand="1"/>
      </w:tblPr>
      <w:tblGrid>
        <w:gridCol w:w="531"/>
        <w:gridCol w:w="2432"/>
        <w:gridCol w:w="493"/>
        <w:gridCol w:w="1172"/>
        <w:gridCol w:w="856"/>
        <w:gridCol w:w="949"/>
        <w:gridCol w:w="708"/>
        <w:gridCol w:w="796"/>
        <w:gridCol w:w="796"/>
        <w:gridCol w:w="796"/>
        <w:gridCol w:w="796"/>
        <w:gridCol w:w="796"/>
        <w:gridCol w:w="796"/>
        <w:gridCol w:w="796"/>
        <w:gridCol w:w="796"/>
        <w:gridCol w:w="796"/>
        <w:gridCol w:w="796"/>
        <w:gridCol w:w="11"/>
        <w:gridCol w:w="628"/>
      </w:tblGrid>
      <w:tr w:rsidR="0070459D" w:rsidRPr="0070459D" w14:paraId="1E552E97" w14:textId="77777777" w:rsidTr="00A722E5">
        <w:trPr>
          <w:trHeight w:val="20"/>
          <w:tblHeader/>
        </w:trPr>
        <w:tc>
          <w:tcPr>
            <w:tcW w:w="5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8DAB2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ID</w:t>
            </w:r>
          </w:p>
        </w:tc>
        <w:tc>
          <w:tcPr>
            <w:tcW w:w="24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ECE24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Indikátor</w:t>
            </w:r>
          </w:p>
        </w:tc>
        <w:tc>
          <w:tcPr>
            <w:tcW w:w="4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B153E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ESF / YEI</w:t>
            </w:r>
          </w:p>
        </w:tc>
        <w:tc>
          <w:tcPr>
            <w:tcW w:w="11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CEC687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Kategorie regionu (je-li relevantní)</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46F480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Měrná jednotka</w:t>
            </w:r>
          </w:p>
        </w:tc>
        <w:tc>
          <w:tcPr>
            <w:tcW w:w="9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2C4A3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Jednotka měření pro výchozí hodnotu a cíl</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27962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Cílová hodnota (2023)</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0BB8AAF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2014</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46839A2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2015</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41BE7F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2016</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441BD86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2017</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7B48DAD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2018</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3500C05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2019</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78DF15F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2020</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215B124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2021</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3DD819F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2022</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14:paraId="2668BDB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2023</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4417E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Míra splnění</w:t>
            </w:r>
          </w:p>
        </w:tc>
      </w:tr>
      <w:tr w:rsidR="0070459D" w:rsidRPr="0070459D" w14:paraId="159E1DF4"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4E92980" w14:textId="77777777" w:rsidR="0070459D" w:rsidRPr="0070459D" w:rsidRDefault="0070459D" w:rsidP="0070459D">
            <w:pPr>
              <w:rPr>
                <w:rFonts w:ascii="Arial" w:eastAsia="Times New Roman" w:hAnsi="Arial" w:cs="Arial"/>
                <w:b/>
                <w:bCs/>
                <w:color w:val="000000"/>
                <w:sz w:val="14"/>
                <w:szCs w:val="14"/>
                <w:lang w:val="cs-CZ" w:eastAsia="cs-CZ"/>
              </w:rPr>
            </w:pPr>
          </w:p>
        </w:tc>
        <w:tc>
          <w:tcPr>
            <w:tcW w:w="2459" w:type="dxa"/>
            <w:vMerge/>
            <w:tcBorders>
              <w:top w:val="single" w:sz="4" w:space="0" w:color="auto"/>
              <w:left w:val="single" w:sz="4" w:space="0" w:color="auto"/>
              <w:bottom w:val="single" w:sz="4" w:space="0" w:color="auto"/>
              <w:right w:val="single" w:sz="4" w:space="0" w:color="auto"/>
            </w:tcBorders>
            <w:vAlign w:val="center"/>
            <w:hideMark/>
          </w:tcPr>
          <w:p w14:paraId="3FE9FAC0"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0E457D22"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1ADE2B9D" w14:textId="77777777" w:rsidR="0070459D" w:rsidRPr="0070459D" w:rsidRDefault="0070459D" w:rsidP="0070459D">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83BEA98" w14:textId="77777777" w:rsidR="0070459D" w:rsidRPr="0070459D" w:rsidRDefault="0070459D" w:rsidP="0070459D">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0DA3AAC7"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ADB5ACD" w14:textId="77777777" w:rsidR="0070459D" w:rsidRPr="0070459D" w:rsidRDefault="0070459D" w:rsidP="0070459D">
            <w:pPr>
              <w:rPr>
                <w:rFonts w:ascii="Arial" w:eastAsia="Times New Roman" w:hAnsi="Arial" w:cs="Arial"/>
                <w:b/>
                <w:bCs/>
                <w:color w:val="000000"/>
                <w:sz w:val="14"/>
                <w:szCs w:val="14"/>
                <w:lang w:val="cs-CZ" w:eastAsia="cs-CZ"/>
              </w:rPr>
            </w:pPr>
          </w:p>
        </w:tc>
        <w:tc>
          <w:tcPr>
            <w:tcW w:w="8006" w:type="dxa"/>
            <w:gridSpan w:val="11"/>
            <w:tcBorders>
              <w:top w:val="single" w:sz="4" w:space="0" w:color="auto"/>
              <w:left w:val="nil"/>
              <w:bottom w:val="single" w:sz="4" w:space="0" w:color="auto"/>
              <w:right w:val="single" w:sz="4" w:space="0" w:color="auto"/>
            </w:tcBorders>
            <w:shd w:val="clear" w:color="000000" w:fill="FFFFFF"/>
            <w:vAlign w:val="center"/>
            <w:hideMark/>
          </w:tcPr>
          <w:p w14:paraId="2C37416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Roční hodnota</w:t>
            </w:r>
          </w:p>
        </w:tc>
        <w:tc>
          <w:tcPr>
            <w:tcW w:w="612" w:type="dxa"/>
            <w:vMerge/>
            <w:tcBorders>
              <w:top w:val="single" w:sz="4" w:space="0" w:color="auto"/>
              <w:left w:val="single" w:sz="4" w:space="0" w:color="auto"/>
              <w:bottom w:val="single" w:sz="4" w:space="0" w:color="auto"/>
              <w:right w:val="single" w:sz="4" w:space="0" w:color="auto"/>
            </w:tcBorders>
            <w:vAlign w:val="center"/>
            <w:hideMark/>
          </w:tcPr>
          <w:p w14:paraId="5ED467C7"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24C66C8A"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DEFD941" w14:textId="77777777" w:rsidR="0070459D" w:rsidRPr="0070459D" w:rsidRDefault="0070459D" w:rsidP="0070459D">
            <w:pPr>
              <w:rPr>
                <w:rFonts w:ascii="Arial" w:eastAsia="Times New Roman" w:hAnsi="Arial" w:cs="Arial"/>
                <w:b/>
                <w:bCs/>
                <w:color w:val="000000"/>
                <w:sz w:val="14"/>
                <w:szCs w:val="14"/>
                <w:lang w:val="cs-CZ" w:eastAsia="cs-CZ"/>
              </w:rPr>
            </w:pPr>
          </w:p>
        </w:tc>
        <w:tc>
          <w:tcPr>
            <w:tcW w:w="2459" w:type="dxa"/>
            <w:vMerge/>
            <w:tcBorders>
              <w:top w:val="single" w:sz="4" w:space="0" w:color="auto"/>
              <w:left w:val="single" w:sz="4" w:space="0" w:color="auto"/>
              <w:bottom w:val="single" w:sz="4" w:space="0" w:color="auto"/>
              <w:right w:val="single" w:sz="4" w:space="0" w:color="auto"/>
            </w:tcBorders>
            <w:vAlign w:val="center"/>
            <w:hideMark/>
          </w:tcPr>
          <w:p w14:paraId="256E749F"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197CC1B8"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62206E08" w14:textId="77777777" w:rsidR="0070459D" w:rsidRPr="0070459D" w:rsidRDefault="0070459D" w:rsidP="0070459D">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112A1FF8" w14:textId="77777777" w:rsidR="0070459D" w:rsidRPr="0070459D" w:rsidRDefault="0070459D" w:rsidP="0070459D">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181938A0"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A9E0933" w14:textId="77777777" w:rsidR="0070459D" w:rsidRPr="0070459D" w:rsidRDefault="0070459D" w:rsidP="0070459D">
            <w:pPr>
              <w:rPr>
                <w:rFonts w:ascii="Arial" w:eastAsia="Times New Roman" w:hAnsi="Arial" w:cs="Arial"/>
                <w:b/>
                <w:bCs/>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7E6E6"/>
            <w:vAlign w:val="center"/>
            <w:hideMark/>
          </w:tcPr>
          <w:p w14:paraId="3BD3B06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43237F8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43E0B15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1E00392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099CC81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5EB4BBB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5691955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2A1B509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74EED7B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09D5754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2" w:type="dxa"/>
            <w:gridSpan w:val="2"/>
            <w:vMerge/>
            <w:tcBorders>
              <w:top w:val="single" w:sz="4" w:space="0" w:color="auto"/>
              <w:left w:val="single" w:sz="4" w:space="0" w:color="auto"/>
              <w:bottom w:val="single" w:sz="4" w:space="0" w:color="auto"/>
              <w:right w:val="single" w:sz="4" w:space="0" w:color="auto"/>
            </w:tcBorders>
            <w:vAlign w:val="center"/>
            <w:hideMark/>
          </w:tcPr>
          <w:p w14:paraId="5D01AFE9"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020A3281"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B3EBD60" w14:textId="77777777" w:rsidR="0070459D" w:rsidRPr="0070459D" w:rsidRDefault="0070459D" w:rsidP="0070459D">
            <w:pPr>
              <w:rPr>
                <w:rFonts w:ascii="Arial" w:eastAsia="Times New Roman" w:hAnsi="Arial" w:cs="Arial"/>
                <w:b/>
                <w:bCs/>
                <w:color w:val="000000"/>
                <w:sz w:val="14"/>
                <w:szCs w:val="14"/>
                <w:lang w:val="cs-CZ" w:eastAsia="cs-CZ"/>
              </w:rPr>
            </w:pPr>
          </w:p>
        </w:tc>
        <w:tc>
          <w:tcPr>
            <w:tcW w:w="2459" w:type="dxa"/>
            <w:vMerge/>
            <w:tcBorders>
              <w:top w:val="single" w:sz="4" w:space="0" w:color="auto"/>
              <w:left w:val="single" w:sz="4" w:space="0" w:color="auto"/>
              <w:bottom w:val="single" w:sz="4" w:space="0" w:color="auto"/>
              <w:right w:val="single" w:sz="4" w:space="0" w:color="auto"/>
            </w:tcBorders>
            <w:vAlign w:val="center"/>
            <w:hideMark/>
          </w:tcPr>
          <w:p w14:paraId="60F40482"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0C5DDA27"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0786C55D" w14:textId="77777777" w:rsidR="0070459D" w:rsidRPr="0070459D" w:rsidRDefault="0070459D" w:rsidP="0070459D">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84E474B" w14:textId="77777777" w:rsidR="0070459D" w:rsidRPr="0070459D" w:rsidRDefault="0070459D" w:rsidP="0070459D">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4E11DF2A"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EAB1CB6" w14:textId="77777777" w:rsidR="0070459D" w:rsidRPr="0070459D" w:rsidRDefault="0070459D" w:rsidP="0070459D">
            <w:pPr>
              <w:rPr>
                <w:rFonts w:ascii="Arial" w:eastAsia="Times New Roman" w:hAnsi="Arial" w:cs="Arial"/>
                <w:b/>
                <w:bCs/>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25792C6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34A99E1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6A23ED4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7F523A0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1088B66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67C92B5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2B9141E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7E9976A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6069F9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5C834DE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2" w:type="dxa"/>
            <w:gridSpan w:val="2"/>
            <w:vMerge/>
            <w:tcBorders>
              <w:top w:val="single" w:sz="4" w:space="0" w:color="auto"/>
              <w:left w:val="single" w:sz="4" w:space="0" w:color="auto"/>
              <w:bottom w:val="single" w:sz="4" w:space="0" w:color="auto"/>
              <w:right w:val="single" w:sz="4" w:space="0" w:color="auto"/>
            </w:tcBorders>
            <w:vAlign w:val="center"/>
            <w:hideMark/>
          </w:tcPr>
          <w:p w14:paraId="3450278E"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0FFF19BE"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5C403004" w14:textId="77777777" w:rsidR="0070459D" w:rsidRPr="0070459D" w:rsidRDefault="0070459D" w:rsidP="0070459D">
            <w:pPr>
              <w:rPr>
                <w:rFonts w:ascii="Arial" w:eastAsia="Times New Roman" w:hAnsi="Arial" w:cs="Arial"/>
                <w:b/>
                <w:bCs/>
                <w:color w:val="000000"/>
                <w:sz w:val="14"/>
                <w:szCs w:val="14"/>
                <w:lang w:val="cs-CZ" w:eastAsia="cs-CZ"/>
              </w:rPr>
            </w:pPr>
          </w:p>
        </w:tc>
        <w:tc>
          <w:tcPr>
            <w:tcW w:w="2459" w:type="dxa"/>
            <w:vMerge/>
            <w:tcBorders>
              <w:top w:val="single" w:sz="4" w:space="0" w:color="auto"/>
              <w:left w:val="single" w:sz="4" w:space="0" w:color="auto"/>
              <w:bottom w:val="single" w:sz="4" w:space="0" w:color="auto"/>
              <w:right w:val="single" w:sz="4" w:space="0" w:color="auto"/>
            </w:tcBorders>
            <w:vAlign w:val="center"/>
            <w:hideMark/>
          </w:tcPr>
          <w:p w14:paraId="257EE94A"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10C89294"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79ABF14F" w14:textId="77777777" w:rsidR="0070459D" w:rsidRPr="0070459D" w:rsidRDefault="0070459D" w:rsidP="0070459D">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45550B8" w14:textId="77777777" w:rsidR="0070459D" w:rsidRPr="0070459D" w:rsidRDefault="0070459D" w:rsidP="0070459D">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680687C5"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D93841B" w14:textId="77777777" w:rsidR="0070459D" w:rsidRPr="0070459D" w:rsidRDefault="0070459D" w:rsidP="0070459D">
            <w:pPr>
              <w:rPr>
                <w:rFonts w:ascii="Arial" w:eastAsia="Times New Roman" w:hAnsi="Arial" w:cs="Arial"/>
                <w:b/>
                <w:bCs/>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7F3FDD1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5011C10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5427052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77FE952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7CAD7C3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2682617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72E1908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52719E3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6BD0BA9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4194102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2" w:type="dxa"/>
            <w:gridSpan w:val="2"/>
            <w:vMerge/>
            <w:tcBorders>
              <w:top w:val="single" w:sz="4" w:space="0" w:color="auto"/>
              <w:left w:val="single" w:sz="4" w:space="0" w:color="auto"/>
              <w:bottom w:val="single" w:sz="4" w:space="0" w:color="auto"/>
              <w:right w:val="single" w:sz="4" w:space="0" w:color="auto"/>
            </w:tcBorders>
            <w:vAlign w:val="center"/>
            <w:hideMark/>
          </w:tcPr>
          <w:p w14:paraId="683D3AA1"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4BC01121"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88B4D0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59" w:type="dxa"/>
            <w:vMerge/>
            <w:tcBorders>
              <w:top w:val="single" w:sz="4" w:space="0" w:color="auto"/>
              <w:left w:val="single" w:sz="4" w:space="0" w:color="auto"/>
              <w:bottom w:val="single" w:sz="4" w:space="0" w:color="auto"/>
              <w:right w:val="single" w:sz="4" w:space="0" w:color="auto"/>
            </w:tcBorders>
            <w:vAlign w:val="center"/>
            <w:hideMark/>
          </w:tcPr>
          <w:p w14:paraId="23174942"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4F622D89"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0479C255" w14:textId="77777777" w:rsidR="0070459D" w:rsidRPr="0070459D" w:rsidRDefault="0070459D" w:rsidP="0070459D">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4E20D706" w14:textId="77777777" w:rsidR="0070459D" w:rsidRPr="0070459D" w:rsidRDefault="0070459D" w:rsidP="0070459D">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5CE5D818"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8A00587" w14:textId="77777777" w:rsidR="0070459D" w:rsidRPr="0070459D" w:rsidRDefault="0070459D" w:rsidP="0070459D">
            <w:pPr>
              <w:rPr>
                <w:rFonts w:ascii="Arial" w:eastAsia="Times New Roman" w:hAnsi="Arial" w:cs="Arial"/>
                <w:b/>
                <w:bCs/>
                <w:color w:val="000000"/>
                <w:sz w:val="14"/>
                <w:szCs w:val="14"/>
                <w:lang w:val="cs-CZ" w:eastAsia="cs-CZ"/>
              </w:rPr>
            </w:pPr>
          </w:p>
        </w:tc>
        <w:tc>
          <w:tcPr>
            <w:tcW w:w="8006" w:type="dxa"/>
            <w:gridSpan w:val="11"/>
            <w:tcBorders>
              <w:top w:val="single" w:sz="4" w:space="0" w:color="auto"/>
              <w:left w:val="nil"/>
              <w:bottom w:val="single" w:sz="4" w:space="0" w:color="auto"/>
              <w:right w:val="single" w:sz="4" w:space="0" w:color="auto"/>
            </w:tcBorders>
            <w:shd w:val="clear" w:color="000000" w:fill="FFFFFF"/>
            <w:vAlign w:val="center"/>
            <w:hideMark/>
          </w:tcPr>
          <w:p w14:paraId="2E01131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Kumulativní hodnota</w:t>
            </w:r>
          </w:p>
        </w:tc>
        <w:tc>
          <w:tcPr>
            <w:tcW w:w="612" w:type="dxa"/>
            <w:vMerge/>
            <w:tcBorders>
              <w:top w:val="single" w:sz="4" w:space="0" w:color="auto"/>
              <w:left w:val="single" w:sz="4" w:space="0" w:color="auto"/>
              <w:bottom w:val="single" w:sz="4" w:space="0" w:color="auto"/>
              <w:right w:val="single" w:sz="4" w:space="0" w:color="auto"/>
            </w:tcBorders>
            <w:vAlign w:val="center"/>
            <w:hideMark/>
          </w:tcPr>
          <w:p w14:paraId="7A4532F0"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7D03F8A0"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225E0737" w14:textId="77777777" w:rsidR="0070459D" w:rsidRPr="0070459D" w:rsidRDefault="0070459D" w:rsidP="0070459D">
            <w:pPr>
              <w:rPr>
                <w:rFonts w:ascii="Arial" w:eastAsia="Times New Roman" w:hAnsi="Arial" w:cs="Arial"/>
                <w:b/>
                <w:bCs/>
                <w:color w:val="000000"/>
                <w:sz w:val="14"/>
                <w:szCs w:val="14"/>
                <w:lang w:val="cs-CZ" w:eastAsia="cs-CZ"/>
              </w:rPr>
            </w:pPr>
          </w:p>
        </w:tc>
        <w:tc>
          <w:tcPr>
            <w:tcW w:w="2459" w:type="dxa"/>
            <w:vMerge/>
            <w:tcBorders>
              <w:top w:val="single" w:sz="4" w:space="0" w:color="auto"/>
              <w:left w:val="single" w:sz="4" w:space="0" w:color="auto"/>
              <w:bottom w:val="single" w:sz="4" w:space="0" w:color="auto"/>
              <w:right w:val="single" w:sz="4" w:space="0" w:color="auto"/>
            </w:tcBorders>
            <w:vAlign w:val="center"/>
            <w:hideMark/>
          </w:tcPr>
          <w:p w14:paraId="0C4795DC"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314CDA56"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6C60DEAB" w14:textId="77777777" w:rsidR="0070459D" w:rsidRPr="0070459D" w:rsidRDefault="0070459D" w:rsidP="0070459D">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5B4B469F" w14:textId="77777777" w:rsidR="0070459D" w:rsidRPr="0070459D" w:rsidRDefault="0070459D" w:rsidP="0070459D">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71E12F61"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tcBorders>
              <w:top w:val="nil"/>
              <w:left w:val="nil"/>
              <w:bottom w:val="single" w:sz="4" w:space="0" w:color="auto"/>
              <w:right w:val="single" w:sz="4" w:space="0" w:color="auto"/>
            </w:tcBorders>
            <w:shd w:val="clear" w:color="000000" w:fill="E7E6E6"/>
            <w:vAlign w:val="center"/>
            <w:hideMark/>
          </w:tcPr>
          <w:p w14:paraId="66E3927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43771E1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4BC98AE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0DE1BAA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27C13A4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3AE5B1C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18E2D08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50678B3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2F54763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5648603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0" w:type="dxa"/>
            <w:tcBorders>
              <w:top w:val="nil"/>
              <w:left w:val="nil"/>
              <w:bottom w:val="single" w:sz="4" w:space="0" w:color="auto"/>
              <w:right w:val="single" w:sz="4" w:space="0" w:color="auto"/>
            </w:tcBorders>
            <w:shd w:val="clear" w:color="000000" w:fill="E7E6E6"/>
            <w:vAlign w:val="center"/>
            <w:hideMark/>
          </w:tcPr>
          <w:p w14:paraId="31A0135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2" w:type="dxa"/>
            <w:gridSpan w:val="2"/>
            <w:tcBorders>
              <w:top w:val="nil"/>
              <w:left w:val="nil"/>
              <w:bottom w:val="single" w:sz="4" w:space="0" w:color="auto"/>
              <w:right w:val="single" w:sz="4" w:space="0" w:color="auto"/>
            </w:tcBorders>
            <w:shd w:val="clear" w:color="000000" w:fill="E7E6E6"/>
            <w:vAlign w:val="center"/>
            <w:hideMark/>
          </w:tcPr>
          <w:p w14:paraId="6511F57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r>
      <w:tr w:rsidR="0070459D" w:rsidRPr="0070459D" w14:paraId="03C325D3"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1C661D1F" w14:textId="77777777" w:rsidR="0070459D" w:rsidRPr="0070459D" w:rsidRDefault="0070459D" w:rsidP="0070459D">
            <w:pPr>
              <w:rPr>
                <w:rFonts w:ascii="Arial" w:eastAsia="Times New Roman" w:hAnsi="Arial" w:cs="Arial"/>
                <w:b/>
                <w:bCs/>
                <w:color w:val="000000"/>
                <w:sz w:val="14"/>
                <w:szCs w:val="14"/>
                <w:lang w:val="cs-CZ" w:eastAsia="cs-CZ"/>
              </w:rPr>
            </w:pPr>
          </w:p>
        </w:tc>
        <w:tc>
          <w:tcPr>
            <w:tcW w:w="2459" w:type="dxa"/>
            <w:vMerge/>
            <w:tcBorders>
              <w:top w:val="single" w:sz="4" w:space="0" w:color="auto"/>
              <w:left w:val="single" w:sz="4" w:space="0" w:color="auto"/>
              <w:bottom w:val="single" w:sz="4" w:space="0" w:color="auto"/>
              <w:right w:val="single" w:sz="4" w:space="0" w:color="auto"/>
            </w:tcBorders>
            <w:vAlign w:val="center"/>
            <w:hideMark/>
          </w:tcPr>
          <w:p w14:paraId="1477DFA4"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55CB64F4"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76ECBE54" w14:textId="77777777" w:rsidR="0070459D" w:rsidRPr="0070459D" w:rsidRDefault="0070459D" w:rsidP="0070459D">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734E869C" w14:textId="77777777" w:rsidR="0070459D" w:rsidRPr="0070459D" w:rsidRDefault="0070459D" w:rsidP="0070459D">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268F16AB"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tcBorders>
              <w:top w:val="nil"/>
              <w:left w:val="nil"/>
              <w:bottom w:val="single" w:sz="4" w:space="0" w:color="auto"/>
              <w:right w:val="single" w:sz="4" w:space="0" w:color="auto"/>
            </w:tcBorders>
            <w:shd w:val="clear" w:color="000000" w:fill="FFFFFF"/>
            <w:vAlign w:val="center"/>
            <w:hideMark/>
          </w:tcPr>
          <w:p w14:paraId="5A656BA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7FE07F3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627E84F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2ABF623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0B281FE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1D5C38F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7602D62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65DDFE9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107BD24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793E99D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0" w:type="dxa"/>
            <w:tcBorders>
              <w:top w:val="nil"/>
              <w:left w:val="nil"/>
              <w:bottom w:val="single" w:sz="4" w:space="0" w:color="auto"/>
              <w:right w:val="single" w:sz="4" w:space="0" w:color="auto"/>
            </w:tcBorders>
            <w:shd w:val="clear" w:color="000000" w:fill="FFFFFF"/>
            <w:vAlign w:val="center"/>
            <w:hideMark/>
          </w:tcPr>
          <w:p w14:paraId="71A1128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2" w:type="dxa"/>
            <w:gridSpan w:val="2"/>
            <w:tcBorders>
              <w:top w:val="nil"/>
              <w:left w:val="nil"/>
              <w:bottom w:val="single" w:sz="4" w:space="0" w:color="auto"/>
              <w:right w:val="single" w:sz="4" w:space="0" w:color="auto"/>
            </w:tcBorders>
            <w:shd w:val="clear" w:color="000000" w:fill="FFFFFF"/>
            <w:vAlign w:val="center"/>
            <w:hideMark/>
          </w:tcPr>
          <w:p w14:paraId="4B5129F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r>
      <w:tr w:rsidR="0070459D" w:rsidRPr="0070459D" w14:paraId="53D7CF33"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708EBB42" w14:textId="77777777" w:rsidR="0070459D" w:rsidRPr="0070459D" w:rsidRDefault="0070459D" w:rsidP="0070459D">
            <w:pPr>
              <w:rPr>
                <w:rFonts w:ascii="Arial" w:eastAsia="Times New Roman" w:hAnsi="Arial" w:cs="Arial"/>
                <w:b/>
                <w:bCs/>
                <w:color w:val="000000"/>
                <w:sz w:val="14"/>
                <w:szCs w:val="14"/>
                <w:lang w:val="cs-CZ" w:eastAsia="cs-CZ"/>
              </w:rPr>
            </w:pPr>
          </w:p>
        </w:tc>
        <w:tc>
          <w:tcPr>
            <w:tcW w:w="2459" w:type="dxa"/>
            <w:vMerge/>
            <w:tcBorders>
              <w:top w:val="single" w:sz="4" w:space="0" w:color="auto"/>
              <w:left w:val="single" w:sz="4" w:space="0" w:color="auto"/>
              <w:bottom w:val="single" w:sz="4" w:space="0" w:color="auto"/>
              <w:right w:val="single" w:sz="4" w:space="0" w:color="auto"/>
            </w:tcBorders>
            <w:vAlign w:val="center"/>
            <w:hideMark/>
          </w:tcPr>
          <w:p w14:paraId="2EB2C83E"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1BB8B058"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14:paraId="1751CDD4" w14:textId="77777777" w:rsidR="0070459D" w:rsidRPr="0070459D" w:rsidRDefault="0070459D" w:rsidP="0070459D">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3851F7C9" w14:textId="77777777" w:rsidR="0070459D" w:rsidRPr="0070459D" w:rsidRDefault="0070459D" w:rsidP="0070459D">
            <w:pPr>
              <w:rPr>
                <w:rFonts w:ascii="Arial" w:eastAsia="Times New Roman" w:hAnsi="Arial" w:cs="Arial"/>
                <w:b/>
                <w:bCs/>
                <w:color w:val="000000"/>
                <w:sz w:val="14"/>
                <w:szCs w:val="14"/>
                <w:lang w:val="cs-CZ" w:eastAsia="cs-CZ"/>
              </w:rPr>
            </w:pPr>
          </w:p>
        </w:tc>
        <w:tc>
          <w:tcPr>
            <w:tcW w:w="953" w:type="dxa"/>
            <w:vMerge/>
            <w:tcBorders>
              <w:top w:val="single" w:sz="4" w:space="0" w:color="auto"/>
              <w:left w:val="single" w:sz="4" w:space="0" w:color="auto"/>
              <w:bottom w:val="single" w:sz="4" w:space="0" w:color="auto"/>
              <w:right w:val="single" w:sz="4" w:space="0" w:color="auto"/>
            </w:tcBorders>
            <w:vAlign w:val="center"/>
            <w:hideMark/>
          </w:tcPr>
          <w:p w14:paraId="3B9BB595"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tcBorders>
              <w:top w:val="nil"/>
              <w:left w:val="nil"/>
              <w:bottom w:val="single" w:sz="4" w:space="0" w:color="auto"/>
              <w:right w:val="single" w:sz="4" w:space="0" w:color="auto"/>
            </w:tcBorders>
            <w:shd w:val="clear" w:color="000000" w:fill="FFFFFF"/>
            <w:vAlign w:val="center"/>
            <w:hideMark/>
          </w:tcPr>
          <w:p w14:paraId="5F91ED9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7C55B41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7EEAD38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11C302D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0151EA7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3E9CE60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243215C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307A5A2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60E20C8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5B072F8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0" w:type="dxa"/>
            <w:tcBorders>
              <w:top w:val="nil"/>
              <w:left w:val="nil"/>
              <w:bottom w:val="single" w:sz="4" w:space="0" w:color="auto"/>
              <w:right w:val="single" w:sz="4" w:space="0" w:color="auto"/>
            </w:tcBorders>
            <w:shd w:val="clear" w:color="000000" w:fill="FFFFFF"/>
            <w:vAlign w:val="center"/>
            <w:hideMark/>
          </w:tcPr>
          <w:p w14:paraId="3DB7D08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2" w:type="dxa"/>
            <w:gridSpan w:val="2"/>
            <w:tcBorders>
              <w:top w:val="nil"/>
              <w:left w:val="nil"/>
              <w:bottom w:val="single" w:sz="4" w:space="0" w:color="auto"/>
              <w:right w:val="single" w:sz="4" w:space="0" w:color="auto"/>
            </w:tcBorders>
            <w:shd w:val="clear" w:color="000000" w:fill="FFFFFF"/>
            <w:vAlign w:val="center"/>
            <w:hideMark/>
          </w:tcPr>
          <w:p w14:paraId="4FC857A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r>
      <w:tr w:rsidR="0070459D" w:rsidRPr="0070459D" w14:paraId="14E934AC" w14:textId="77777777" w:rsidTr="00A722E5">
        <w:trPr>
          <w:trHeight w:val="20"/>
        </w:trPr>
        <w:tc>
          <w:tcPr>
            <w:tcW w:w="5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34CB7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67110</w:t>
            </w:r>
          </w:p>
        </w:tc>
        <w:tc>
          <w:tcPr>
            <w:tcW w:w="24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6D87D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podpůrných institucí, které fungují i po ukončení podpory</w:t>
            </w:r>
          </w:p>
        </w:tc>
        <w:tc>
          <w:tcPr>
            <w:tcW w:w="4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0027A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FD290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51AB2D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5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4C247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01FF02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2,000</w:t>
            </w:r>
          </w:p>
        </w:tc>
        <w:tc>
          <w:tcPr>
            <w:tcW w:w="800" w:type="dxa"/>
            <w:tcBorders>
              <w:top w:val="nil"/>
              <w:left w:val="nil"/>
              <w:bottom w:val="single" w:sz="4" w:space="0" w:color="auto"/>
              <w:right w:val="single" w:sz="4" w:space="0" w:color="auto"/>
            </w:tcBorders>
            <w:shd w:val="clear" w:color="000000" w:fill="E7E6E6"/>
            <w:vAlign w:val="center"/>
            <w:hideMark/>
          </w:tcPr>
          <w:p w14:paraId="744DCD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67CC02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187CB5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033C226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350084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6FDDE2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2E3B4D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342AC0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672396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5B645FD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34BEC0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36814B71"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519675DD"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14346EC9"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3A8AE425"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7D5F3215"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8115D3E"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5D32F90D"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07894649"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385A1A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3C4660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508BC0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C58C5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4A0BE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5B122E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2795DC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3B3BE49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03BE6C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3B6286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4DCC6D1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A5094A8"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19380A37"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15ECA37E"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3248E580"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31993957"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E399047"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6160CD2E"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59AC524C"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42DE1FB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5E73EE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209351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4EB3BA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60083C2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36F7FC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629164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ECA21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2B84523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0E5409F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490E07DD"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5520830"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4063D609"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5116EB6A"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77521AAB"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23D6182B"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76A01CF"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68D45A62"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359C48EE"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7E6E6"/>
            <w:vAlign w:val="center"/>
            <w:hideMark/>
          </w:tcPr>
          <w:p w14:paraId="47A6987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5D3319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0C7611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2882BB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3A5B03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50ACC2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0E9E82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720E12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20D938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485684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3A23AA88"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41BCBA59"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3710D8AE"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1C554A61"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0F132370"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6C433C01"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A61D4AB"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462889F3"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1C41035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52A3F8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0D401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057B99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0770A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1E54D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4ED804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65F2B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C1FB1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6F717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055BCA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3433C9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1EE7166"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0045CC37"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10B81254"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00A3EAC6"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2B727000"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03F7344"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7D35E937"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1840EA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D6967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FB8AB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A89FA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A5E3D8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C6B4E5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BAA3C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CD8FD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B78ED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943B7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5DA20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3C1F25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49AE364C" w14:textId="77777777" w:rsidTr="00A722E5">
        <w:trPr>
          <w:trHeight w:val="20"/>
        </w:trPr>
        <w:tc>
          <w:tcPr>
            <w:tcW w:w="5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811DF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67110</w:t>
            </w:r>
          </w:p>
        </w:tc>
        <w:tc>
          <w:tcPr>
            <w:tcW w:w="24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6834C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podpůrných institucí, které fungují i po ukončení podpory</w:t>
            </w:r>
          </w:p>
        </w:tc>
        <w:tc>
          <w:tcPr>
            <w:tcW w:w="4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BD5CC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69E329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087A7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5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4F015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6FF460B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0D2E559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459591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1608A9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6564A0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606213D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2D9F5C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55BD7A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611E7C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699BE2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1C405C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6C1701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N/A</w:t>
            </w:r>
          </w:p>
        </w:tc>
      </w:tr>
      <w:tr w:rsidR="0070459D" w:rsidRPr="0070459D" w14:paraId="2EAA9F4D"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3B65ED6F"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50527D69"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07A206EE"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6DF08D82"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071A525"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62D94C17"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4548EB6B"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197C32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4CA18F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6D084D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28A2A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3988E0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53165B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BC466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58AA9F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24B4BC7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44AF4D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14482470"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DA5E1CF"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62AE12CE"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4B144DC4"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64F82561"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1EBED787"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A5F0EFE"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4BCEDB8C"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59C96951"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1EDA32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33BD01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4E485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DDAD1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4EA44F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09840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3BE0F4F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4022DD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48A31A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4A088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6DB0AB3B"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27B1812"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4FD480EA"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26626C1F"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28DAB64F"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6990AE64"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E7F2D48"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1FF92622"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3438AD4F"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7E6E6"/>
            <w:vAlign w:val="center"/>
            <w:hideMark/>
          </w:tcPr>
          <w:p w14:paraId="7D5D8A0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088663E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26B351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484BCC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1EF46BD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21D9C65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3A99AF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34E209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5E83BC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7EF4B1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0C430748"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F5E37CC"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475725E2"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7555238C"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5E419789"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155F4F58"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4739E04"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6281B806"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257D9D5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F09E0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8EEF8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2AE5A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5C328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B07EB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9F53B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00026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0CC53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9A41C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7EF7D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59A378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D05A20F"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0C8F7976"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77334A27"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05B0B368"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66DF4C5C"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F814C60"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3E5BC86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622312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683A3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32022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2EA76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7DCC0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AD414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51E8C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FFA4A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FF9D49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E5E46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1C76B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1A6C04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416A6DA" w14:textId="77777777" w:rsidTr="00A722E5">
        <w:trPr>
          <w:trHeight w:val="20"/>
        </w:trPr>
        <w:tc>
          <w:tcPr>
            <w:tcW w:w="5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26E88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69410</w:t>
            </w:r>
          </w:p>
        </w:tc>
        <w:tc>
          <w:tcPr>
            <w:tcW w:w="24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BB2422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zvalidovaných experimentálních či kvazi-experimentálních ověření nových nástrojů</w:t>
            </w:r>
          </w:p>
        </w:tc>
        <w:tc>
          <w:tcPr>
            <w:tcW w:w="4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0A1A3B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12AED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CA8EF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Ověření</w:t>
            </w:r>
          </w:p>
        </w:tc>
        <w:tc>
          <w:tcPr>
            <w:tcW w:w="95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DBE60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3315B41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11,000</w:t>
            </w:r>
          </w:p>
        </w:tc>
        <w:tc>
          <w:tcPr>
            <w:tcW w:w="800" w:type="dxa"/>
            <w:tcBorders>
              <w:top w:val="nil"/>
              <w:left w:val="nil"/>
              <w:bottom w:val="single" w:sz="4" w:space="0" w:color="auto"/>
              <w:right w:val="single" w:sz="4" w:space="0" w:color="auto"/>
            </w:tcBorders>
            <w:shd w:val="clear" w:color="000000" w:fill="E7E6E6"/>
            <w:vAlign w:val="center"/>
            <w:hideMark/>
          </w:tcPr>
          <w:p w14:paraId="62AB1D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599B03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2ACFB6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7D9924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771E8C4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69F75E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2,330</w:t>
            </w:r>
          </w:p>
        </w:tc>
        <w:tc>
          <w:tcPr>
            <w:tcW w:w="800" w:type="dxa"/>
            <w:tcBorders>
              <w:top w:val="nil"/>
              <w:left w:val="nil"/>
              <w:bottom w:val="single" w:sz="4" w:space="0" w:color="auto"/>
              <w:right w:val="single" w:sz="4" w:space="0" w:color="auto"/>
            </w:tcBorders>
            <w:shd w:val="clear" w:color="000000" w:fill="E7E6E6"/>
            <w:vAlign w:val="center"/>
            <w:hideMark/>
          </w:tcPr>
          <w:p w14:paraId="51FB9E9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3CFF8D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32D10E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19315AC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1573BC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21,182</w:t>
            </w:r>
          </w:p>
        </w:tc>
      </w:tr>
      <w:tr w:rsidR="0070459D" w:rsidRPr="0070459D" w14:paraId="214FC01F"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440BC34D"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12502D1A"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28DF06E7"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0F189833"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D938C8F"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60840DFC"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451953B0"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77AC6A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2C7693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5C06FC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30A411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0B70A3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B4D32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5B9956A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249E92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27829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06ED45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577E3F50"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08D6316"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0B8A39DC"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50DA632B"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651B55F1"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64BCD8EA"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BDA6518"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44652CA0"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786DC6F8"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267717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41DD8E1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6BA06A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042F57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274A24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626283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859569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65C0F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64CCE09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22D121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4C04D5DD"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730242D"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7B1F4118"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79112A87"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22998424"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766F1FBC"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0215427"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39A62287"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35875E06"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7E6E6"/>
            <w:vAlign w:val="center"/>
            <w:hideMark/>
          </w:tcPr>
          <w:p w14:paraId="252EE2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12C264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46A678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7B65792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7EE6C6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765199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2,330</w:t>
            </w:r>
          </w:p>
        </w:tc>
        <w:tc>
          <w:tcPr>
            <w:tcW w:w="800" w:type="dxa"/>
            <w:tcBorders>
              <w:top w:val="nil"/>
              <w:left w:val="nil"/>
              <w:bottom w:val="single" w:sz="4" w:space="0" w:color="auto"/>
              <w:right w:val="single" w:sz="4" w:space="0" w:color="auto"/>
            </w:tcBorders>
            <w:shd w:val="clear" w:color="000000" w:fill="E7E6E6"/>
            <w:vAlign w:val="center"/>
            <w:hideMark/>
          </w:tcPr>
          <w:p w14:paraId="337FE8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4CFB81E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67B28C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47B2A2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2B15321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4C1FF499"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3CE8C18B"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4855BA40"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1BD71167"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24C36254"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69FF60C"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71AF19C6"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657CC50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E9F80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80CAC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94C45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E2078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EBEFB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FCD6F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74DF2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44B14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F697B3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CA829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7A5FE6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0E61C15"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00F77551"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305C4ED6"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60493A3D"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744C1AF9"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6B3BEB1"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58A74612"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2437FC1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2CF49F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55443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CAF1C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4D818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12BFF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0014F0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D4103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22B592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4093BB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714494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6F0794D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0328E50B" w14:textId="77777777" w:rsidTr="00A722E5">
        <w:trPr>
          <w:trHeight w:val="20"/>
        </w:trPr>
        <w:tc>
          <w:tcPr>
            <w:tcW w:w="5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CFFD9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69410</w:t>
            </w:r>
          </w:p>
        </w:tc>
        <w:tc>
          <w:tcPr>
            <w:tcW w:w="24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413B6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zvalidovaných experimentálních či kvazi-experimentálních ověření nových nástrojů</w:t>
            </w:r>
          </w:p>
        </w:tc>
        <w:tc>
          <w:tcPr>
            <w:tcW w:w="4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591210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AC18D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44235D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Ověření</w:t>
            </w:r>
          </w:p>
        </w:tc>
        <w:tc>
          <w:tcPr>
            <w:tcW w:w="95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18605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13568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2,000</w:t>
            </w:r>
          </w:p>
        </w:tc>
        <w:tc>
          <w:tcPr>
            <w:tcW w:w="800" w:type="dxa"/>
            <w:tcBorders>
              <w:top w:val="nil"/>
              <w:left w:val="nil"/>
              <w:bottom w:val="single" w:sz="4" w:space="0" w:color="auto"/>
              <w:right w:val="single" w:sz="4" w:space="0" w:color="auto"/>
            </w:tcBorders>
            <w:shd w:val="clear" w:color="000000" w:fill="E7E6E6"/>
            <w:vAlign w:val="center"/>
            <w:hideMark/>
          </w:tcPr>
          <w:p w14:paraId="08F4615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2245FEA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7245FB5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01C73F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53D41D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0B8072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0,310</w:t>
            </w:r>
          </w:p>
        </w:tc>
        <w:tc>
          <w:tcPr>
            <w:tcW w:w="800" w:type="dxa"/>
            <w:tcBorders>
              <w:top w:val="nil"/>
              <w:left w:val="nil"/>
              <w:bottom w:val="single" w:sz="4" w:space="0" w:color="auto"/>
              <w:right w:val="single" w:sz="4" w:space="0" w:color="auto"/>
            </w:tcBorders>
            <w:shd w:val="clear" w:color="000000" w:fill="E7E6E6"/>
            <w:vAlign w:val="center"/>
            <w:hideMark/>
          </w:tcPr>
          <w:p w14:paraId="59B04D5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5B9346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3C0215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3712B3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637463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15,500</w:t>
            </w:r>
          </w:p>
        </w:tc>
      </w:tr>
      <w:tr w:rsidR="0070459D" w:rsidRPr="0070459D" w14:paraId="153EC117"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52E787D9"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17537A29"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788237B4"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369FF92A"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2269501"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0D2F0B8D"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60DADEF0"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47A778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EBEF70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F17348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38465A5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E0459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07EA6F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47C625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786545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75EFB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31DD92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1C55738E"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2586079"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2382532B"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59BD5ADB"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50537347"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2C7A3DF7"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8A7F808"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0EE339CE"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3E2D40B8"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FFFFFF"/>
            <w:vAlign w:val="center"/>
            <w:hideMark/>
          </w:tcPr>
          <w:p w14:paraId="6918A51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18334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517A8E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65B2AE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2DEBA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059DF17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174545B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57911F8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75735C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FFFFFF"/>
            <w:vAlign w:val="center"/>
            <w:hideMark/>
          </w:tcPr>
          <w:p w14:paraId="65BFE2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0D521E12"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326DFDF"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3379C3D2"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615A1C2A"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58F75F08"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2505A5B4"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4B29E2A"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336A9ECE"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1C5B0DBE" w14:textId="77777777" w:rsidR="0070459D" w:rsidRPr="0070459D" w:rsidRDefault="0070459D" w:rsidP="0070459D">
            <w:pPr>
              <w:rPr>
                <w:rFonts w:ascii="Arial" w:eastAsia="Times New Roman" w:hAnsi="Arial" w:cs="Arial"/>
                <w:color w:val="000000"/>
                <w:sz w:val="14"/>
                <w:szCs w:val="14"/>
                <w:lang w:val="cs-CZ" w:eastAsia="cs-CZ"/>
              </w:rPr>
            </w:pPr>
          </w:p>
        </w:tc>
        <w:tc>
          <w:tcPr>
            <w:tcW w:w="800" w:type="dxa"/>
            <w:tcBorders>
              <w:top w:val="nil"/>
              <w:left w:val="nil"/>
              <w:bottom w:val="single" w:sz="4" w:space="0" w:color="auto"/>
              <w:right w:val="single" w:sz="4" w:space="0" w:color="auto"/>
            </w:tcBorders>
            <w:shd w:val="clear" w:color="000000" w:fill="E7E6E6"/>
            <w:vAlign w:val="center"/>
            <w:hideMark/>
          </w:tcPr>
          <w:p w14:paraId="6C2B01B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48EEE06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0F242F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7A34B3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52D3C03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0" w:type="dxa"/>
            <w:tcBorders>
              <w:top w:val="nil"/>
              <w:left w:val="nil"/>
              <w:bottom w:val="single" w:sz="4" w:space="0" w:color="auto"/>
              <w:right w:val="single" w:sz="4" w:space="0" w:color="auto"/>
            </w:tcBorders>
            <w:shd w:val="clear" w:color="000000" w:fill="E7E6E6"/>
            <w:vAlign w:val="center"/>
            <w:hideMark/>
          </w:tcPr>
          <w:p w14:paraId="2081448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0,310</w:t>
            </w:r>
          </w:p>
        </w:tc>
        <w:tc>
          <w:tcPr>
            <w:tcW w:w="800" w:type="dxa"/>
            <w:tcBorders>
              <w:top w:val="nil"/>
              <w:left w:val="nil"/>
              <w:bottom w:val="single" w:sz="4" w:space="0" w:color="auto"/>
              <w:right w:val="single" w:sz="4" w:space="0" w:color="auto"/>
            </w:tcBorders>
            <w:shd w:val="clear" w:color="000000" w:fill="E7E6E6"/>
            <w:vAlign w:val="center"/>
            <w:hideMark/>
          </w:tcPr>
          <w:p w14:paraId="1A2E23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7709D5B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4F58941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000000" w:fill="E7E6E6"/>
            <w:vAlign w:val="center"/>
            <w:hideMark/>
          </w:tcPr>
          <w:p w14:paraId="143507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517AE819"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4A3712A6"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35675138"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57A397B3"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39FF9D5F"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1E451C35"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C57D6CC"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30D83D22"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72ADFF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83CC7A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EC519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A6991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EFC90E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A5008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B6B5F0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1293D6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62552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0CED7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0A1AF3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46FBF0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499ABCF5"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3DD35826" w14:textId="77777777" w:rsidR="0070459D" w:rsidRPr="0070459D" w:rsidRDefault="0070459D" w:rsidP="0070459D">
            <w:pPr>
              <w:rPr>
                <w:rFonts w:ascii="Arial" w:eastAsia="Times New Roman" w:hAnsi="Arial" w:cs="Arial"/>
                <w:color w:val="000000"/>
                <w:sz w:val="14"/>
                <w:szCs w:val="14"/>
                <w:lang w:val="cs-CZ" w:eastAsia="cs-CZ"/>
              </w:rPr>
            </w:pPr>
          </w:p>
        </w:tc>
        <w:tc>
          <w:tcPr>
            <w:tcW w:w="2459" w:type="dxa"/>
            <w:vMerge/>
            <w:tcBorders>
              <w:top w:val="nil"/>
              <w:left w:val="single" w:sz="4" w:space="0" w:color="auto"/>
              <w:bottom w:val="single" w:sz="4" w:space="0" w:color="000000"/>
              <w:right w:val="single" w:sz="4" w:space="0" w:color="auto"/>
            </w:tcBorders>
            <w:vAlign w:val="center"/>
            <w:hideMark/>
          </w:tcPr>
          <w:p w14:paraId="6FE98E95"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6E0FCFBB" w14:textId="77777777" w:rsidR="0070459D" w:rsidRPr="0070459D" w:rsidRDefault="0070459D" w:rsidP="0070459D">
            <w:pPr>
              <w:rPr>
                <w:rFonts w:ascii="Arial" w:eastAsia="Times New Roman" w:hAnsi="Arial" w:cs="Arial"/>
                <w:color w:val="000000"/>
                <w:sz w:val="14"/>
                <w:szCs w:val="14"/>
                <w:lang w:val="cs-CZ" w:eastAsia="cs-CZ"/>
              </w:rPr>
            </w:pPr>
          </w:p>
        </w:tc>
        <w:tc>
          <w:tcPr>
            <w:tcW w:w="1179" w:type="dxa"/>
            <w:vMerge/>
            <w:tcBorders>
              <w:top w:val="nil"/>
              <w:left w:val="single" w:sz="4" w:space="0" w:color="auto"/>
              <w:bottom w:val="single" w:sz="4" w:space="0" w:color="000000"/>
              <w:right w:val="single" w:sz="4" w:space="0" w:color="auto"/>
            </w:tcBorders>
            <w:vAlign w:val="center"/>
            <w:hideMark/>
          </w:tcPr>
          <w:p w14:paraId="6FA11E75" w14:textId="77777777" w:rsidR="0070459D" w:rsidRPr="0070459D" w:rsidRDefault="0070459D" w:rsidP="0070459D">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31A7381" w14:textId="77777777" w:rsidR="0070459D" w:rsidRPr="0070459D" w:rsidRDefault="0070459D" w:rsidP="0070459D">
            <w:pPr>
              <w:rPr>
                <w:rFonts w:ascii="Arial" w:eastAsia="Times New Roman" w:hAnsi="Arial" w:cs="Arial"/>
                <w:color w:val="000000"/>
                <w:sz w:val="14"/>
                <w:szCs w:val="14"/>
                <w:lang w:val="cs-CZ" w:eastAsia="cs-CZ"/>
              </w:rPr>
            </w:pPr>
          </w:p>
        </w:tc>
        <w:tc>
          <w:tcPr>
            <w:tcW w:w="953" w:type="dxa"/>
            <w:vMerge/>
            <w:tcBorders>
              <w:top w:val="nil"/>
              <w:left w:val="single" w:sz="4" w:space="0" w:color="auto"/>
              <w:bottom w:val="single" w:sz="4" w:space="0" w:color="000000"/>
              <w:right w:val="single" w:sz="4" w:space="0" w:color="auto"/>
            </w:tcBorders>
            <w:vAlign w:val="center"/>
            <w:hideMark/>
          </w:tcPr>
          <w:p w14:paraId="78CDDF38"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0CF972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8B8442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01B6B0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26E5C3B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5792D51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706C7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1A15C2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4FC25F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ED9E8C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38C46B6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0" w:type="dxa"/>
            <w:tcBorders>
              <w:top w:val="nil"/>
              <w:left w:val="nil"/>
              <w:bottom w:val="single" w:sz="4" w:space="0" w:color="auto"/>
              <w:right w:val="single" w:sz="4" w:space="0" w:color="auto"/>
            </w:tcBorders>
            <w:shd w:val="clear" w:color="auto" w:fill="auto"/>
            <w:vAlign w:val="center"/>
            <w:hideMark/>
          </w:tcPr>
          <w:p w14:paraId="6259C0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282FB761" w14:textId="5CDD1248"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bl>
    <w:p w14:paraId="58FDBC94" w14:textId="778622E2" w:rsidR="00FD35AB" w:rsidRDefault="00FD35AB" w:rsidP="00A722E5">
      <w:pPr>
        <w:ind w:right="108"/>
        <w:jc w:val="both"/>
        <w:rPr>
          <w:rFonts w:ascii="Arial" w:eastAsia="Arial" w:hAnsi="Arial" w:cs="Arial"/>
          <w:color w:val="000000"/>
          <w:sz w:val="20"/>
          <w:lang w:val="cs-CZ"/>
        </w:rPr>
      </w:pPr>
    </w:p>
    <w:p w14:paraId="6FF533A8" w14:textId="7713B79B" w:rsidR="00BC5BB6" w:rsidRDefault="00BC5BB6" w:rsidP="00A722E5">
      <w:pPr>
        <w:ind w:right="108"/>
        <w:jc w:val="both"/>
        <w:rPr>
          <w:rFonts w:ascii="Arial" w:eastAsia="Arial" w:hAnsi="Arial" w:cs="Arial"/>
          <w:color w:val="000000"/>
          <w:sz w:val="20"/>
          <w:lang w:val="cs-CZ"/>
        </w:rPr>
      </w:pPr>
    </w:p>
    <w:p w14:paraId="4A77A04E" w14:textId="77777777" w:rsidR="00BC5BB6" w:rsidRPr="002F2BE4" w:rsidRDefault="00BC5BB6" w:rsidP="00A722E5">
      <w:pPr>
        <w:ind w:right="108"/>
        <w:jc w:val="both"/>
        <w:rPr>
          <w:rFonts w:ascii="Arial" w:eastAsia="Arial" w:hAnsi="Arial" w:cs="Arial"/>
          <w:color w:val="000000"/>
          <w:sz w:val="20"/>
          <w:lang w:val="cs-CZ"/>
        </w:rPr>
      </w:pPr>
    </w:p>
    <w:p w14:paraId="19384D8A"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03.3.74 Investice do institucionální kapacity a efektivnosti veřejné správy a veřejných služeb na celostátní, regionální a místní úrovni za účelem reforem, zlepšování právní úpravy a řádné správy</w:t>
      </w:r>
    </w:p>
    <w:tbl>
      <w:tblPr>
        <w:tblW w:w="15764" w:type="dxa"/>
        <w:tblInd w:w="75" w:type="dxa"/>
        <w:tblCellMar>
          <w:left w:w="70" w:type="dxa"/>
          <w:right w:w="70" w:type="dxa"/>
        </w:tblCellMar>
        <w:tblLook w:val="04A0" w:firstRow="1" w:lastRow="0" w:firstColumn="1" w:lastColumn="0" w:noHBand="0" w:noVBand="1"/>
      </w:tblPr>
      <w:tblGrid>
        <w:gridCol w:w="530"/>
        <w:gridCol w:w="2379"/>
        <w:gridCol w:w="491"/>
        <w:gridCol w:w="1159"/>
        <w:gridCol w:w="856"/>
        <w:gridCol w:w="940"/>
        <w:gridCol w:w="710"/>
        <w:gridCol w:w="806"/>
        <w:gridCol w:w="806"/>
        <w:gridCol w:w="806"/>
        <w:gridCol w:w="806"/>
        <w:gridCol w:w="806"/>
        <w:gridCol w:w="806"/>
        <w:gridCol w:w="806"/>
        <w:gridCol w:w="806"/>
        <w:gridCol w:w="806"/>
        <w:gridCol w:w="806"/>
        <w:gridCol w:w="12"/>
        <w:gridCol w:w="627"/>
      </w:tblGrid>
      <w:tr w:rsidR="0070459D" w:rsidRPr="0070459D" w14:paraId="53D3CE3A" w14:textId="77777777" w:rsidTr="00A722E5">
        <w:trPr>
          <w:trHeight w:val="20"/>
          <w:tblHeader/>
        </w:trPr>
        <w:tc>
          <w:tcPr>
            <w:tcW w:w="5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D28C3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ID</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F5ACBE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Indikátor</w:t>
            </w:r>
          </w:p>
        </w:tc>
        <w:tc>
          <w:tcPr>
            <w:tcW w:w="4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94D9BF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ESF / YEI</w:t>
            </w:r>
          </w:p>
        </w:tc>
        <w:tc>
          <w:tcPr>
            <w:tcW w:w="11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65F36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Kategorie regionu (je-li relevantní)</w:t>
            </w:r>
          </w:p>
        </w:tc>
        <w:tc>
          <w:tcPr>
            <w:tcW w:w="8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F38977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Měrná jednotka</w:t>
            </w:r>
          </w:p>
        </w:tc>
        <w:tc>
          <w:tcPr>
            <w:tcW w:w="9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181F5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Jednotka měření pro výchozí hodnotu a cíl</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76A49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Cílová hodnota (2023)</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1B95353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2014</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462711D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2015</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63E51C6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2016</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67809D4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2017</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4C1F57A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2018</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69739DB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2019</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1375E7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2020</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2D2C827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2021</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1F96967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2022</w:t>
            </w:r>
          </w:p>
        </w:tc>
        <w:tc>
          <w:tcPr>
            <w:tcW w:w="806" w:type="dxa"/>
            <w:tcBorders>
              <w:top w:val="single" w:sz="4" w:space="0" w:color="auto"/>
              <w:left w:val="nil"/>
              <w:bottom w:val="single" w:sz="4" w:space="0" w:color="auto"/>
              <w:right w:val="single" w:sz="4" w:space="0" w:color="auto"/>
            </w:tcBorders>
            <w:shd w:val="clear" w:color="000000" w:fill="FFFFFF"/>
            <w:vAlign w:val="center"/>
            <w:hideMark/>
          </w:tcPr>
          <w:p w14:paraId="6F16BDF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2023</w:t>
            </w:r>
          </w:p>
        </w:tc>
        <w:tc>
          <w:tcPr>
            <w:tcW w:w="61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81FD0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Míra splnění</w:t>
            </w:r>
          </w:p>
        </w:tc>
      </w:tr>
      <w:tr w:rsidR="0070459D" w:rsidRPr="0070459D" w14:paraId="393D7048"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7F9B701E"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09292211" w14:textId="77777777" w:rsidR="0070459D" w:rsidRPr="0070459D" w:rsidRDefault="0070459D" w:rsidP="0070459D">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0A0CA0B3"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217DA12F" w14:textId="77777777" w:rsidR="0070459D" w:rsidRPr="0070459D" w:rsidRDefault="0070459D" w:rsidP="0070459D">
            <w:pPr>
              <w:rPr>
                <w:rFonts w:ascii="Arial" w:eastAsia="Times New Roman" w:hAnsi="Arial" w:cs="Arial"/>
                <w:b/>
                <w:bCs/>
                <w:color w:val="000000"/>
                <w:sz w:val="14"/>
                <w:szCs w:val="14"/>
                <w:lang w:val="cs-CZ" w:eastAsia="cs-CZ"/>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6B9D5DB7" w14:textId="77777777" w:rsidR="0070459D" w:rsidRPr="0070459D" w:rsidRDefault="0070459D" w:rsidP="0070459D">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0F2126ED" w14:textId="77777777" w:rsidR="0070459D" w:rsidRPr="0070459D" w:rsidRDefault="0070459D" w:rsidP="0070459D">
            <w:pPr>
              <w:rPr>
                <w:rFonts w:ascii="Arial" w:eastAsia="Times New Roman" w:hAnsi="Arial" w:cs="Arial"/>
                <w:b/>
                <w:bCs/>
                <w:color w:val="000000"/>
                <w:sz w:val="14"/>
                <w:szCs w:val="14"/>
                <w:lang w:val="cs-CZ" w:eastAsia="cs-CZ"/>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5DF05E1" w14:textId="77777777" w:rsidR="0070459D" w:rsidRPr="0070459D" w:rsidRDefault="0070459D" w:rsidP="0070459D">
            <w:pPr>
              <w:rPr>
                <w:rFonts w:ascii="Arial" w:eastAsia="Times New Roman" w:hAnsi="Arial" w:cs="Arial"/>
                <w:b/>
                <w:bCs/>
                <w:color w:val="000000"/>
                <w:sz w:val="14"/>
                <w:szCs w:val="14"/>
                <w:lang w:val="cs-CZ" w:eastAsia="cs-CZ"/>
              </w:rPr>
            </w:pPr>
          </w:p>
        </w:tc>
        <w:tc>
          <w:tcPr>
            <w:tcW w:w="8067" w:type="dxa"/>
            <w:gridSpan w:val="11"/>
            <w:tcBorders>
              <w:top w:val="single" w:sz="4" w:space="0" w:color="auto"/>
              <w:left w:val="nil"/>
              <w:bottom w:val="single" w:sz="4" w:space="0" w:color="auto"/>
              <w:right w:val="single" w:sz="4" w:space="0" w:color="auto"/>
            </w:tcBorders>
            <w:shd w:val="clear" w:color="000000" w:fill="FFFFFF"/>
            <w:vAlign w:val="center"/>
            <w:hideMark/>
          </w:tcPr>
          <w:p w14:paraId="57F1298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Roční hodnota</w:t>
            </w:r>
          </w:p>
        </w:tc>
        <w:tc>
          <w:tcPr>
            <w:tcW w:w="613" w:type="dxa"/>
            <w:vMerge/>
            <w:tcBorders>
              <w:top w:val="single" w:sz="4" w:space="0" w:color="auto"/>
              <w:left w:val="single" w:sz="4" w:space="0" w:color="auto"/>
              <w:bottom w:val="single" w:sz="4" w:space="0" w:color="auto"/>
              <w:right w:val="single" w:sz="4" w:space="0" w:color="auto"/>
            </w:tcBorders>
            <w:vAlign w:val="center"/>
            <w:hideMark/>
          </w:tcPr>
          <w:p w14:paraId="59D41BDA"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1CB608A0"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05095E30"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536F1DB8" w14:textId="77777777" w:rsidR="0070459D" w:rsidRPr="0070459D" w:rsidRDefault="0070459D" w:rsidP="0070459D">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68D40437"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28B2B329" w14:textId="77777777" w:rsidR="0070459D" w:rsidRPr="0070459D" w:rsidRDefault="0070459D" w:rsidP="0070459D">
            <w:pPr>
              <w:rPr>
                <w:rFonts w:ascii="Arial" w:eastAsia="Times New Roman" w:hAnsi="Arial" w:cs="Arial"/>
                <w:b/>
                <w:bCs/>
                <w:color w:val="000000"/>
                <w:sz w:val="14"/>
                <w:szCs w:val="14"/>
                <w:lang w:val="cs-CZ" w:eastAsia="cs-CZ"/>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6A8FE510" w14:textId="77777777" w:rsidR="0070459D" w:rsidRPr="0070459D" w:rsidRDefault="0070459D" w:rsidP="0070459D">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2D53875B" w14:textId="77777777" w:rsidR="0070459D" w:rsidRPr="0070459D" w:rsidRDefault="0070459D" w:rsidP="0070459D">
            <w:pPr>
              <w:rPr>
                <w:rFonts w:ascii="Arial" w:eastAsia="Times New Roman" w:hAnsi="Arial" w:cs="Arial"/>
                <w:b/>
                <w:bCs/>
                <w:color w:val="000000"/>
                <w:sz w:val="14"/>
                <w:szCs w:val="14"/>
                <w:lang w:val="cs-CZ" w:eastAsia="cs-CZ"/>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787C8127" w14:textId="77777777" w:rsidR="0070459D" w:rsidRPr="0070459D" w:rsidRDefault="0070459D" w:rsidP="0070459D">
            <w:pPr>
              <w:rPr>
                <w:rFonts w:ascii="Arial" w:eastAsia="Times New Roman" w:hAnsi="Arial" w:cs="Arial"/>
                <w:b/>
                <w:bCs/>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E7E6E6"/>
            <w:vAlign w:val="center"/>
            <w:hideMark/>
          </w:tcPr>
          <w:p w14:paraId="5B739FD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7DC8D44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1C8560D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43E1146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2CD8E71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1826739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162D229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5C95310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6285E30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45628FE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3" w:type="dxa"/>
            <w:gridSpan w:val="2"/>
            <w:vMerge/>
            <w:tcBorders>
              <w:top w:val="single" w:sz="4" w:space="0" w:color="auto"/>
              <w:left w:val="single" w:sz="4" w:space="0" w:color="auto"/>
              <w:bottom w:val="single" w:sz="4" w:space="0" w:color="auto"/>
              <w:right w:val="single" w:sz="4" w:space="0" w:color="auto"/>
            </w:tcBorders>
            <w:vAlign w:val="center"/>
            <w:hideMark/>
          </w:tcPr>
          <w:p w14:paraId="71386CE2"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6F2A441C"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0E75929B"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4F860BCA" w14:textId="77777777" w:rsidR="0070459D" w:rsidRPr="0070459D" w:rsidRDefault="0070459D" w:rsidP="0070459D">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647F2929"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7D5AEF7E" w14:textId="77777777" w:rsidR="0070459D" w:rsidRPr="0070459D" w:rsidRDefault="0070459D" w:rsidP="0070459D">
            <w:pPr>
              <w:rPr>
                <w:rFonts w:ascii="Arial" w:eastAsia="Times New Roman" w:hAnsi="Arial" w:cs="Arial"/>
                <w:b/>
                <w:bCs/>
                <w:color w:val="000000"/>
                <w:sz w:val="14"/>
                <w:szCs w:val="14"/>
                <w:lang w:val="cs-CZ" w:eastAsia="cs-CZ"/>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24A2C0AB" w14:textId="77777777" w:rsidR="0070459D" w:rsidRPr="0070459D" w:rsidRDefault="0070459D" w:rsidP="0070459D">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12C61865" w14:textId="77777777" w:rsidR="0070459D" w:rsidRPr="0070459D" w:rsidRDefault="0070459D" w:rsidP="0070459D">
            <w:pPr>
              <w:rPr>
                <w:rFonts w:ascii="Arial" w:eastAsia="Times New Roman" w:hAnsi="Arial" w:cs="Arial"/>
                <w:b/>
                <w:bCs/>
                <w:color w:val="000000"/>
                <w:sz w:val="14"/>
                <w:szCs w:val="14"/>
                <w:lang w:val="cs-CZ" w:eastAsia="cs-CZ"/>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54A29DFA" w14:textId="77777777" w:rsidR="0070459D" w:rsidRPr="0070459D" w:rsidRDefault="0070459D" w:rsidP="0070459D">
            <w:pPr>
              <w:rPr>
                <w:rFonts w:ascii="Arial" w:eastAsia="Times New Roman" w:hAnsi="Arial" w:cs="Arial"/>
                <w:b/>
                <w:bCs/>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7D935E0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198A329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65C2B53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79AF2FA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50C44C1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15A73B1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4B93829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750546B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6676202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5CBD9F4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3" w:type="dxa"/>
            <w:gridSpan w:val="2"/>
            <w:vMerge/>
            <w:tcBorders>
              <w:top w:val="single" w:sz="4" w:space="0" w:color="auto"/>
              <w:left w:val="single" w:sz="4" w:space="0" w:color="auto"/>
              <w:bottom w:val="single" w:sz="4" w:space="0" w:color="auto"/>
              <w:right w:val="single" w:sz="4" w:space="0" w:color="auto"/>
            </w:tcBorders>
            <w:vAlign w:val="center"/>
            <w:hideMark/>
          </w:tcPr>
          <w:p w14:paraId="7194A927"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7E2BFA4A"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383EB9F"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36F2F992" w14:textId="77777777" w:rsidR="0070459D" w:rsidRPr="0070459D" w:rsidRDefault="0070459D" w:rsidP="0070459D">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225D2278"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6A00138F" w14:textId="77777777" w:rsidR="0070459D" w:rsidRPr="0070459D" w:rsidRDefault="0070459D" w:rsidP="0070459D">
            <w:pPr>
              <w:rPr>
                <w:rFonts w:ascii="Arial" w:eastAsia="Times New Roman" w:hAnsi="Arial" w:cs="Arial"/>
                <w:b/>
                <w:bCs/>
                <w:color w:val="000000"/>
                <w:sz w:val="14"/>
                <w:szCs w:val="14"/>
                <w:lang w:val="cs-CZ" w:eastAsia="cs-CZ"/>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1FFB371C" w14:textId="77777777" w:rsidR="0070459D" w:rsidRPr="0070459D" w:rsidRDefault="0070459D" w:rsidP="0070459D">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037DDEB4" w14:textId="77777777" w:rsidR="0070459D" w:rsidRPr="0070459D" w:rsidRDefault="0070459D" w:rsidP="0070459D">
            <w:pPr>
              <w:rPr>
                <w:rFonts w:ascii="Arial" w:eastAsia="Times New Roman" w:hAnsi="Arial" w:cs="Arial"/>
                <w:b/>
                <w:bCs/>
                <w:color w:val="000000"/>
                <w:sz w:val="14"/>
                <w:szCs w:val="14"/>
                <w:lang w:val="cs-CZ" w:eastAsia="cs-CZ"/>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ED55558" w14:textId="77777777" w:rsidR="0070459D" w:rsidRPr="0070459D" w:rsidRDefault="0070459D" w:rsidP="0070459D">
            <w:pPr>
              <w:rPr>
                <w:rFonts w:ascii="Arial" w:eastAsia="Times New Roman" w:hAnsi="Arial" w:cs="Arial"/>
                <w:b/>
                <w:bCs/>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2937BC0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5A36299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6AE5A0A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06500B1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47C7547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44FF45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1007C61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1546D15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58DAF6C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63397B1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3" w:type="dxa"/>
            <w:gridSpan w:val="2"/>
            <w:vMerge/>
            <w:tcBorders>
              <w:top w:val="single" w:sz="4" w:space="0" w:color="auto"/>
              <w:left w:val="single" w:sz="4" w:space="0" w:color="auto"/>
              <w:bottom w:val="single" w:sz="4" w:space="0" w:color="auto"/>
              <w:right w:val="single" w:sz="4" w:space="0" w:color="auto"/>
            </w:tcBorders>
            <w:vAlign w:val="center"/>
            <w:hideMark/>
          </w:tcPr>
          <w:p w14:paraId="2F3422E8"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40476181"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782DEB2E"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14A43F1F" w14:textId="77777777" w:rsidR="0070459D" w:rsidRPr="0070459D" w:rsidRDefault="0070459D" w:rsidP="0070459D">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7C164207"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7CF00877" w14:textId="77777777" w:rsidR="0070459D" w:rsidRPr="0070459D" w:rsidRDefault="0070459D" w:rsidP="0070459D">
            <w:pPr>
              <w:rPr>
                <w:rFonts w:ascii="Arial" w:eastAsia="Times New Roman" w:hAnsi="Arial" w:cs="Arial"/>
                <w:b/>
                <w:bCs/>
                <w:color w:val="000000"/>
                <w:sz w:val="14"/>
                <w:szCs w:val="14"/>
                <w:lang w:val="cs-CZ" w:eastAsia="cs-CZ"/>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1F81BC3C" w14:textId="77777777" w:rsidR="0070459D" w:rsidRPr="0070459D" w:rsidRDefault="0070459D" w:rsidP="0070459D">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4F1F1F24" w14:textId="77777777" w:rsidR="0070459D" w:rsidRPr="0070459D" w:rsidRDefault="0070459D" w:rsidP="0070459D">
            <w:pPr>
              <w:rPr>
                <w:rFonts w:ascii="Arial" w:eastAsia="Times New Roman" w:hAnsi="Arial" w:cs="Arial"/>
                <w:b/>
                <w:bCs/>
                <w:color w:val="000000"/>
                <w:sz w:val="14"/>
                <w:szCs w:val="14"/>
                <w:lang w:val="cs-CZ" w:eastAsia="cs-CZ"/>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77FA7DA5" w14:textId="77777777" w:rsidR="0070459D" w:rsidRPr="0070459D" w:rsidRDefault="0070459D" w:rsidP="0070459D">
            <w:pPr>
              <w:rPr>
                <w:rFonts w:ascii="Arial" w:eastAsia="Times New Roman" w:hAnsi="Arial" w:cs="Arial"/>
                <w:b/>
                <w:bCs/>
                <w:color w:val="000000"/>
                <w:sz w:val="14"/>
                <w:szCs w:val="14"/>
                <w:lang w:val="cs-CZ" w:eastAsia="cs-CZ"/>
              </w:rPr>
            </w:pPr>
          </w:p>
        </w:tc>
        <w:tc>
          <w:tcPr>
            <w:tcW w:w="8067" w:type="dxa"/>
            <w:gridSpan w:val="11"/>
            <w:tcBorders>
              <w:top w:val="single" w:sz="4" w:space="0" w:color="auto"/>
              <w:left w:val="nil"/>
              <w:bottom w:val="single" w:sz="4" w:space="0" w:color="auto"/>
              <w:right w:val="single" w:sz="4" w:space="0" w:color="auto"/>
            </w:tcBorders>
            <w:shd w:val="clear" w:color="000000" w:fill="FFFFFF"/>
            <w:vAlign w:val="center"/>
            <w:hideMark/>
          </w:tcPr>
          <w:p w14:paraId="5FB30D6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Kumulativní hodnota</w:t>
            </w:r>
          </w:p>
        </w:tc>
        <w:tc>
          <w:tcPr>
            <w:tcW w:w="613" w:type="dxa"/>
            <w:vMerge/>
            <w:tcBorders>
              <w:top w:val="single" w:sz="4" w:space="0" w:color="auto"/>
              <w:left w:val="single" w:sz="4" w:space="0" w:color="auto"/>
              <w:bottom w:val="single" w:sz="4" w:space="0" w:color="auto"/>
              <w:right w:val="single" w:sz="4" w:space="0" w:color="auto"/>
            </w:tcBorders>
            <w:vAlign w:val="center"/>
            <w:hideMark/>
          </w:tcPr>
          <w:p w14:paraId="731679B1"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2B3325ED"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0D74626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44F03A19" w14:textId="77777777" w:rsidR="0070459D" w:rsidRPr="0070459D" w:rsidRDefault="0070459D" w:rsidP="0070459D">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4EF1B6C2"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29FD1CF9" w14:textId="77777777" w:rsidR="0070459D" w:rsidRPr="0070459D" w:rsidRDefault="0070459D" w:rsidP="0070459D">
            <w:pPr>
              <w:rPr>
                <w:rFonts w:ascii="Arial" w:eastAsia="Times New Roman" w:hAnsi="Arial" w:cs="Arial"/>
                <w:b/>
                <w:bCs/>
                <w:color w:val="000000"/>
                <w:sz w:val="14"/>
                <w:szCs w:val="14"/>
                <w:lang w:val="cs-CZ" w:eastAsia="cs-CZ"/>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6E4D56E5" w14:textId="77777777" w:rsidR="0070459D" w:rsidRPr="0070459D" w:rsidRDefault="0070459D" w:rsidP="0070459D">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280B7240" w14:textId="77777777" w:rsidR="0070459D" w:rsidRPr="0070459D" w:rsidRDefault="0070459D" w:rsidP="0070459D">
            <w:pPr>
              <w:rPr>
                <w:rFonts w:ascii="Arial" w:eastAsia="Times New Roman" w:hAnsi="Arial" w:cs="Arial"/>
                <w:b/>
                <w:bCs/>
                <w:color w:val="000000"/>
                <w:sz w:val="14"/>
                <w:szCs w:val="14"/>
                <w:lang w:val="cs-CZ" w:eastAsia="cs-CZ"/>
              </w:rPr>
            </w:pPr>
          </w:p>
        </w:tc>
        <w:tc>
          <w:tcPr>
            <w:tcW w:w="710" w:type="dxa"/>
            <w:tcBorders>
              <w:top w:val="nil"/>
              <w:left w:val="nil"/>
              <w:bottom w:val="single" w:sz="4" w:space="0" w:color="auto"/>
              <w:right w:val="single" w:sz="4" w:space="0" w:color="auto"/>
            </w:tcBorders>
            <w:shd w:val="clear" w:color="000000" w:fill="E7E6E6"/>
            <w:vAlign w:val="center"/>
            <w:hideMark/>
          </w:tcPr>
          <w:p w14:paraId="5A2AB9D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34278C7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6C43E57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03C761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12E1E5A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7F33A2D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7AFAD8E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0460558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7EBD479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3E709D9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6" w:type="dxa"/>
            <w:tcBorders>
              <w:top w:val="nil"/>
              <w:left w:val="nil"/>
              <w:bottom w:val="single" w:sz="4" w:space="0" w:color="auto"/>
              <w:right w:val="single" w:sz="4" w:space="0" w:color="auto"/>
            </w:tcBorders>
            <w:shd w:val="clear" w:color="000000" w:fill="E7E6E6"/>
            <w:vAlign w:val="center"/>
            <w:hideMark/>
          </w:tcPr>
          <w:p w14:paraId="015A57A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3" w:type="dxa"/>
            <w:gridSpan w:val="2"/>
            <w:tcBorders>
              <w:top w:val="nil"/>
              <w:left w:val="nil"/>
              <w:bottom w:val="single" w:sz="4" w:space="0" w:color="auto"/>
              <w:right w:val="single" w:sz="4" w:space="0" w:color="auto"/>
            </w:tcBorders>
            <w:shd w:val="clear" w:color="000000" w:fill="E7E6E6"/>
            <w:vAlign w:val="center"/>
            <w:hideMark/>
          </w:tcPr>
          <w:p w14:paraId="01E0E16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r>
      <w:tr w:rsidR="0070459D" w:rsidRPr="0070459D" w14:paraId="2A06F298"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442B259"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DC0E931" w14:textId="77777777" w:rsidR="0070459D" w:rsidRPr="0070459D" w:rsidRDefault="0070459D" w:rsidP="0070459D">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1CBEF1B1"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644AD490" w14:textId="77777777" w:rsidR="0070459D" w:rsidRPr="0070459D" w:rsidRDefault="0070459D" w:rsidP="0070459D">
            <w:pPr>
              <w:rPr>
                <w:rFonts w:ascii="Arial" w:eastAsia="Times New Roman" w:hAnsi="Arial" w:cs="Arial"/>
                <w:b/>
                <w:bCs/>
                <w:color w:val="000000"/>
                <w:sz w:val="14"/>
                <w:szCs w:val="14"/>
                <w:lang w:val="cs-CZ" w:eastAsia="cs-CZ"/>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25C97A2C" w14:textId="77777777" w:rsidR="0070459D" w:rsidRPr="0070459D" w:rsidRDefault="0070459D" w:rsidP="0070459D">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3D60A601" w14:textId="77777777" w:rsidR="0070459D" w:rsidRPr="0070459D" w:rsidRDefault="0070459D" w:rsidP="0070459D">
            <w:pPr>
              <w:rPr>
                <w:rFonts w:ascii="Arial" w:eastAsia="Times New Roman" w:hAnsi="Arial" w:cs="Arial"/>
                <w:b/>
                <w:bCs/>
                <w:color w:val="000000"/>
                <w:sz w:val="14"/>
                <w:szCs w:val="14"/>
                <w:lang w:val="cs-CZ" w:eastAsia="cs-CZ"/>
              </w:rPr>
            </w:pPr>
          </w:p>
        </w:tc>
        <w:tc>
          <w:tcPr>
            <w:tcW w:w="710" w:type="dxa"/>
            <w:tcBorders>
              <w:top w:val="nil"/>
              <w:left w:val="nil"/>
              <w:bottom w:val="single" w:sz="4" w:space="0" w:color="auto"/>
              <w:right w:val="single" w:sz="4" w:space="0" w:color="auto"/>
            </w:tcBorders>
            <w:shd w:val="clear" w:color="000000" w:fill="FFFFFF"/>
            <w:vAlign w:val="center"/>
            <w:hideMark/>
          </w:tcPr>
          <w:p w14:paraId="3FCD3AC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3F55740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4C52360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08EF3E1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5D2E2E9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4FBDDA6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416F835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6E0DB09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1E3C557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0BA884F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6" w:type="dxa"/>
            <w:tcBorders>
              <w:top w:val="nil"/>
              <w:left w:val="nil"/>
              <w:bottom w:val="single" w:sz="4" w:space="0" w:color="auto"/>
              <w:right w:val="single" w:sz="4" w:space="0" w:color="auto"/>
            </w:tcBorders>
            <w:shd w:val="clear" w:color="000000" w:fill="FFFFFF"/>
            <w:vAlign w:val="center"/>
            <w:hideMark/>
          </w:tcPr>
          <w:p w14:paraId="5B00AD9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3" w:type="dxa"/>
            <w:gridSpan w:val="2"/>
            <w:tcBorders>
              <w:top w:val="nil"/>
              <w:left w:val="nil"/>
              <w:bottom w:val="single" w:sz="4" w:space="0" w:color="auto"/>
              <w:right w:val="single" w:sz="4" w:space="0" w:color="auto"/>
            </w:tcBorders>
            <w:shd w:val="clear" w:color="000000" w:fill="FFFFFF"/>
            <w:vAlign w:val="center"/>
            <w:hideMark/>
          </w:tcPr>
          <w:p w14:paraId="440FB7B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r>
      <w:tr w:rsidR="0070459D" w:rsidRPr="0070459D" w14:paraId="25EB71B8" w14:textId="77777777" w:rsidTr="00A722E5">
        <w:trPr>
          <w:trHeight w:val="2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7957D45"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CF3A7EA" w14:textId="77777777" w:rsidR="0070459D" w:rsidRPr="0070459D" w:rsidRDefault="0070459D" w:rsidP="0070459D">
            <w:pPr>
              <w:rPr>
                <w:rFonts w:ascii="Arial" w:eastAsia="Times New Roman" w:hAnsi="Arial" w:cs="Arial"/>
                <w:b/>
                <w:bCs/>
                <w:color w:val="000000"/>
                <w:sz w:val="14"/>
                <w:szCs w:val="14"/>
                <w:lang w:val="cs-CZ" w:eastAsia="cs-CZ"/>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14:paraId="5A7DB2C5"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234005A9" w14:textId="77777777" w:rsidR="0070459D" w:rsidRPr="0070459D" w:rsidRDefault="0070459D" w:rsidP="0070459D">
            <w:pPr>
              <w:rPr>
                <w:rFonts w:ascii="Arial" w:eastAsia="Times New Roman" w:hAnsi="Arial" w:cs="Arial"/>
                <w:b/>
                <w:bCs/>
                <w:color w:val="000000"/>
                <w:sz w:val="14"/>
                <w:szCs w:val="14"/>
                <w:lang w:val="cs-CZ" w:eastAsia="cs-CZ"/>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6A25F2EB" w14:textId="77777777" w:rsidR="0070459D" w:rsidRPr="0070459D" w:rsidRDefault="0070459D" w:rsidP="0070459D">
            <w:pPr>
              <w:rPr>
                <w:rFonts w:ascii="Arial" w:eastAsia="Times New Roman" w:hAnsi="Arial" w:cs="Arial"/>
                <w:b/>
                <w:bCs/>
                <w:color w:val="000000"/>
                <w:sz w:val="14"/>
                <w:szCs w:val="14"/>
                <w:lang w:val="cs-CZ" w:eastAsia="cs-CZ"/>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14:paraId="4CE508FF" w14:textId="77777777" w:rsidR="0070459D" w:rsidRPr="0070459D" w:rsidRDefault="0070459D" w:rsidP="0070459D">
            <w:pPr>
              <w:rPr>
                <w:rFonts w:ascii="Arial" w:eastAsia="Times New Roman" w:hAnsi="Arial" w:cs="Arial"/>
                <w:b/>
                <w:bCs/>
                <w:color w:val="000000"/>
                <w:sz w:val="14"/>
                <w:szCs w:val="14"/>
                <w:lang w:val="cs-CZ" w:eastAsia="cs-CZ"/>
              </w:rPr>
            </w:pPr>
          </w:p>
        </w:tc>
        <w:tc>
          <w:tcPr>
            <w:tcW w:w="710" w:type="dxa"/>
            <w:tcBorders>
              <w:top w:val="nil"/>
              <w:left w:val="nil"/>
              <w:bottom w:val="single" w:sz="4" w:space="0" w:color="auto"/>
              <w:right w:val="single" w:sz="4" w:space="0" w:color="auto"/>
            </w:tcBorders>
            <w:shd w:val="clear" w:color="000000" w:fill="FFFFFF"/>
            <w:vAlign w:val="center"/>
            <w:hideMark/>
          </w:tcPr>
          <w:p w14:paraId="0997007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00FAC42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2F43F8F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5DB2EBA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3408504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3DFCC90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25B9CAF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63AC5E5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66AD008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15FB419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6" w:type="dxa"/>
            <w:tcBorders>
              <w:top w:val="nil"/>
              <w:left w:val="nil"/>
              <w:bottom w:val="single" w:sz="4" w:space="0" w:color="auto"/>
              <w:right w:val="single" w:sz="4" w:space="0" w:color="auto"/>
            </w:tcBorders>
            <w:shd w:val="clear" w:color="000000" w:fill="FFFFFF"/>
            <w:vAlign w:val="center"/>
            <w:hideMark/>
          </w:tcPr>
          <w:p w14:paraId="630F4CC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3" w:type="dxa"/>
            <w:gridSpan w:val="2"/>
            <w:tcBorders>
              <w:top w:val="nil"/>
              <w:left w:val="nil"/>
              <w:bottom w:val="single" w:sz="4" w:space="0" w:color="auto"/>
              <w:right w:val="single" w:sz="4" w:space="0" w:color="auto"/>
            </w:tcBorders>
            <w:shd w:val="clear" w:color="000000" w:fill="FFFFFF"/>
            <w:vAlign w:val="center"/>
            <w:hideMark/>
          </w:tcPr>
          <w:p w14:paraId="5D01B78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r>
      <w:tr w:rsidR="0070459D" w:rsidRPr="0070459D" w14:paraId="311300A0" w14:textId="77777777" w:rsidTr="00A722E5">
        <w:trPr>
          <w:trHeight w:val="20"/>
        </w:trPr>
        <w:tc>
          <w:tcPr>
            <w:tcW w:w="5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4765CF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67110</w:t>
            </w:r>
          </w:p>
        </w:tc>
        <w:tc>
          <w:tcPr>
            <w:tcW w:w="243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DA11C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podpůrných institucí, které fungují i po ukončení podpory</w:t>
            </w:r>
          </w:p>
        </w:tc>
        <w:tc>
          <w:tcPr>
            <w:tcW w:w="4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7E8DE2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B9F565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C0D93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4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5B06D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10"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36229F2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1,000</w:t>
            </w:r>
          </w:p>
        </w:tc>
        <w:tc>
          <w:tcPr>
            <w:tcW w:w="806" w:type="dxa"/>
            <w:tcBorders>
              <w:top w:val="nil"/>
              <w:left w:val="nil"/>
              <w:bottom w:val="single" w:sz="4" w:space="0" w:color="auto"/>
              <w:right w:val="single" w:sz="4" w:space="0" w:color="auto"/>
            </w:tcBorders>
            <w:shd w:val="clear" w:color="000000" w:fill="E7E6E6"/>
            <w:vAlign w:val="center"/>
            <w:hideMark/>
          </w:tcPr>
          <w:p w14:paraId="694174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0F1426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1325BD0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29D227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7E390E2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DDFEB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424EA38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5DE414B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11FC4DF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17478B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2ECAB1C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06B4DD3D"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410BD217"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7D879FA2"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5703FD8A"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4F22825B"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79EFB41F"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7BDE0C02"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107FA795"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0C4CC6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86953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BB83E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64226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12D124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C6BF1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417CC8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00F7E5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D6DA0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1AA75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1374E654"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C020390"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639833E4"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610B9DA6"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15ABD1C2"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7B9ABAE4"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7A00BE9A"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099D0ADE"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68B68FEF"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3EBCA0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574EED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1FCA2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3F898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30499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27C00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1A26D4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EB29E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0565F5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38D99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5A3846D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DCE4355"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344F8F45"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6B380961"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5FCCBABC"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4C2498BC"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3304475A"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4632267B"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0CFB0DE9"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E7E6E6"/>
            <w:vAlign w:val="center"/>
            <w:hideMark/>
          </w:tcPr>
          <w:p w14:paraId="165153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48F298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1DD754E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8E0DC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157E28D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23F0C9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771B2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0FCFC3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309D09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137FBE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26AC5F3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08207E2"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2CF9F91C"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0CD669DD"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18A7E9BA"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7CBE3F03"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29844A01"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317E234"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tcBorders>
              <w:top w:val="nil"/>
              <w:left w:val="nil"/>
              <w:bottom w:val="single" w:sz="4" w:space="0" w:color="auto"/>
              <w:right w:val="single" w:sz="4" w:space="0" w:color="auto"/>
            </w:tcBorders>
            <w:shd w:val="clear" w:color="auto" w:fill="auto"/>
            <w:vAlign w:val="center"/>
            <w:hideMark/>
          </w:tcPr>
          <w:p w14:paraId="564DB6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7E618B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7F3946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356E72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7EE8F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25F93F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65FA318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A4C37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68F37F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606CB11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4D1E1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tcBorders>
              <w:top w:val="nil"/>
              <w:left w:val="nil"/>
              <w:bottom w:val="single" w:sz="4" w:space="0" w:color="auto"/>
              <w:right w:val="single" w:sz="4" w:space="0" w:color="auto"/>
            </w:tcBorders>
            <w:shd w:val="clear" w:color="auto" w:fill="auto"/>
            <w:vAlign w:val="center"/>
            <w:hideMark/>
          </w:tcPr>
          <w:p w14:paraId="42B262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7F6CE4C3"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2775372E"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56D29D87"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68F21843"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2A99A279"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62FAD785"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4C2AE1CE"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tcBorders>
              <w:top w:val="nil"/>
              <w:left w:val="nil"/>
              <w:bottom w:val="single" w:sz="4" w:space="0" w:color="auto"/>
              <w:right w:val="single" w:sz="4" w:space="0" w:color="auto"/>
            </w:tcBorders>
            <w:shd w:val="clear" w:color="auto" w:fill="auto"/>
            <w:vAlign w:val="center"/>
            <w:hideMark/>
          </w:tcPr>
          <w:p w14:paraId="2425898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F19FD3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331547B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26DB5B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5E0EC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30E634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0A73FF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F0D383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9329E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05FD2C2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C92E86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tcBorders>
              <w:top w:val="nil"/>
              <w:left w:val="nil"/>
              <w:bottom w:val="single" w:sz="4" w:space="0" w:color="auto"/>
              <w:right w:val="single" w:sz="4" w:space="0" w:color="auto"/>
            </w:tcBorders>
            <w:shd w:val="clear" w:color="auto" w:fill="auto"/>
            <w:vAlign w:val="center"/>
            <w:hideMark/>
          </w:tcPr>
          <w:p w14:paraId="0AEB49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4CE8BB0D" w14:textId="77777777" w:rsidTr="00A722E5">
        <w:trPr>
          <w:trHeight w:val="20"/>
        </w:trPr>
        <w:tc>
          <w:tcPr>
            <w:tcW w:w="5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F910AF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67110</w:t>
            </w:r>
          </w:p>
        </w:tc>
        <w:tc>
          <w:tcPr>
            <w:tcW w:w="243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5DB45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podpůrných institucí, které fungují i po ukončení podpory</w:t>
            </w:r>
          </w:p>
        </w:tc>
        <w:tc>
          <w:tcPr>
            <w:tcW w:w="4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7DD347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31B90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A94238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Organizace</w:t>
            </w:r>
          </w:p>
        </w:tc>
        <w:tc>
          <w:tcPr>
            <w:tcW w:w="94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24A22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10"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686E7C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71BA7A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19FECAE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5EBBC38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44925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5364B1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EEA85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35FDF35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6A6D71C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03B2AD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78C8D2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4B3860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N/A</w:t>
            </w:r>
          </w:p>
        </w:tc>
      </w:tr>
      <w:tr w:rsidR="0070459D" w:rsidRPr="0070459D" w14:paraId="1BEDC071"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175CC77A"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5D5D606C"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6248E58D"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219B35A8"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5A6622EE"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1B56E772"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6FF9B1DD"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592966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2460F3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67A497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0C609A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11E30C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2E436CB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BAE51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196CAA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8CE11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147411E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43E0A38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7963839"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0AFC7F74"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13B234CC"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36A03DAB"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3C6A8E81"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5EE9CC58"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4A5131DF"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27F3130D"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332EA7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1FE821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2751E8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0C420D9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D0FC2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409EE9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2B5DB90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45914B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20243B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BED1B5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323F0B0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2023159"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18F7BD26"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7320177E"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313241EC"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7017CC07"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5BFB2BD1"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4DCCD3C1"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45E4835B"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E7E6E6"/>
            <w:vAlign w:val="center"/>
            <w:hideMark/>
          </w:tcPr>
          <w:p w14:paraId="6A9017A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34E7E9C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3FFFA8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4E02F9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32027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3A85A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4C9B61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7FF58F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0A8C39F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40988BD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3739085A"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DB6367F"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492BF634"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3690FEAF"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73875896"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2A5E6A9B"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032C7662"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BC6384F"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tcBorders>
              <w:top w:val="nil"/>
              <w:left w:val="nil"/>
              <w:bottom w:val="single" w:sz="4" w:space="0" w:color="auto"/>
              <w:right w:val="single" w:sz="4" w:space="0" w:color="auto"/>
            </w:tcBorders>
            <w:shd w:val="clear" w:color="auto" w:fill="auto"/>
            <w:vAlign w:val="center"/>
            <w:hideMark/>
          </w:tcPr>
          <w:p w14:paraId="5E6B1D1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E471B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8F1F1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4CD0A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9107E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28DA17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1C0E4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7003FB1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63C3E7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6D89DE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D20431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tcBorders>
              <w:top w:val="nil"/>
              <w:left w:val="nil"/>
              <w:bottom w:val="single" w:sz="4" w:space="0" w:color="auto"/>
              <w:right w:val="single" w:sz="4" w:space="0" w:color="auto"/>
            </w:tcBorders>
            <w:shd w:val="clear" w:color="auto" w:fill="auto"/>
            <w:vAlign w:val="center"/>
            <w:hideMark/>
          </w:tcPr>
          <w:p w14:paraId="39B9F3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1253BE7"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425561DB"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6097DF7B"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3D65521E"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730C19F8"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324D2D77"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5D5F722"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tcBorders>
              <w:top w:val="nil"/>
              <w:left w:val="nil"/>
              <w:bottom w:val="single" w:sz="4" w:space="0" w:color="auto"/>
              <w:right w:val="single" w:sz="4" w:space="0" w:color="auto"/>
            </w:tcBorders>
            <w:shd w:val="clear" w:color="auto" w:fill="auto"/>
            <w:vAlign w:val="center"/>
            <w:hideMark/>
          </w:tcPr>
          <w:p w14:paraId="0C76C9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41AB1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F20A62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329202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266394D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550CF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825BC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7AB429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6CA672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8711C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366BEA5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tcBorders>
              <w:top w:val="nil"/>
              <w:left w:val="nil"/>
              <w:bottom w:val="single" w:sz="4" w:space="0" w:color="auto"/>
              <w:right w:val="single" w:sz="4" w:space="0" w:color="auto"/>
            </w:tcBorders>
            <w:shd w:val="clear" w:color="auto" w:fill="auto"/>
            <w:vAlign w:val="center"/>
            <w:hideMark/>
          </w:tcPr>
          <w:p w14:paraId="65094EE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71C0F64D" w14:textId="77777777" w:rsidTr="00A722E5">
        <w:trPr>
          <w:trHeight w:val="20"/>
        </w:trPr>
        <w:tc>
          <w:tcPr>
            <w:tcW w:w="5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C77DF0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69410</w:t>
            </w:r>
          </w:p>
        </w:tc>
        <w:tc>
          <w:tcPr>
            <w:tcW w:w="243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B45F7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zvalidovaných experimentálních či kvazi-experimentálních ověření nových nástrojů</w:t>
            </w:r>
          </w:p>
        </w:tc>
        <w:tc>
          <w:tcPr>
            <w:tcW w:w="4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BBF5A8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00E85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8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DF83F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Ověření</w:t>
            </w:r>
          </w:p>
        </w:tc>
        <w:tc>
          <w:tcPr>
            <w:tcW w:w="94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D6737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10"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3B17B8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4,000</w:t>
            </w:r>
          </w:p>
        </w:tc>
        <w:tc>
          <w:tcPr>
            <w:tcW w:w="806" w:type="dxa"/>
            <w:tcBorders>
              <w:top w:val="nil"/>
              <w:left w:val="nil"/>
              <w:bottom w:val="single" w:sz="4" w:space="0" w:color="auto"/>
              <w:right w:val="single" w:sz="4" w:space="0" w:color="auto"/>
            </w:tcBorders>
            <w:shd w:val="clear" w:color="000000" w:fill="E7E6E6"/>
            <w:vAlign w:val="center"/>
            <w:hideMark/>
          </w:tcPr>
          <w:p w14:paraId="1813A92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454CDF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3123995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3DBF2C9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A1DC8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1395A9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0,900</w:t>
            </w:r>
          </w:p>
        </w:tc>
        <w:tc>
          <w:tcPr>
            <w:tcW w:w="806" w:type="dxa"/>
            <w:tcBorders>
              <w:top w:val="nil"/>
              <w:left w:val="nil"/>
              <w:bottom w:val="single" w:sz="4" w:space="0" w:color="auto"/>
              <w:right w:val="single" w:sz="4" w:space="0" w:color="auto"/>
            </w:tcBorders>
            <w:shd w:val="clear" w:color="000000" w:fill="E7E6E6"/>
            <w:vAlign w:val="center"/>
            <w:hideMark/>
          </w:tcPr>
          <w:p w14:paraId="6F95CD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60F0F4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16ED79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2F62BE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7A3581C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22,500</w:t>
            </w:r>
          </w:p>
        </w:tc>
      </w:tr>
      <w:tr w:rsidR="0070459D" w:rsidRPr="0070459D" w14:paraId="70556DFF"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12B5D299"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645CFD57"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5E6FD090"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02A11BFA"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79BAFC5D"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157084FC"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18AA7212"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5DE6CA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9FAE4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291575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7542D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35FC28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BB5BE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064BEE1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29F932E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823C1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EB4112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0D0412E4"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081CCF1"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1869C02F"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2BFE77F5"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5C4CC446"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08129C35"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4CFF4A83"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78DA5256"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6A95A9C5"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0A9EE6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0D0060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28228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65F2E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C781F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276B56A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BE6FC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478426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3CA31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ED6D4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42A8CB08"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B5BF4A7"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6EA02DFD"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12112718"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371571A7"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4CB5D468"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76A27138"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0DE7092"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00917B5E"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E7E6E6"/>
            <w:vAlign w:val="center"/>
            <w:hideMark/>
          </w:tcPr>
          <w:p w14:paraId="68366E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0B4B94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D8C121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319DF8C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145DEB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723359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0,900</w:t>
            </w:r>
          </w:p>
        </w:tc>
        <w:tc>
          <w:tcPr>
            <w:tcW w:w="806" w:type="dxa"/>
            <w:tcBorders>
              <w:top w:val="nil"/>
              <w:left w:val="nil"/>
              <w:bottom w:val="single" w:sz="4" w:space="0" w:color="auto"/>
              <w:right w:val="single" w:sz="4" w:space="0" w:color="auto"/>
            </w:tcBorders>
            <w:shd w:val="clear" w:color="000000" w:fill="E7E6E6"/>
            <w:vAlign w:val="center"/>
            <w:hideMark/>
          </w:tcPr>
          <w:p w14:paraId="36F2B36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17D94C3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064D8C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6818F49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206C71F1"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3AB9EF3"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11C59D29"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652AF659"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3C39A6F9"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0AC774DA"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20DA933C"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7C4F1592"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tcBorders>
              <w:top w:val="nil"/>
              <w:left w:val="nil"/>
              <w:bottom w:val="single" w:sz="4" w:space="0" w:color="auto"/>
              <w:right w:val="single" w:sz="4" w:space="0" w:color="auto"/>
            </w:tcBorders>
            <w:shd w:val="clear" w:color="auto" w:fill="auto"/>
            <w:vAlign w:val="center"/>
            <w:hideMark/>
          </w:tcPr>
          <w:p w14:paraId="00FB8BC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D2D65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61ABDD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959DFC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27EBD9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E0F398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91EE8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1D3FF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7CFD54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D96D0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3DCBAA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tcBorders>
              <w:top w:val="nil"/>
              <w:left w:val="nil"/>
              <w:bottom w:val="single" w:sz="4" w:space="0" w:color="auto"/>
              <w:right w:val="single" w:sz="4" w:space="0" w:color="auto"/>
            </w:tcBorders>
            <w:shd w:val="clear" w:color="auto" w:fill="auto"/>
            <w:vAlign w:val="center"/>
            <w:hideMark/>
          </w:tcPr>
          <w:p w14:paraId="494E80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4533995"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49FDC743"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27D24044"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47F82BE5"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16B8DD11"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4D0585BB"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67E82562"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tcBorders>
              <w:top w:val="nil"/>
              <w:left w:val="nil"/>
              <w:bottom w:val="single" w:sz="4" w:space="0" w:color="auto"/>
              <w:right w:val="single" w:sz="4" w:space="0" w:color="auto"/>
            </w:tcBorders>
            <w:shd w:val="clear" w:color="auto" w:fill="auto"/>
            <w:vAlign w:val="center"/>
            <w:hideMark/>
          </w:tcPr>
          <w:p w14:paraId="4FEF01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1F1026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9B340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7CC3EA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02FECA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03AC94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0EC05B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0472FA7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49FF09D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58289F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auto" w:fill="auto"/>
            <w:vAlign w:val="center"/>
            <w:hideMark/>
          </w:tcPr>
          <w:p w14:paraId="2969E1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tcBorders>
              <w:top w:val="nil"/>
              <w:left w:val="nil"/>
              <w:bottom w:val="single" w:sz="4" w:space="0" w:color="auto"/>
              <w:right w:val="single" w:sz="4" w:space="0" w:color="auto"/>
            </w:tcBorders>
            <w:shd w:val="clear" w:color="auto" w:fill="auto"/>
            <w:vAlign w:val="center"/>
            <w:hideMark/>
          </w:tcPr>
          <w:p w14:paraId="5DEBA6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FFC8CAE" w14:textId="77777777" w:rsidTr="00A722E5">
        <w:trPr>
          <w:trHeight w:val="20"/>
        </w:trPr>
        <w:tc>
          <w:tcPr>
            <w:tcW w:w="50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D4E12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69410</w:t>
            </w:r>
          </w:p>
        </w:tc>
        <w:tc>
          <w:tcPr>
            <w:tcW w:w="243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CF18D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zvalidovaných experimentálních či kvazi-</w:t>
            </w:r>
            <w:r w:rsidRPr="0070459D">
              <w:rPr>
                <w:rFonts w:ascii="Arial" w:eastAsia="Times New Roman" w:hAnsi="Arial" w:cs="Arial"/>
                <w:color w:val="000000"/>
                <w:sz w:val="14"/>
                <w:szCs w:val="14"/>
                <w:lang w:val="cs-CZ" w:eastAsia="cs-CZ"/>
              </w:rPr>
              <w:lastRenderedPageBreak/>
              <w:t>experimentálních ověření nových nástrojů</w:t>
            </w:r>
          </w:p>
        </w:tc>
        <w:tc>
          <w:tcPr>
            <w:tcW w:w="4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F9EC5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lastRenderedPageBreak/>
              <w:t>ESF</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1EDA55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8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EC063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Ověření</w:t>
            </w:r>
          </w:p>
        </w:tc>
        <w:tc>
          <w:tcPr>
            <w:tcW w:w="94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B84EF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10"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42BB31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1,000</w:t>
            </w:r>
          </w:p>
        </w:tc>
        <w:tc>
          <w:tcPr>
            <w:tcW w:w="806" w:type="dxa"/>
            <w:tcBorders>
              <w:top w:val="nil"/>
              <w:left w:val="nil"/>
              <w:bottom w:val="single" w:sz="4" w:space="0" w:color="auto"/>
              <w:right w:val="single" w:sz="4" w:space="0" w:color="auto"/>
            </w:tcBorders>
            <w:shd w:val="clear" w:color="000000" w:fill="E7E6E6"/>
            <w:vAlign w:val="center"/>
            <w:hideMark/>
          </w:tcPr>
          <w:p w14:paraId="2264038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71E93A1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1B65BC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28FA6D0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2A3662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0361BCC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0,120</w:t>
            </w:r>
          </w:p>
        </w:tc>
        <w:tc>
          <w:tcPr>
            <w:tcW w:w="806" w:type="dxa"/>
            <w:tcBorders>
              <w:top w:val="nil"/>
              <w:left w:val="nil"/>
              <w:bottom w:val="single" w:sz="4" w:space="0" w:color="auto"/>
              <w:right w:val="single" w:sz="4" w:space="0" w:color="auto"/>
            </w:tcBorders>
            <w:shd w:val="clear" w:color="000000" w:fill="E7E6E6"/>
            <w:vAlign w:val="center"/>
            <w:hideMark/>
          </w:tcPr>
          <w:p w14:paraId="5794FD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09DB9E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49544DA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4233F88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5ED22C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12,000</w:t>
            </w:r>
          </w:p>
        </w:tc>
      </w:tr>
      <w:tr w:rsidR="0070459D" w:rsidRPr="0070459D" w14:paraId="5A5DFDE8"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56ADBF15"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62887A98"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28D3FDA0"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67B5A5E2"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3EA9C93C"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1299DF7C"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341F65F9"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3397D7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33ACA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176FC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2CCCDA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49E18A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C793E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026D2B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12132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619798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0FCDB2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6153793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C610955"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62E29FB2"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2B155784"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6CCB3359"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4A7DD9B6"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59160909"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3D658A04"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7B6C9CEE"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FFFFFF"/>
            <w:vAlign w:val="center"/>
            <w:hideMark/>
          </w:tcPr>
          <w:p w14:paraId="10CD62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251549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527B2B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0F012D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B3DE7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0F8FC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7AEFE1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FAED0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507512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FFFFFF"/>
            <w:vAlign w:val="center"/>
            <w:hideMark/>
          </w:tcPr>
          <w:p w14:paraId="364C30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23FBC27D"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4486225"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01AFC625"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4F5118C3"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752FC7D5"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451222CD"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63CDE604"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6CFE1598"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vMerge/>
            <w:tcBorders>
              <w:top w:val="nil"/>
              <w:left w:val="single" w:sz="4" w:space="0" w:color="auto"/>
              <w:bottom w:val="single" w:sz="4" w:space="0" w:color="000000"/>
              <w:right w:val="single" w:sz="4" w:space="0" w:color="auto"/>
            </w:tcBorders>
            <w:vAlign w:val="center"/>
            <w:hideMark/>
          </w:tcPr>
          <w:p w14:paraId="6A8F68DE" w14:textId="77777777" w:rsidR="0070459D" w:rsidRPr="0070459D" w:rsidRDefault="0070459D" w:rsidP="0070459D">
            <w:pPr>
              <w:rPr>
                <w:rFonts w:ascii="Arial" w:eastAsia="Times New Roman" w:hAnsi="Arial" w:cs="Arial"/>
                <w:color w:val="000000"/>
                <w:sz w:val="14"/>
                <w:szCs w:val="14"/>
                <w:lang w:val="cs-CZ" w:eastAsia="cs-CZ"/>
              </w:rPr>
            </w:pPr>
          </w:p>
        </w:tc>
        <w:tc>
          <w:tcPr>
            <w:tcW w:w="806" w:type="dxa"/>
            <w:tcBorders>
              <w:top w:val="nil"/>
              <w:left w:val="nil"/>
              <w:bottom w:val="single" w:sz="4" w:space="0" w:color="auto"/>
              <w:right w:val="single" w:sz="4" w:space="0" w:color="auto"/>
            </w:tcBorders>
            <w:shd w:val="clear" w:color="000000" w:fill="E7E6E6"/>
            <w:vAlign w:val="center"/>
            <w:hideMark/>
          </w:tcPr>
          <w:p w14:paraId="1AB708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7AC2A0E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17A2F0D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60FD5F5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734039A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6" w:type="dxa"/>
            <w:tcBorders>
              <w:top w:val="nil"/>
              <w:left w:val="nil"/>
              <w:bottom w:val="single" w:sz="4" w:space="0" w:color="auto"/>
              <w:right w:val="single" w:sz="4" w:space="0" w:color="auto"/>
            </w:tcBorders>
            <w:shd w:val="clear" w:color="000000" w:fill="E7E6E6"/>
            <w:vAlign w:val="center"/>
            <w:hideMark/>
          </w:tcPr>
          <w:p w14:paraId="01F128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0,120</w:t>
            </w:r>
          </w:p>
        </w:tc>
        <w:tc>
          <w:tcPr>
            <w:tcW w:w="806" w:type="dxa"/>
            <w:tcBorders>
              <w:top w:val="nil"/>
              <w:left w:val="nil"/>
              <w:bottom w:val="single" w:sz="4" w:space="0" w:color="auto"/>
              <w:right w:val="single" w:sz="4" w:space="0" w:color="auto"/>
            </w:tcBorders>
            <w:shd w:val="clear" w:color="000000" w:fill="E7E6E6"/>
            <w:vAlign w:val="center"/>
            <w:hideMark/>
          </w:tcPr>
          <w:p w14:paraId="1BAC30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37C357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5BF8E5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6" w:type="dxa"/>
            <w:tcBorders>
              <w:top w:val="nil"/>
              <w:left w:val="nil"/>
              <w:bottom w:val="single" w:sz="4" w:space="0" w:color="auto"/>
              <w:right w:val="single" w:sz="4" w:space="0" w:color="auto"/>
            </w:tcBorders>
            <w:shd w:val="clear" w:color="000000" w:fill="E7E6E6"/>
            <w:vAlign w:val="center"/>
            <w:hideMark/>
          </w:tcPr>
          <w:p w14:paraId="76970E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3" w:type="dxa"/>
            <w:gridSpan w:val="2"/>
            <w:vMerge/>
            <w:tcBorders>
              <w:top w:val="nil"/>
              <w:left w:val="single" w:sz="4" w:space="0" w:color="auto"/>
              <w:bottom w:val="single" w:sz="4" w:space="0" w:color="000000"/>
              <w:right w:val="single" w:sz="4" w:space="0" w:color="auto"/>
            </w:tcBorders>
            <w:vAlign w:val="center"/>
            <w:hideMark/>
          </w:tcPr>
          <w:p w14:paraId="1C0C7099"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EA87047"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07E9E0A3"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325B93B9"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7E3EF71F"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509B5513"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721B9AA2"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280825CD"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tcBorders>
              <w:top w:val="nil"/>
              <w:left w:val="nil"/>
              <w:bottom w:val="single" w:sz="4" w:space="0" w:color="auto"/>
              <w:right w:val="single" w:sz="4" w:space="0" w:color="auto"/>
            </w:tcBorders>
            <w:shd w:val="clear" w:color="auto" w:fill="auto"/>
            <w:noWrap/>
            <w:vAlign w:val="bottom"/>
            <w:hideMark/>
          </w:tcPr>
          <w:p w14:paraId="5B9EE125"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793020B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4663988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75DFEFC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2AFE729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7E80029E"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0FF164D5"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3AB5F58D"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719A089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3D47CDE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06B25941"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13" w:type="dxa"/>
            <w:gridSpan w:val="2"/>
            <w:tcBorders>
              <w:top w:val="nil"/>
              <w:left w:val="nil"/>
              <w:bottom w:val="single" w:sz="4" w:space="0" w:color="auto"/>
              <w:right w:val="single" w:sz="4" w:space="0" w:color="auto"/>
            </w:tcBorders>
            <w:shd w:val="clear" w:color="auto" w:fill="auto"/>
            <w:noWrap/>
            <w:vAlign w:val="bottom"/>
            <w:hideMark/>
          </w:tcPr>
          <w:p w14:paraId="0316D9A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r w:rsidR="0070459D" w:rsidRPr="0070459D" w14:paraId="6D3C2C27" w14:textId="77777777" w:rsidTr="00A722E5">
        <w:trPr>
          <w:trHeight w:val="20"/>
        </w:trPr>
        <w:tc>
          <w:tcPr>
            <w:tcW w:w="508" w:type="dxa"/>
            <w:vMerge/>
            <w:tcBorders>
              <w:top w:val="nil"/>
              <w:left w:val="single" w:sz="4" w:space="0" w:color="auto"/>
              <w:bottom w:val="single" w:sz="4" w:space="0" w:color="000000"/>
              <w:right w:val="single" w:sz="4" w:space="0" w:color="auto"/>
            </w:tcBorders>
            <w:vAlign w:val="center"/>
            <w:hideMark/>
          </w:tcPr>
          <w:p w14:paraId="3EE80566"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6623EDF9" w14:textId="77777777" w:rsidR="0070459D" w:rsidRPr="0070459D" w:rsidRDefault="0070459D" w:rsidP="0070459D">
            <w:pPr>
              <w:rPr>
                <w:rFonts w:ascii="Arial" w:eastAsia="Times New Roman" w:hAnsi="Arial" w:cs="Arial"/>
                <w:color w:val="000000"/>
                <w:sz w:val="14"/>
                <w:szCs w:val="14"/>
                <w:lang w:val="cs-CZ" w:eastAsia="cs-CZ"/>
              </w:rPr>
            </w:pPr>
          </w:p>
        </w:tc>
        <w:tc>
          <w:tcPr>
            <w:tcW w:w="494" w:type="dxa"/>
            <w:vMerge/>
            <w:tcBorders>
              <w:top w:val="nil"/>
              <w:left w:val="single" w:sz="4" w:space="0" w:color="auto"/>
              <w:bottom w:val="single" w:sz="4" w:space="0" w:color="000000"/>
              <w:right w:val="single" w:sz="4" w:space="0" w:color="auto"/>
            </w:tcBorders>
            <w:vAlign w:val="center"/>
            <w:hideMark/>
          </w:tcPr>
          <w:p w14:paraId="0B6D5415" w14:textId="77777777" w:rsidR="0070459D" w:rsidRPr="0070459D" w:rsidRDefault="0070459D" w:rsidP="0070459D">
            <w:pPr>
              <w:rPr>
                <w:rFonts w:ascii="Arial" w:eastAsia="Times New Roman" w:hAnsi="Arial" w:cs="Arial"/>
                <w:color w:val="000000"/>
                <w:sz w:val="14"/>
                <w:szCs w:val="14"/>
                <w:lang w:val="cs-CZ" w:eastAsia="cs-CZ"/>
              </w:rPr>
            </w:pPr>
          </w:p>
        </w:tc>
        <w:tc>
          <w:tcPr>
            <w:tcW w:w="1172" w:type="dxa"/>
            <w:vMerge/>
            <w:tcBorders>
              <w:top w:val="nil"/>
              <w:left w:val="single" w:sz="4" w:space="0" w:color="auto"/>
              <w:bottom w:val="single" w:sz="4" w:space="0" w:color="000000"/>
              <w:right w:val="single" w:sz="4" w:space="0" w:color="auto"/>
            </w:tcBorders>
            <w:vAlign w:val="center"/>
            <w:hideMark/>
          </w:tcPr>
          <w:p w14:paraId="7C3F6F4F" w14:textId="77777777" w:rsidR="0070459D" w:rsidRPr="0070459D" w:rsidRDefault="0070459D" w:rsidP="0070459D">
            <w:pPr>
              <w:rPr>
                <w:rFonts w:ascii="Arial" w:eastAsia="Times New Roman" w:hAnsi="Arial" w:cs="Arial"/>
                <w:color w:val="000000"/>
                <w:sz w:val="14"/>
                <w:szCs w:val="14"/>
                <w:lang w:val="cs-CZ" w:eastAsia="cs-CZ"/>
              </w:rPr>
            </w:pPr>
          </w:p>
        </w:tc>
        <w:tc>
          <w:tcPr>
            <w:tcW w:w="822" w:type="dxa"/>
            <w:vMerge/>
            <w:tcBorders>
              <w:top w:val="nil"/>
              <w:left w:val="single" w:sz="4" w:space="0" w:color="auto"/>
              <w:bottom w:val="single" w:sz="4" w:space="0" w:color="000000"/>
              <w:right w:val="single" w:sz="4" w:space="0" w:color="auto"/>
            </w:tcBorders>
            <w:vAlign w:val="center"/>
            <w:hideMark/>
          </w:tcPr>
          <w:p w14:paraId="289E270E" w14:textId="77777777" w:rsidR="0070459D" w:rsidRPr="0070459D" w:rsidRDefault="0070459D" w:rsidP="0070459D">
            <w:pPr>
              <w:rPr>
                <w:rFonts w:ascii="Arial" w:eastAsia="Times New Roman" w:hAnsi="Arial" w:cs="Arial"/>
                <w:color w:val="000000"/>
                <w:sz w:val="14"/>
                <w:szCs w:val="14"/>
                <w:lang w:val="cs-CZ" w:eastAsia="cs-CZ"/>
              </w:rPr>
            </w:pPr>
          </w:p>
        </w:tc>
        <w:tc>
          <w:tcPr>
            <w:tcW w:w="948" w:type="dxa"/>
            <w:vMerge/>
            <w:tcBorders>
              <w:top w:val="nil"/>
              <w:left w:val="single" w:sz="4" w:space="0" w:color="auto"/>
              <w:bottom w:val="single" w:sz="4" w:space="0" w:color="000000"/>
              <w:right w:val="single" w:sz="4" w:space="0" w:color="auto"/>
            </w:tcBorders>
            <w:vAlign w:val="center"/>
            <w:hideMark/>
          </w:tcPr>
          <w:p w14:paraId="564D1994" w14:textId="77777777" w:rsidR="0070459D" w:rsidRPr="0070459D" w:rsidRDefault="0070459D" w:rsidP="0070459D">
            <w:pPr>
              <w:rPr>
                <w:rFonts w:ascii="Arial" w:eastAsia="Times New Roman" w:hAnsi="Arial" w:cs="Arial"/>
                <w:color w:val="000000"/>
                <w:sz w:val="14"/>
                <w:szCs w:val="14"/>
                <w:lang w:val="cs-CZ" w:eastAsia="cs-CZ"/>
              </w:rPr>
            </w:pPr>
          </w:p>
        </w:tc>
        <w:tc>
          <w:tcPr>
            <w:tcW w:w="710" w:type="dxa"/>
            <w:tcBorders>
              <w:top w:val="nil"/>
              <w:left w:val="nil"/>
              <w:bottom w:val="single" w:sz="4" w:space="0" w:color="auto"/>
              <w:right w:val="single" w:sz="4" w:space="0" w:color="auto"/>
            </w:tcBorders>
            <w:shd w:val="clear" w:color="auto" w:fill="auto"/>
            <w:noWrap/>
            <w:vAlign w:val="bottom"/>
            <w:hideMark/>
          </w:tcPr>
          <w:p w14:paraId="66DB2645"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0058074D"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4C1CCD7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08034CC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01A59B3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4940E29A"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59420251"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545FB09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7606A8E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7889D4FE"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6" w:type="dxa"/>
            <w:tcBorders>
              <w:top w:val="nil"/>
              <w:left w:val="nil"/>
              <w:bottom w:val="single" w:sz="4" w:space="0" w:color="auto"/>
              <w:right w:val="single" w:sz="4" w:space="0" w:color="auto"/>
            </w:tcBorders>
            <w:shd w:val="clear" w:color="auto" w:fill="auto"/>
            <w:noWrap/>
            <w:vAlign w:val="bottom"/>
            <w:hideMark/>
          </w:tcPr>
          <w:p w14:paraId="5ABD0DE1"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13" w:type="dxa"/>
            <w:gridSpan w:val="2"/>
            <w:tcBorders>
              <w:top w:val="nil"/>
              <w:left w:val="nil"/>
              <w:bottom w:val="single" w:sz="4" w:space="0" w:color="auto"/>
              <w:right w:val="single" w:sz="4" w:space="0" w:color="auto"/>
            </w:tcBorders>
            <w:shd w:val="clear" w:color="auto" w:fill="auto"/>
            <w:noWrap/>
            <w:vAlign w:val="bottom"/>
            <w:hideMark/>
          </w:tcPr>
          <w:p w14:paraId="21CA6973" w14:textId="54B272B2"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bl>
    <w:p w14:paraId="0FB8C680" w14:textId="77777777" w:rsidR="00FD35AB" w:rsidRPr="002F2BE4" w:rsidRDefault="00FD35AB" w:rsidP="00A722E5">
      <w:pPr>
        <w:ind w:right="108"/>
        <w:jc w:val="both"/>
        <w:rPr>
          <w:rFonts w:ascii="Arial" w:eastAsia="Arial" w:hAnsi="Arial" w:cs="Arial"/>
          <w:color w:val="000000"/>
          <w:sz w:val="20"/>
          <w:lang w:val="cs-CZ"/>
        </w:rPr>
      </w:pPr>
    </w:p>
    <w:p w14:paraId="3EA3E82E" w14:textId="692EDE4C"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03.4.74 Investice do institucionální kapacity a efektivnosti veřejné správy a veřejných služeb na celostátní, regionální a místní úrovni za účelem reforem, zlepšová</w:t>
      </w:r>
      <w:r w:rsidR="0071181C">
        <w:rPr>
          <w:rFonts w:ascii="Arial" w:eastAsia="Arial" w:hAnsi="Arial" w:cs="Arial"/>
          <w:color w:val="000000"/>
          <w:sz w:val="20"/>
          <w:lang w:val="cs-CZ"/>
        </w:rPr>
        <w:t>ní právní úpravy a řádné správy</w:t>
      </w:r>
    </w:p>
    <w:tbl>
      <w:tblPr>
        <w:tblW w:w="15706" w:type="dxa"/>
        <w:tblInd w:w="75" w:type="dxa"/>
        <w:tblCellMar>
          <w:left w:w="70" w:type="dxa"/>
          <w:right w:w="70" w:type="dxa"/>
        </w:tblCellMar>
        <w:tblLook w:val="04A0" w:firstRow="1" w:lastRow="0" w:firstColumn="1" w:lastColumn="0" w:noHBand="0" w:noVBand="1"/>
      </w:tblPr>
      <w:tblGrid>
        <w:gridCol w:w="531"/>
        <w:gridCol w:w="2393"/>
        <w:gridCol w:w="491"/>
        <w:gridCol w:w="1164"/>
        <w:gridCol w:w="797"/>
        <w:gridCol w:w="943"/>
        <w:gridCol w:w="708"/>
        <w:gridCol w:w="804"/>
        <w:gridCol w:w="804"/>
        <w:gridCol w:w="804"/>
        <w:gridCol w:w="804"/>
        <w:gridCol w:w="804"/>
        <w:gridCol w:w="804"/>
        <w:gridCol w:w="804"/>
        <w:gridCol w:w="804"/>
        <w:gridCol w:w="804"/>
        <w:gridCol w:w="804"/>
        <w:gridCol w:w="12"/>
        <w:gridCol w:w="627"/>
      </w:tblGrid>
      <w:tr w:rsidR="0070459D" w:rsidRPr="0070459D" w14:paraId="56D5B949" w14:textId="77777777" w:rsidTr="00A722E5">
        <w:trPr>
          <w:trHeight w:val="20"/>
          <w:tblHeader/>
        </w:trPr>
        <w:tc>
          <w:tcPr>
            <w:tcW w:w="5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F3857D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ID</w:t>
            </w:r>
          </w:p>
        </w:tc>
        <w:tc>
          <w:tcPr>
            <w:tcW w:w="24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F8FBC1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Indikátor</w:t>
            </w:r>
          </w:p>
        </w:tc>
        <w:tc>
          <w:tcPr>
            <w:tcW w:w="4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305D8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ESF / YEI</w:t>
            </w:r>
          </w:p>
        </w:tc>
        <w:tc>
          <w:tcPr>
            <w:tcW w:w="11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81F33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Kategorie regionu (je-li relevantní)</w:t>
            </w:r>
          </w:p>
        </w:tc>
        <w:tc>
          <w:tcPr>
            <w:tcW w:w="7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5B7A2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Měrná jednotka</w:t>
            </w:r>
          </w:p>
        </w:tc>
        <w:tc>
          <w:tcPr>
            <w:tcW w:w="94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97AA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Jednotka měření pro výchozí hodnotu a cíl</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7939F7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Cílová hodnota (2023)</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4558FAD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2014</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019C9BF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2015</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70184EF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2016</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6F9A135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2017</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04E53CF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2018</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695F838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2019</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1046933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2020</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7E895F8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2021</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77233FC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2022</w:t>
            </w:r>
          </w:p>
        </w:tc>
        <w:tc>
          <w:tcPr>
            <w:tcW w:w="804" w:type="dxa"/>
            <w:tcBorders>
              <w:top w:val="single" w:sz="4" w:space="0" w:color="auto"/>
              <w:left w:val="nil"/>
              <w:bottom w:val="single" w:sz="4" w:space="0" w:color="auto"/>
              <w:right w:val="single" w:sz="4" w:space="0" w:color="auto"/>
            </w:tcBorders>
            <w:shd w:val="clear" w:color="000000" w:fill="FFFFFF"/>
            <w:vAlign w:val="center"/>
            <w:hideMark/>
          </w:tcPr>
          <w:p w14:paraId="1E5348F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2023</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229C5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Míra splnění</w:t>
            </w:r>
          </w:p>
        </w:tc>
      </w:tr>
      <w:tr w:rsidR="0070459D" w:rsidRPr="0070459D" w14:paraId="58C2B71D" w14:textId="77777777" w:rsidTr="00A722E5">
        <w:trPr>
          <w:trHeight w:val="20"/>
          <w:tblHeader/>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6031F82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780A4A82" w14:textId="77777777" w:rsidR="0070459D" w:rsidRPr="0070459D" w:rsidRDefault="0070459D" w:rsidP="0070459D">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3DD9429B"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14:paraId="52DD0501" w14:textId="77777777" w:rsidR="0070459D" w:rsidRPr="0070459D" w:rsidRDefault="0070459D" w:rsidP="0070459D">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0415E942" w14:textId="77777777" w:rsidR="0070459D" w:rsidRPr="0070459D" w:rsidRDefault="0070459D" w:rsidP="0070459D">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57A2400C"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67FF99C" w14:textId="77777777" w:rsidR="0070459D" w:rsidRPr="0070459D" w:rsidRDefault="0070459D" w:rsidP="0070459D">
            <w:pPr>
              <w:rPr>
                <w:rFonts w:ascii="Arial" w:eastAsia="Times New Roman" w:hAnsi="Arial" w:cs="Arial"/>
                <w:b/>
                <w:bCs/>
                <w:color w:val="000000"/>
                <w:sz w:val="14"/>
                <w:szCs w:val="14"/>
                <w:lang w:val="cs-CZ" w:eastAsia="cs-CZ"/>
              </w:rPr>
            </w:pPr>
          </w:p>
        </w:tc>
        <w:tc>
          <w:tcPr>
            <w:tcW w:w="8047" w:type="dxa"/>
            <w:gridSpan w:val="11"/>
            <w:tcBorders>
              <w:top w:val="single" w:sz="4" w:space="0" w:color="auto"/>
              <w:left w:val="nil"/>
              <w:bottom w:val="single" w:sz="4" w:space="0" w:color="auto"/>
              <w:right w:val="single" w:sz="4" w:space="0" w:color="auto"/>
            </w:tcBorders>
            <w:shd w:val="clear" w:color="000000" w:fill="FFFFFF"/>
            <w:vAlign w:val="center"/>
            <w:hideMark/>
          </w:tcPr>
          <w:p w14:paraId="769782B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Roční hodnota</w:t>
            </w:r>
          </w:p>
        </w:tc>
        <w:tc>
          <w:tcPr>
            <w:tcW w:w="612" w:type="dxa"/>
            <w:vMerge/>
            <w:tcBorders>
              <w:top w:val="single" w:sz="4" w:space="0" w:color="auto"/>
              <w:left w:val="single" w:sz="4" w:space="0" w:color="auto"/>
              <w:bottom w:val="single" w:sz="4" w:space="0" w:color="auto"/>
              <w:right w:val="single" w:sz="4" w:space="0" w:color="auto"/>
            </w:tcBorders>
            <w:vAlign w:val="center"/>
            <w:hideMark/>
          </w:tcPr>
          <w:p w14:paraId="2D7E139A"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3FB7F618" w14:textId="77777777" w:rsidTr="00A722E5">
        <w:trPr>
          <w:trHeight w:val="20"/>
          <w:tblHeader/>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40F7A7E8"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77F136FC" w14:textId="77777777" w:rsidR="0070459D" w:rsidRPr="0070459D" w:rsidRDefault="0070459D" w:rsidP="0070459D">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7BD75B3A"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14:paraId="0FD3BFAD" w14:textId="77777777" w:rsidR="0070459D" w:rsidRPr="0070459D" w:rsidRDefault="0070459D" w:rsidP="0070459D">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496D1036" w14:textId="77777777" w:rsidR="0070459D" w:rsidRPr="0070459D" w:rsidRDefault="0070459D" w:rsidP="0070459D">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7813C294"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91C953D" w14:textId="77777777" w:rsidR="0070459D" w:rsidRPr="0070459D" w:rsidRDefault="0070459D" w:rsidP="0070459D">
            <w:pPr>
              <w:rPr>
                <w:rFonts w:ascii="Arial" w:eastAsia="Times New Roman" w:hAnsi="Arial" w:cs="Arial"/>
                <w:b/>
                <w:bCs/>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4896072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3E9DFDC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4E1E5AA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7D88361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6D91165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72138BD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72E83E1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52A234B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33CC69C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4401E9D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2" w:type="dxa"/>
            <w:gridSpan w:val="2"/>
            <w:vMerge/>
            <w:tcBorders>
              <w:top w:val="single" w:sz="4" w:space="0" w:color="auto"/>
              <w:left w:val="single" w:sz="4" w:space="0" w:color="auto"/>
              <w:bottom w:val="single" w:sz="4" w:space="0" w:color="auto"/>
              <w:right w:val="single" w:sz="4" w:space="0" w:color="auto"/>
            </w:tcBorders>
            <w:vAlign w:val="center"/>
            <w:hideMark/>
          </w:tcPr>
          <w:p w14:paraId="18744641"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182F5ECB" w14:textId="77777777" w:rsidTr="00A722E5">
        <w:trPr>
          <w:trHeight w:val="20"/>
          <w:tblHeader/>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0F68BF54"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4080AD5E" w14:textId="77777777" w:rsidR="0070459D" w:rsidRPr="0070459D" w:rsidRDefault="0070459D" w:rsidP="0070459D">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2387BD4D"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14:paraId="2975F7C2" w14:textId="77777777" w:rsidR="0070459D" w:rsidRPr="0070459D" w:rsidRDefault="0070459D" w:rsidP="0070459D">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2DAE9D94" w14:textId="77777777" w:rsidR="0070459D" w:rsidRPr="0070459D" w:rsidRDefault="0070459D" w:rsidP="0070459D">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1EDFF0EA"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29F2B0" w14:textId="77777777" w:rsidR="0070459D" w:rsidRPr="0070459D" w:rsidRDefault="0070459D" w:rsidP="0070459D">
            <w:pPr>
              <w:rPr>
                <w:rFonts w:ascii="Arial" w:eastAsia="Times New Roman" w:hAnsi="Arial" w:cs="Arial"/>
                <w:b/>
                <w:bCs/>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34500DD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7E2F20D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710C5D2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025E9B1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0270162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210D848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1EA1CA5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3FDB35C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57AA0D0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31C265D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2" w:type="dxa"/>
            <w:gridSpan w:val="2"/>
            <w:vMerge/>
            <w:tcBorders>
              <w:top w:val="single" w:sz="4" w:space="0" w:color="auto"/>
              <w:left w:val="single" w:sz="4" w:space="0" w:color="auto"/>
              <w:bottom w:val="single" w:sz="4" w:space="0" w:color="auto"/>
              <w:right w:val="single" w:sz="4" w:space="0" w:color="auto"/>
            </w:tcBorders>
            <w:vAlign w:val="center"/>
            <w:hideMark/>
          </w:tcPr>
          <w:p w14:paraId="09C9A799"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390A3848" w14:textId="77777777" w:rsidTr="00A722E5">
        <w:trPr>
          <w:trHeight w:val="20"/>
          <w:tblHeader/>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6C544CCA"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7912C050" w14:textId="77777777" w:rsidR="0070459D" w:rsidRPr="0070459D" w:rsidRDefault="0070459D" w:rsidP="0070459D">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5F68C2A8"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14:paraId="5100A223" w14:textId="77777777" w:rsidR="0070459D" w:rsidRPr="0070459D" w:rsidRDefault="0070459D" w:rsidP="0070459D">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20590344" w14:textId="77777777" w:rsidR="0070459D" w:rsidRPr="0070459D" w:rsidRDefault="0070459D" w:rsidP="0070459D">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11DF066C"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40611FC" w14:textId="77777777" w:rsidR="0070459D" w:rsidRPr="0070459D" w:rsidRDefault="0070459D" w:rsidP="0070459D">
            <w:pPr>
              <w:rPr>
                <w:rFonts w:ascii="Arial" w:eastAsia="Times New Roman" w:hAnsi="Arial" w:cs="Arial"/>
                <w:b/>
                <w:bCs/>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67ECC59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016511E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1D6D129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7C6F7A8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5BBD926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12A688E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19DF000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1B11CF6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154EBD1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08B831C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2" w:type="dxa"/>
            <w:gridSpan w:val="2"/>
            <w:vMerge/>
            <w:tcBorders>
              <w:top w:val="single" w:sz="4" w:space="0" w:color="auto"/>
              <w:left w:val="single" w:sz="4" w:space="0" w:color="auto"/>
              <w:bottom w:val="single" w:sz="4" w:space="0" w:color="auto"/>
              <w:right w:val="single" w:sz="4" w:space="0" w:color="auto"/>
            </w:tcBorders>
            <w:vAlign w:val="center"/>
            <w:hideMark/>
          </w:tcPr>
          <w:p w14:paraId="1D5AA21F"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000B3BD1" w14:textId="77777777" w:rsidTr="00A722E5">
        <w:trPr>
          <w:trHeight w:val="20"/>
          <w:tblHeader/>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581E04C3"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12A9882E" w14:textId="77777777" w:rsidR="0070459D" w:rsidRPr="0070459D" w:rsidRDefault="0070459D" w:rsidP="0070459D">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0CDA104D"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14:paraId="24B0074E" w14:textId="77777777" w:rsidR="0070459D" w:rsidRPr="0070459D" w:rsidRDefault="0070459D" w:rsidP="0070459D">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1015110F" w14:textId="77777777" w:rsidR="0070459D" w:rsidRPr="0070459D" w:rsidRDefault="0070459D" w:rsidP="0070459D">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133C1823"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376A639" w14:textId="77777777" w:rsidR="0070459D" w:rsidRPr="0070459D" w:rsidRDefault="0070459D" w:rsidP="0070459D">
            <w:pPr>
              <w:rPr>
                <w:rFonts w:ascii="Arial" w:eastAsia="Times New Roman" w:hAnsi="Arial" w:cs="Arial"/>
                <w:b/>
                <w:bCs/>
                <w:color w:val="000000"/>
                <w:sz w:val="14"/>
                <w:szCs w:val="14"/>
                <w:lang w:val="cs-CZ" w:eastAsia="cs-CZ"/>
              </w:rPr>
            </w:pPr>
          </w:p>
        </w:tc>
        <w:tc>
          <w:tcPr>
            <w:tcW w:w="8047" w:type="dxa"/>
            <w:gridSpan w:val="11"/>
            <w:tcBorders>
              <w:top w:val="single" w:sz="4" w:space="0" w:color="auto"/>
              <w:left w:val="nil"/>
              <w:bottom w:val="single" w:sz="4" w:space="0" w:color="auto"/>
              <w:right w:val="single" w:sz="4" w:space="0" w:color="auto"/>
            </w:tcBorders>
            <w:shd w:val="clear" w:color="000000" w:fill="FFFFFF"/>
            <w:vAlign w:val="center"/>
            <w:hideMark/>
          </w:tcPr>
          <w:p w14:paraId="79D3925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Kumulativní hodnota</w:t>
            </w:r>
          </w:p>
        </w:tc>
        <w:tc>
          <w:tcPr>
            <w:tcW w:w="612" w:type="dxa"/>
            <w:vMerge/>
            <w:tcBorders>
              <w:top w:val="single" w:sz="4" w:space="0" w:color="auto"/>
              <w:left w:val="single" w:sz="4" w:space="0" w:color="auto"/>
              <w:bottom w:val="single" w:sz="4" w:space="0" w:color="auto"/>
              <w:right w:val="single" w:sz="4" w:space="0" w:color="auto"/>
            </w:tcBorders>
            <w:vAlign w:val="center"/>
            <w:hideMark/>
          </w:tcPr>
          <w:p w14:paraId="44A16E24"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79AC049D" w14:textId="77777777" w:rsidTr="00A722E5">
        <w:trPr>
          <w:trHeight w:val="20"/>
          <w:tblHeader/>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4A026125"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5855A654" w14:textId="77777777" w:rsidR="0070459D" w:rsidRPr="0070459D" w:rsidRDefault="0070459D" w:rsidP="0070459D">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68DABC7B"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14:paraId="2A7D9DF7" w14:textId="77777777" w:rsidR="0070459D" w:rsidRPr="0070459D" w:rsidRDefault="0070459D" w:rsidP="0070459D">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3021DA0F" w14:textId="77777777" w:rsidR="0070459D" w:rsidRPr="0070459D" w:rsidRDefault="0070459D" w:rsidP="0070459D">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1DB73650"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tcBorders>
              <w:top w:val="nil"/>
              <w:left w:val="nil"/>
              <w:bottom w:val="single" w:sz="4" w:space="0" w:color="auto"/>
              <w:right w:val="single" w:sz="4" w:space="0" w:color="auto"/>
            </w:tcBorders>
            <w:shd w:val="clear" w:color="000000" w:fill="E7E6E6"/>
            <w:vAlign w:val="center"/>
            <w:hideMark/>
          </w:tcPr>
          <w:p w14:paraId="18AB4BC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7E867A9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0819CB4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6097FCC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41C9D2B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76A5573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40100E0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42F6369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7A9862B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430F107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4" w:type="dxa"/>
            <w:tcBorders>
              <w:top w:val="nil"/>
              <w:left w:val="nil"/>
              <w:bottom w:val="single" w:sz="4" w:space="0" w:color="auto"/>
              <w:right w:val="single" w:sz="4" w:space="0" w:color="auto"/>
            </w:tcBorders>
            <w:shd w:val="clear" w:color="000000" w:fill="E7E6E6"/>
            <w:vAlign w:val="center"/>
            <w:hideMark/>
          </w:tcPr>
          <w:p w14:paraId="33F7A24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12" w:type="dxa"/>
            <w:gridSpan w:val="2"/>
            <w:tcBorders>
              <w:top w:val="nil"/>
              <w:left w:val="nil"/>
              <w:bottom w:val="single" w:sz="4" w:space="0" w:color="auto"/>
              <w:right w:val="single" w:sz="4" w:space="0" w:color="auto"/>
            </w:tcBorders>
            <w:shd w:val="clear" w:color="000000" w:fill="E7E6E6"/>
            <w:vAlign w:val="center"/>
            <w:hideMark/>
          </w:tcPr>
          <w:p w14:paraId="3E19AA6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r>
      <w:tr w:rsidR="0070459D" w:rsidRPr="0070459D" w14:paraId="25652C0A" w14:textId="77777777" w:rsidTr="00A722E5">
        <w:trPr>
          <w:trHeight w:val="20"/>
          <w:tblHeader/>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573A0640"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680EB1F8" w14:textId="77777777" w:rsidR="0070459D" w:rsidRPr="0070459D" w:rsidRDefault="0070459D" w:rsidP="0070459D">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16CE6671"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14:paraId="073CAD62" w14:textId="77777777" w:rsidR="0070459D" w:rsidRPr="0070459D" w:rsidRDefault="0070459D" w:rsidP="0070459D">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3DD44226" w14:textId="77777777" w:rsidR="0070459D" w:rsidRPr="0070459D" w:rsidRDefault="0070459D" w:rsidP="0070459D">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12FA7277"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tcBorders>
              <w:top w:val="nil"/>
              <w:left w:val="nil"/>
              <w:bottom w:val="single" w:sz="4" w:space="0" w:color="auto"/>
              <w:right w:val="single" w:sz="4" w:space="0" w:color="auto"/>
            </w:tcBorders>
            <w:shd w:val="clear" w:color="000000" w:fill="FFFFFF"/>
            <w:vAlign w:val="center"/>
            <w:hideMark/>
          </w:tcPr>
          <w:p w14:paraId="2D05FDB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59E3686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04298BE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48E96EF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3E51F2B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68D8FDD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678E22A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52D33CF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0CD6148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0BDEB8F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4" w:type="dxa"/>
            <w:tcBorders>
              <w:top w:val="nil"/>
              <w:left w:val="nil"/>
              <w:bottom w:val="single" w:sz="4" w:space="0" w:color="auto"/>
              <w:right w:val="single" w:sz="4" w:space="0" w:color="auto"/>
            </w:tcBorders>
            <w:shd w:val="clear" w:color="000000" w:fill="FFFFFF"/>
            <w:vAlign w:val="center"/>
            <w:hideMark/>
          </w:tcPr>
          <w:p w14:paraId="7A69C1F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12" w:type="dxa"/>
            <w:gridSpan w:val="2"/>
            <w:tcBorders>
              <w:top w:val="nil"/>
              <w:left w:val="nil"/>
              <w:bottom w:val="single" w:sz="4" w:space="0" w:color="auto"/>
              <w:right w:val="single" w:sz="4" w:space="0" w:color="auto"/>
            </w:tcBorders>
            <w:shd w:val="clear" w:color="000000" w:fill="FFFFFF"/>
            <w:vAlign w:val="center"/>
            <w:hideMark/>
          </w:tcPr>
          <w:p w14:paraId="4643782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r>
      <w:tr w:rsidR="0070459D" w:rsidRPr="0070459D" w14:paraId="44E9453D" w14:textId="77777777" w:rsidTr="00A722E5">
        <w:trPr>
          <w:trHeight w:val="20"/>
          <w:tblHeader/>
        </w:trPr>
        <w:tc>
          <w:tcPr>
            <w:tcW w:w="507" w:type="dxa"/>
            <w:vMerge/>
            <w:tcBorders>
              <w:top w:val="single" w:sz="4" w:space="0" w:color="auto"/>
              <w:left w:val="single" w:sz="4" w:space="0" w:color="auto"/>
              <w:bottom w:val="single" w:sz="4" w:space="0" w:color="auto"/>
              <w:right w:val="single" w:sz="4" w:space="0" w:color="auto"/>
            </w:tcBorders>
            <w:vAlign w:val="center"/>
            <w:hideMark/>
          </w:tcPr>
          <w:p w14:paraId="35573421" w14:textId="77777777" w:rsidR="0070459D" w:rsidRPr="0070459D" w:rsidRDefault="0070459D" w:rsidP="0070459D">
            <w:pPr>
              <w:rPr>
                <w:rFonts w:ascii="Arial" w:eastAsia="Times New Roman" w:hAnsi="Arial" w:cs="Arial"/>
                <w:b/>
                <w:bCs/>
                <w:color w:val="000000"/>
                <w:sz w:val="14"/>
                <w:szCs w:val="14"/>
                <w:lang w:val="cs-CZ" w:eastAsia="cs-CZ"/>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6D77AE2D" w14:textId="77777777" w:rsidR="0070459D" w:rsidRPr="0070459D" w:rsidRDefault="0070459D" w:rsidP="0070459D">
            <w:pPr>
              <w:rPr>
                <w:rFonts w:ascii="Arial" w:eastAsia="Times New Roman" w:hAnsi="Arial" w:cs="Arial"/>
                <w:b/>
                <w:bCs/>
                <w:color w:val="000000"/>
                <w:sz w:val="14"/>
                <w:szCs w:val="14"/>
                <w:lang w:val="cs-CZ" w:eastAsia="cs-CZ"/>
              </w:rPr>
            </w:pPr>
          </w:p>
        </w:tc>
        <w:tc>
          <w:tcPr>
            <w:tcW w:w="493" w:type="dxa"/>
            <w:vMerge/>
            <w:tcBorders>
              <w:top w:val="single" w:sz="4" w:space="0" w:color="auto"/>
              <w:left w:val="single" w:sz="4" w:space="0" w:color="auto"/>
              <w:bottom w:val="single" w:sz="4" w:space="0" w:color="auto"/>
              <w:right w:val="single" w:sz="4" w:space="0" w:color="auto"/>
            </w:tcBorders>
            <w:vAlign w:val="center"/>
            <w:hideMark/>
          </w:tcPr>
          <w:p w14:paraId="2361EC89"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14:paraId="7EBC04BB" w14:textId="77777777" w:rsidR="0070459D" w:rsidRPr="0070459D" w:rsidRDefault="0070459D" w:rsidP="0070459D">
            <w:pPr>
              <w:rPr>
                <w:rFonts w:ascii="Arial" w:eastAsia="Times New Roman" w:hAnsi="Arial" w:cs="Arial"/>
                <w:b/>
                <w:bCs/>
                <w:color w:val="000000"/>
                <w:sz w:val="14"/>
                <w:szCs w:val="14"/>
                <w:lang w:val="cs-CZ" w:eastAsia="cs-CZ"/>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0E0E6649" w14:textId="77777777" w:rsidR="0070459D" w:rsidRPr="0070459D" w:rsidRDefault="0070459D" w:rsidP="0070459D">
            <w:pPr>
              <w:rPr>
                <w:rFonts w:ascii="Arial" w:eastAsia="Times New Roman" w:hAnsi="Arial" w:cs="Arial"/>
                <w:b/>
                <w:bCs/>
                <w:color w:val="000000"/>
                <w:sz w:val="14"/>
                <w:szCs w:val="14"/>
                <w:lang w:val="cs-CZ" w:eastAsia="cs-CZ"/>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14:paraId="5976A4CF" w14:textId="77777777" w:rsidR="0070459D" w:rsidRPr="0070459D" w:rsidRDefault="0070459D" w:rsidP="0070459D">
            <w:pPr>
              <w:rPr>
                <w:rFonts w:ascii="Arial" w:eastAsia="Times New Roman" w:hAnsi="Arial" w:cs="Arial"/>
                <w:b/>
                <w:bCs/>
                <w:color w:val="000000"/>
                <w:sz w:val="14"/>
                <w:szCs w:val="14"/>
                <w:lang w:val="cs-CZ" w:eastAsia="cs-CZ"/>
              </w:rPr>
            </w:pPr>
          </w:p>
        </w:tc>
        <w:tc>
          <w:tcPr>
            <w:tcW w:w="708" w:type="dxa"/>
            <w:tcBorders>
              <w:top w:val="nil"/>
              <w:left w:val="nil"/>
              <w:bottom w:val="single" w:sz="4" w:space="0" w:color="auto"/>
              <w:right w:val="single" w:sz="4" w:space="0" w:color="auto"/>
            </w:tcBorders>
            <w:shd w:val="clear" w:color="000000" w:fill="FFFFFF"/>
            <w:vAlign w:val="center"/>
            <w:hideMark/>
          </w:tcPr>
          <w:p w14:paraId="379D6C1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2D47C45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3543C9E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04A527F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4EFA028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68407EF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0D5395D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5AA8E16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1BDB128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3E62285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4" w:type="dxa"/>
            <w:tcBorders>
              <w:top w:val="nil"/>
              <w:left w:val="nil"/>
              <w:bottom w:val="single" w:sz="4" w:space="0" w:color="auto"/>
              <w:right w:val="single" w:sz="4" w:space="0" w:color="auto"/>
            </w:tcBorders>
            <w:shd w:val="clear" w:color="000000" w:fill="FFFFFF"/>
            <w:vAlign w:val="center"/>
            <w:hideMark/>
          </w:tcPr>
          <w:p w14:paraId="56B2A25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12" w:type="dxa"/>
            <w:gridSpan w:val="2"/>
            <w:tcBorders>
              <w:top w:val="nil"/>
              <w:left w:val="nil"/>
              <w:bottom w:val="single" w:sz="4" w:space="0" w:color="auto"/>
              <w:right w:val="single" w:sz="4" w:space="0" w:color="auto"/>
            </w:tcBorders>
            <w:shd w:val="clear" w:color="000000" w:fill="FFFFFF"/>
            <w:vAlign w:val="center"/>
            <w:hideMark/>
          </w:tcPr>
          <w:p w14:paraId="1E0BC74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r>
      <w:tr w:rsidR="0070459D" w:rsidRPr="0070459D" w14:paraId="11B414DA"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12097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018E3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podporou ESF úspěšně zavedly opatření</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BAB7F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30579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9D637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FDD91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617E5A2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491,000</w:t>
            </w:r>
          </w:p>
        </w:tc>
        <w:tc>
          <w:tcPr>
            <w:tcW w:w="804" w:type="dxa"/>
            <w:tcBorders>
              <w:top w:val="nil"/>
              <w:left w:val="nil"/>
              <w:bottom w:val="single" w:sz="4" w:space="0" w:color="auto"/>
              <w:right w:val="single" w:sz="4" w:space="0" w:color="auto"/>
            </w:tcBorders>
            <w:shd w:val="clear" w:color="000000" w:fill="E7E6E6"/>
            <w:vAlign w:val="center"/>
            <w:hideMark/>
          </w:tcPr>
          <w:p w14:paraId="4754EAA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FB9C3E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49D75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7B4372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7B4E0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1179E6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121,650</w:t>
            </w:r>
          </w:p>
        </w:tc>
        <w:tc>
          <w:tcPr>
            <w:tcW w:w="804" w:type="dxa"/>
            <w:tcBorders>
              <w:top w:val="nil"/>
              <w:left w:val="nil"/>
              <w:bottom w:val="single" w:sz="4" w:space="0" w:color="auto"/>
              <w:right w:val="single" w:sz="4" w:space="0" w:color="auto"/>
            </w:tcBorders>
            <w:shd w:val="clear" w:color="000000" w:fill="E7E6E6"/>
            <w:vAlign w:val="center"/>
            <w:hideMark/>
          </w:tcPr>
          <w:p w14:paraId="322572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61A177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A83DC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FBC71C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7B65F6A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24,776</w:t>
            </w:r>
          </w:p>
        </w:tc>
      </w:tr>
      <w:tr w:rsidR="0070459D" w:rsidRPr="0070459D" w14:paraId="29108C98"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44909AE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A927F9A"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1363D4A"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78DA33F2"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6607B29D"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05C19DC"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7858EB2E"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064330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AB71A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D8471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CF935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F88873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3B821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9F465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FF123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0E396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61F72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1F8AC0BB"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918E10D"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AEE61B5"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26274954"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4C34D6A2"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221AEAC2"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DACC926"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68ADAB3E"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698F4DDA"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39AA86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DF102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1FD10C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47A804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A9835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C3658F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BFF70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18E42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98871E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286263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6F743B6E"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00B86A9"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2A7E8478"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2ACB3C7"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4679BE5F"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7891DA0"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242582A"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763D49AD"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28406CF5"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4AA0B7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2A371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341B9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B87C1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21428C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A6CF3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121,650</w:t>
            </w:r>
          </w:p>
        </w:tc>
        <w:tc>
          <w:tcPr>
            <w:tcW w:w="804" w:type="dxa"/>
            <w:tcBorders>
              <w:top w:val="nil"/>
              <w:left w:val="nil"/>
              <w:bottom w:val="single" w:sz="4" w:space="0" w:color="auto"/>
              <w:right w:val="single" w:sz="4" w:space="0" w:color="auto"/>
            </w:tcBorders>
            <w:shd w:val="clear" w:color="000000" w:fill="E7E6E6"/>
            <w:vAlign w:val="center"/>
            <w:hideMark/>
          </w:tcPr>
          <w:p w14:paraId="30D65C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2AB519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09752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84491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098435AB"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AE985BA"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4539DB4F"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79F3E57"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32764E0"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6955B3F9"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17E6460E"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781A3E74"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21DAF1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7665A6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CA6EA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A86A1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9E423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04077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42511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D0B46E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4AD0F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E33937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BAD21E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1BFAADC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06D9740B"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6BBC39F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2F097DD8"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A2DA6B5"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64611C0F"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C7E4F07"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14AAA8BF"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72185B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B8520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D3904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F642C1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0FC54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B3C22F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D1608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148DF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3ABF7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742B1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4A0911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1EE9B5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D5BF71D"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458FE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68010</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AE7CD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podporou ESF úspěšně zavedly opatření</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F726F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9F48D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BA624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58450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15C3F0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51,000</w:t>
            </w:r>
          </w:p>
        </w:tc>
        <w:tc>
          <w:tcPr>
            <w:tcW w:w="804" w:type="dxa"/>
            <w:tcBorders>
              <w:top w:val="nil"/>
              <w:left w:val="nil"/>
              <w:bottom w:val="single" w:sz="4" w:space="0" w:color="auto"/>
              <w:right w:val="single" w:sz="4" w:space="0" w:color="auto"/>
            </w:tcBorders>
            <w:shd w:val="clear" w:color="000000" w:fill="E7E6E6"/>
            <w:vAlign w:val="center"/>
            <w:hideMark/>
          </w:tcPr>
          <w:p w14:paraId="5AEBFA6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9F297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AB5EDB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06D23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60A04E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96A54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6,350</w:t>
            </w:r>
          </w:p>
        </w:tc>
        <w:tc>
          <w:tcPr>
            <w:tcW w:w="804" w:type="dxa"/>
            <w:tcBorders>
              <w:top w:val="nil"/>
              <w:left w:val="nil"/>
              <w:bottom w:val="single" w:sz="4" w:space="0" w:color="auto"/>
              <w:right w:val="single" w:sz="4" w:space="0" w:color="auto"/>
            </w:tcBorders>
            <w:shd w:val="clear" w:color="000000" w:fill="E7E6E6"/>
            <w:vAlign w:val="center"/>
            <w:hideMark/>
          </w:tcPr>
          <w:p w14:paraId="4F46079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C9ED26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3FA6E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395B7CE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05D452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12,451</w:t>
            </w:r>
          </w:p>
        </w:tc>
      </w:tr>
      <w:tr w:rsidR="0070459D" w:rsidRPr="0070459D" w14:paraId="3C193976"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0C23F73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ACEDC9B"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4CF1FCED"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7A80E909"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E78EF69"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08573C6"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5AB74A98"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44B596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56E45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2758D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2C4D8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4BF1F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31E92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6F081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3AD9C5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653219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E3CD7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1F2DD38B"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46F4F28"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2EBE4606"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4912C12"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0548AD9"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265F9EA5"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D55E46D"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3290430"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77927010"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47E212B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6F4EEE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D7D76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13F6A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8EB2FE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19A9E3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3B3AA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EAA3F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44A36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E10719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67E3ACF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2F24238"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5D3C79B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4152BB4"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B3A7F44"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3E313CAE"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1F1A520"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E585BCC"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0EC66A2C"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6CE3C1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8934D7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60F495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37E2F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AFAD7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419FD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6,350</w:t>
            </w:r>
          </w:p>
        </w:tc>
        <w:tc>
          <w:tcPr>
            <w:tcW w:w="804" w:type="dxa"/>
            <w:tcBorders>
              <w:top w:val="nil"/>
              <w:left w:val="nil"/>
              <w:bottom w:val="single" w:sz="4" w:space="0" w:color="auto"/>
              <w:right w:val="single" w:sz="4" w:space="0" w:color="auto"/>
            </w:tcBorders>
            <w:shd w:val="clear" w:color="000000" w:fill="E7E6E6"/>
            <w:vAlign w:val="center"/>
            <w:hideMark/>
          </w:tcPr>
          <w:p w14:paraId="2420B1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153A43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73491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36C576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5055B449"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505D639"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22E30ED3"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BBC7C22"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8F32023"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722494E3"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070AED2"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7DEF668F"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643E659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8CC88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995FD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A2A86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C7660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4686D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52E29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6EDAB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6DA95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AB7ED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D1E96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7974E8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2B11980B"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1BF811C4"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6CE4381"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200614B"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63A11AEA"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6926458"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9204C93"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57267D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AADE4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C25BA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E5DAE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B0E74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4AA719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9D46E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5A0B4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14766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B2A17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8E718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14B627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699F18D5"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02B5B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68011</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02E20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podporou ESF úspěšně zavedly opatření v oblasti řízení kvality</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5A64CF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E33D1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ABF01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625FCD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0A60B7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130,000</w:t>
            </w:r>
          </w:p>
        </w:tc>
        <w:tc>
          <w:tcPr>
            <w:tcW w:w="804" w:type="dxa"/>
            <w:tcBorders>
              <w:top w:val="nil"/>
              <w:left w:val="nil"/>
              <w:bottom w:val="single" w:sz="4" w:space="0" w:color="auto"/>
              <w:right w:val="single" w:sz="4" w:space="0" w:color="auto"/>
            </w:tcBorders>
            <w:shd w:val="clear" w:color="000000" w:fill="E7E6E6"/>
            <w:vAlign w:val="center"/>
            <w:hideMark/>
          </w:tcPr>
          <w:p w14:paraId="3B73CC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4661FD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CE1A2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7195A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2ABC2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2537A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12,000</w:t>
            </w:r>
          </w:p>
        </w:tc>
        <w:tc>
          <w:tcPr>
            <w:tcW w:w="804" w:type="dxa"/>
            <w:tcBorders>
              <w:top w:val="nil"/>
              <w:left w:val="nil"/>
              <w:bottom w:val="single" w:sz="4" w:space="0" w:color="auto"/>
              <w:right w:val="single" w:sz="4" w:space="0" w:color="auto"/>
            </w:tcBorders>
            <w:shd w:val="clear" w:color="000000" w:fill="E7E6E6"/>
            <w:vAlign w:val="center"/>
            <w:hideMark/>
          </w:tcPr>
          <w:p w14:paraId="07850F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16B2D0F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650782C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6C30C71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26536D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9,231</w:t>
            </w:r>
          </w:p>
        </w:tc>
      </w:tr>
      <w:tr w:rsidR="0070459D" w:rsidRPr="0070459D" w14:paraId="19E5772F"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1788965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DFB93B0"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75DC736"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13B061A0"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09DE607"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748E8F8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1C243689"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344CE4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4DAC4A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7B806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9D96F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594D8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A2F80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B6805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0B90F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68E9BA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7F72D9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009CC95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1D22B56"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131A18B9"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B333D98"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27CEE43F"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7171609"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5BB5263E"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F890398"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565BCDB6"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1AEFA3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669AE0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F4716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536BDA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016C6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4D288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BC16E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6BD70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C9D34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5EF20D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11CC9DE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41EB6BA1"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26D57795"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65953FC"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BF7E7FB"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08B3E35"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8DE4FAC"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3A339D9"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67EF14CB"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59FD9D3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1852F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D73B1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A5A30B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10C46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F01606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12,000</w:t>
            </w:r>
          </w:p>
        </w:tc>
        <w:tc>
          <w:tcPr>
            <w:tcW w:w="804" w:type="dxa"/>
            <w:tcBorders>
              <w:top w:val="nil"/>
              <w:left w:val="nil"/>
              <w:bottom w:val="single" w:sz="4" w:space="0" w:color="auto"/>
              <w:right w:val="single" w:sz="4" w:space="0" w:color="auto"/>
            </w:tcBorders>
            <w:shd w:val="clear" w:color="000000" w:fill="E7E6E6"/>
            <w:vAlign w:val="center"/>
            <w:hideMark/>
          </w:tcPr>
          <w:p w14:paraId="72DC106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F6D45A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1E1637F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556CE0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4CE9D70A"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445D0FD8"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F8CE6E3"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B8285C7"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953121D"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2EAAED0"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404137F5"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210C760A"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761934C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00A734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BF58BF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60751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1CAD2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CEC23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A1C40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8D0E6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1237D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99ACB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271FE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7A37A9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C68DD19"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4135AD4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3448402"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689220F"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5EC716A"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1AC7D2CA"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7EEE5CB5"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196776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14C2B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23F5F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44810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BADE5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94E1C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4A3DAD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D0EE1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EE1D7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90363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21FB4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654C551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79D04D4"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F6D31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68011</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0CC60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podporou ESF úspěšně zavedly opatření v oblasti řízení kvality</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1544D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4FDFD1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EE2215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424C40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7180560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13,000</w:t>
            </w:r>
          </w:p>
        </w:tc>
        <w:tc>
          <w:tcPr>
            <w:tcW w:w="804" w:type="dxa"/>
            <w:tcBorders>
              <w:top w:val="nil"/>
              <w:left w:val="nil"/>
              <w:bottom w:val="single" w:sz="4" w:space="0" w:color="auto"/>
              <w:right w:val="single" w:sz="4" w:space="0" w:color="auto"/>
            </w:tcBorders>
            <w:shd w:val="clear" w:color="000000" w:fill="E7E6E6"/>
            <w:vAlign w:val="center"/>
            <w:hideMark/>
          </w:tcPr>
          <w:p w14:paraId="637156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E051F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58D89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1D1D8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A65E52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21548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3,000</w:t>
            </w:r>
          </w:p>
        </w:tc>
        <w:tc>
          <w:tcPr>
            <w:tcW w:w="804" w:type="dxa"/>
            <w:tcBorders>
              <w:top w:val="nil"/>
              <w:left w:val="nil"/>
              <w:bottom w:val="single" w:sz="4" w:space="0" w:color="auto"/>
              <w:right w:val="single" w:sz="4" w:space="0" w:color="auto"/>
            </w:tcBorders>
            <w:shd w:val="clear" w:color="000000" w:fill="E7E6E6"/>
            <w:vAlign w:val="center"/>
            <w:hideMark/>
          </w:tcPr>
          <w:p w14:paraId="7586C66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E76E98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2E91D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40F73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5FC8060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23,077</w:t>
            </w:r>
          </w:p>
        </w:tc>
      </w:tr>
      <w:tr w:rsidR="0070459D" w:rsidRPr="0070459D" w14:paraId="613D0741"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DCF0643"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A3042F6"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78858C57"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3665CF8E"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AD84E6D"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745B59D"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2855385B"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685FB93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B529C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B5BE1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EF2794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72339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D5D65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30523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7396D9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12E28D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2E100D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7CEB12C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9766A6B"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D4C3F39"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1225C26"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4E36141E"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0BAE958C"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43ABDCBF"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334070C4"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4A32DFD3"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1CC18C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83AC4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1A2D7E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F4083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8F9A2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BE3675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DFF9A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1E1334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779487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2DCF77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220F211F"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E7A9D95"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0EDD61A4"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DF79117"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7D860840"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19F78AD8"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4896433B"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79E0234"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13C76194"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62F738B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146B4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08914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5F5DA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3C7EA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77EBE6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3,000</w:t>
            </w:r>
          </w:p>
        </w:tc>
        <w:tc>
          <w:tcPr>
            <w:tcW w:w="804" w:type="dxa"/>
            <w:tcBorders>
              <w:top w:val="nil"/>
              <w:left w:val="nil"/>
              <w:bottom w:val="single" w:sz="4" w:space="0" w:color="auto"/>
              <w:right w:val="single" w:sz="4" w:space="0" w:color="auto"/>
            </w:tcBorders>
            <w:shd w:val="clear" w:color="000000" w:fill="E7E6E6"/>
            <w:vAlign w:val="center"/>
            <w:hideMark/>
          </w:tcPr>
          <w:p w14:paraId="745A52D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8283C5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A9FF82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5FEBC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4897B153"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043F56B"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40FC549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2B4506D5"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223F026"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07C0A252"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41FE654"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6D3E36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19C6E9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EF088A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CB8826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D6EB72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B752D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94C777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5903D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98D16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4ABEB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26DC3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7DEF0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1EC6EB7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214C30BF"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5A2AE4C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A96CCFB"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46427F3E"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001840FF"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D823773"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7961530"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63B7B4D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9A0A2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28F63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1DBC8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7986D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DB6621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8DD1C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5A639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4FA39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E8C13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ED24BF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04B7FC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E1DD819"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F6DC9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68012</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3785D9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xml:space="preserve">Počet institucí, které s podporou ESF úspěšně zavedly opatření v </w:t>
            </w:r>
            <w:r w:rsidRPr="0070459D">
              <w:rPr>
                <w:rFonts w:ascii="Arial" w:eastAsia="Times New Roman" w:hAnsi="Arial" w:cs="Arial"/>
                <w:color w:val="000000"/>
                <w:sz w:val="14"/>
                <w:szCs w:val="14"/>
                <w:lang w:val="cs-CZ" w:eastAsia="cs-CZ"/>
              </w:rPr>
              <w:lastRenderedPageBreak/>
              <w:t>oblasti strategického a projektového řízení</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AB95E5"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lastRenderedPageBreak/>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A23E7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4357F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9348F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A62430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239,000</w:t>
            </w:r>
          </w:p>
        </w:tc>
        <w:tc>
          <w:tcPr>
            <w:tcW w:w="804" w:type="dxa"/>
            <w:tcBorders>
              <w:top w:val="nil"/>
              <w:left w:val="nil"/>
              <w:bottom w:val="single" w:sz="4" w:space="0" w:color="auto"/>
              <w:right w:val="single" w:sz="4" w:space="0" w:color="auto"/>
            </w:tcBorders>
            <w:shd w:val="clear" w:color="000000" w:fill="E7E6E6"/>
            <w:vAlign w:val="center"/>
            <w:hideMark/>
          </w:tcPr>
          <w:p w14:paraId="16B3537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894EA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3EF19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6A19E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15CDC0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0,960</w:t>
            </w:r>
          </w:p>
        </w:tc>
        <w:tc>
          <w:tcPr>
            <w:tcW w:w="804" w:type="dxa"/>
            <w:tcBorders>
              <w:top w:val="nil"/>
              <w:left w:val="nil"/>
              <w:bottom w:val="single" w:sz="4" w:space="0" w:color="auto"/>
              <w:right w:val="single" w:sz="4" w:space="0" w:color="auto"/>
            </w:tcBorders>
            <w:shd w:val="clear" w:color="000000" w:fill="E7E6E6"/>
            <w:vAlign w:val="center"/>
            <w:hideMark/>
          </w:tcPr>
          <w:p w14:paraId="6272A28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112,690</w:t>
            </w:r>
          </w:p>
        </w:tc>
        <w:tc>
          <w:tcPr>
            <w:tcW w:w="804" w:type="dxa"/>
            <w:tcBorders>
              <w:top w:val="nil"/>
              <w:left w:val="nil"/>
              <w:bottom w:val="single" w:sz="4" w:space="0" w:color="auto"/>
              <w:right w:val="single" w:sz="4" w:space="0" w:color="auto"/>
            </w:tcBorders>
            <w:shd w:val="clear" w:color="000000" w:fill="E7E6E6"/>
            <w:vAlign w:val="center"/>
            <w:hideMark/>
          </w:tcPr>
          <w:p w14:paraId="62D224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32BC35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95F07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D9CDF0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1625AB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47,552</w:t>
            </w:r>
          </w:p>
        </w:tc>
      </w:tr>
      <w:tr w:rsidR="0070459D" w:rsidRPr="0070459D" w14:paraId="23079510"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19F7FA4C"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949E676"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31B2732"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3BB52F9"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46B01F0"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183618C0"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6E6038F1"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7C75626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E4DA0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308A6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DEAC5D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2B3C52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59F6E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05ACA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61DE1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37233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F3604A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165DAEC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3FFE83A"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4EE4F3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560F678"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23DC5A8C"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578A7790"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619ACD2"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207E88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146F6C37"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11973B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1C5BB8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9B750B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8A0DBF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E2472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752CA3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E23E50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2157F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DD4C1E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61F7A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40987651"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436E3336"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B7CDB0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FEA7858"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117D728"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6AA5F7DD"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C22CD6C"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E2F96E7"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62BD00B2"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07D092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78820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C4955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474D3F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0F41A0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0,960</w:t>
            </w:r>
          </w:p>
        </w:tc>
        <w:tc>
          <w:tcPr>
            <w:tcW w:w="804" w:type="dxa"/>
            <w:tcBorders>
              <w:top w:val="nil"/>
              <w:left w:val="nil"/>
              <w:bottom w:val="single" w:sz="4" w:space="0" w:color="auto"/>
              <w:right w:val="single" w:sz="4" w:space="0" w:color="auto"/>
            </w:tcBorders>
            <w:shd w:val="clear" w:color="000000" w:fill="E7E6E6"/>
            <w:vAlign w:val="center"/>
            <w:hideMark/>
          </w:tcPr>
          <w:p w14:paraId="4F971E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113,650</w:t>
            </w:r>
          </w:p>
        </w:tc>
        <w:tc>
          <w:tcPr>
            <w:tcW w:w="804" w:type="dxa"/>
            <w:tcBorders>
              <w:top w:val="nil"/>
              <w:left w:val="nil"/>
              <w:bottom w:val="single" w:sz="4" w:space="0" w:color="auto"/>
              <w:right w:val="single" w:sz="4" w:space="0" w:color="auto"/>
            </w:tcBorders>
            <w:shd w:val="clear" w:color="000000" w:fill="E7E6E6"/>
            <w:vAlign w:val="center"/>
            <w:hideMark/>
          </w:tcPr>
          <w:p w14:paraId="737E3C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CF6621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231EF9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65002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768E12A5"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986E0AA"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5AF6E6A"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62BC381"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7F81464"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33302B7"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16FBFDC6"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C435FDB"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1FC146F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4CCA6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A14F5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10B961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48A2B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3A08AB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0F7A2D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73004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82B704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57E886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2442E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3CBFEA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707ED297"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3665B55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6E9E347"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5C1087E"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596F7A40"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24B1D719"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595987F"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670825B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E9CA9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B1375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47C3D5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D492E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B92A1C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35489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D3B81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EF0F8E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D89F1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FFE4EA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5A1B9DB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25B337EC"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61EBE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68012</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A30ED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podporou ESF úspěšně zavedly opatření v oblasti strategického a projektového řízení</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7D7B3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5EBD0E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2BA206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7A301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1F92C0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24,000</w:t>
            </w:r>
          </w:p>
        </w:tc>
        <w:tc>
          <w:tcPr>
            <w:tcW w:w="804" w:type="dxa"/>
            <w:tcBorders>
              <w:top w:val="nil"/>
              <w:left w:val="nil"/>
              <w:bottom w:val="single" w:sz="4" w:space="0" w:color="auto"/>
              <w:right w:val="single" w:sz="4" w:space="0" w:color="auto"/>
            </w:tcBorders>
            <w:shd w:val="clear" w:color="000000" w:fill="E7E6E6"/>
            <w:vAlign w:val="center"/>
            <w:hideMark/>
          </w:tcPr>
          <w:p w14:paraId="5BED65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D56E1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9214BB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D6287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80607E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0,040</w:t>
            </w:r>
          </w:p>
        </w:tc>
        <w:tc>
          <w:tcPr>
            <w:tcW w:w="804" w:type="dxa"/>
            <w:tcBorders>
              <w:top w:val="nil"/>
              <w:left w:val="nil"/>
              <w:bottom w:val="single" w:sz="4" w:space="0" w:color="auto"/>
              <w:right w:val="single" w:sz="4" w:space="0" w:color="auto"/>
            </w:tcBorders>
            <w:shd w:val="clear" w:color="000000" w:fill="E7E6E6"/>
            <w:vAlign w:val="center"/>
            <w:hideMark/>
          </w:tcPr>
          <w:p w14:paraId="4A6B3E6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6,310</w:t>
            </w:r>
          </w:p>
        </w:tc>
        <w:tc>
          <w:tcPr>
            <w:tcW w:w="804" w:type="dxa"/>
            <w:tcBorders>
              <w:top w:val="nil"/>
              <w:left w:val="nil"/>
              <w:bottom w:val="single" w:sz="4" w:space="0" w:color="auto"/>
              <w:right w:val="single" w:sz="4" w:space="0" w:color="auto"/>
            </w:tcBorders>
            <w:shd w:val="clear" w:color="000000" w:fill="E7E6E6"/>
            <w:vAlign w:val="center"/>
            <w:hideMark/>
          </w:tcPr>
          <w:p w14:paraId="0F46DD4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2CA4968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130BFA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634F2A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384E0F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26,458</w:t>
            </w:r>
          </w:p>
        </w:tc>
      </w:tr>
      <w:tr w:rsidR="0070459D" w:rsidRPr="0070459D" w14:paraId="1E59F3D7"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6775125A"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14DFAB0"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7796EC4E"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73F45947"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011FD32"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D2B1924"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097059D7"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3633537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A15C5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03B7F4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58FD9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A9BFC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D2C07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D238DB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800AD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D034F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3019D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2FF9D480"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8F408F5"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BEC419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19C35F0"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50CDFF25"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09C208CF"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3D8A2EC"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8EF1AA3"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67DDD66C"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4477ED1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7CE54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17998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0D6CDC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BA102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AE1B72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03C776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ABDD6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FED1A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62CD45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10DC27EA"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B739749"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5088DBF"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432C40F"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A984E0B"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0FF6A044"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36F00E3"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481B012"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0E4C97CE"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2B6877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1C0360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5E51BB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164C9F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2A3FE8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0,040</w:t>
            </w:r>
          </w:p>
        </w:tc>
        <w:tc>
          <w:tcPr>
            <w:tcW w:w="804" w:type="dxa"/>
            <w:tcBorders>
              <w:top w:val="nil"/>
              <w:left w:val="nil"/>
              <w:bottom w:val="single" w:sz="4" w:space="0" w:color="auto"/>
              <w:right w:val="single" w:sz="4" w:space="0" w:color="auto"/>
            </w:tcBorders>
            <w:shd w:val="clear" w:color="000000" w:fill="E7E6E6"/>
            <w:vAlign w:val="center"/>
            <w:hideMark/>
          </w:tcPr>
          <w:p w14:paraId="1869B6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6,350</w:t>
            </w:r>
          </w:p>
        </w:tc>
        <w:tc>
          <w:tcPr>
            <w:tcW w:w="804" w:type="dxa"/>
            <w:tcBorders>
              <w:top w:val="nil"/>
              <w:left w:val="nil"/>
              <w:bottom w:val="single" w:sz="4" w:space="0" w:color="auto"/>
              <w:right w:val="single" w:sz="4" w:space="0" w:color="auto"/>
            </w:tcBorders>
            <w:shd w:val="clear" w:color="000000" w:fill="E7E6E6"/>
            <w:vAlign w:val="center"/>
            <w:hideMark/>
          </w:tcPr>
          <w:p w14:paraId="2A818A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6A33F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FC067E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135FF2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62D689D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1041F37"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C7FA79A"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84DC837"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6B06B6D3"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7BA0BC7A"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606B9006"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19813230"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0C6F26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F256F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A4450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9C406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028A30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203CF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72A77A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33CB3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AC22F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69C69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98EAB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31637E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71CAB8B5"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262E6948"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D89C300"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90ABAA9"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7BA788D5"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6539505B"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62CCB25C"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61E364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B95CCC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CDE51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7E884F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E41FB3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44FD7C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616DDB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64494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FF5E60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787812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47275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560DFD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6ECDB4F4"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1CDB3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68013</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311756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podporu ESF úspěšně zavedly opatření v oblasti procesního modelování agend</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D2271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C32976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E7933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07EA1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0AD56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12,000</w:t>
            </w:r>
          </w:p>
        </w:tc>
        <w:tc>
          <w:tcPr>
            <w:tcW w:w="804" w:type="dxa"/>
            <w:tcBorders>
              <w:top w:val="nil"/>
              <w:left w:val="nil"/>
              <w:bottom w:val="single" w:sz="4" w:space="0" w:color="auto"/>
              <w:right w:val="single" w:sz="4" w:space="0" w:color="auto"/>
            </w:tcBorders>
            <w:shd w:val="clear" w:color="000000" w:fill="E7E6E6"/>
            <w:vAlign w:val="center"/>
            <w:hideMark/>
          </w:tcPr>
          <w:p w14:paraId="24E67D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95D681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F6E0E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C30D7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8C5E7F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B5FAC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06A24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5319BA0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1D0185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5E757C0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5C2411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16FDAA42"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64A3EFE5"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0371CC1"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5D56D58E"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674B8054"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5686F347"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122FBFB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4CD9950F"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52383D4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293F56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1397E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5BAB72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71151D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E7EB7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E5CDF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BFCD07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CD6A4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17B17B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1A49A9A4"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B70E554"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1C7969DD"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8DF0C7D"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FEF0302"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2F533746"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267C4036"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07B831E9"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405F6666"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26E83E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6A27C1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27FCE6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C1F3B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5446D9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D2D64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176F9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C59BDA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9CDB8D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439C0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6690C8B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C730D3B"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151AA0FC"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99E9261"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3625ADF"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3F44E95D"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51B97225"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25CDBB8"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4F65F95C"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161C1E4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FC189A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ECB27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2C01D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F2A5F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7AE87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D92E3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2726A17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100E32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BA77B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3346568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86AFACD"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54CF5824"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1753066"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77CE924B"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ACF2DE6"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920A4B4"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45B403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7BBA777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B86A8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7EE1E1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506039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2C5B0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50BFC8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7E3ED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E13CB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880A0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9AB3E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98F65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2D2B7D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7D74F37"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3B2478B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136FFA3"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5F9C1D1"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98D5235"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4D97940B"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B174D33"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57F98A3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B3982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845E8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CE6F38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31995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7865B8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872173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BF19CA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F12AB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A558C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F055A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7B7AFA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84B5304"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A06B4F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68013</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5851B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podporu ESF úspěšně zavedly opatření v oblasti procesního modelování agend</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440DA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6CDC67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44BA6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AFA0BD"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4EB649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1,000</w:t>
            </w:r>
          </w:p>
        </w:tc>
        <w:tc>
          <w:tcPr>
            <w:tcW w:w="804" w:type="dxa"/>
            <w:tcBorders>
              <w:top w:val="nil"/>
              <w:left w:val="nil"/>
              <w:bottom w:val="single" w:sz="4" w:space="0" w:color="auto"/>
              <w:right w:val="single" w:sz="4" w:space="0" w:color="auto"/>
            </w:tcBorders>
            <w:shd w:val="clear" w:color="000000" w:fill="E7E6E6"/>
            <w:vAlign w:val="center"/>
            <w:hideMark/>
          </w:tcPr>
          <w:p w14:paraId="4234611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E7D658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BACD26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0104B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C2698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4FC0CEA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2C4E9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73473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239DA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090756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00F529A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2E23659B"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5CBCA382"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BD99C79"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7654BD86"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2BF7A947"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5725DC56"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6282BD63"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4CA85941"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7174E7B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CEAD7F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86BC8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A079CF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11D6F0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139E5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525ED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B0A13A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CA18C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C8F04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25A460D4"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F29E25D"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1EFDB4D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60E70AC"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7305398B"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2A7D7924"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2A9D266F"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69D82752"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24695B11"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78D772B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C57D0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FD88E7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1DECE5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B9EA8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0AAD9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56E98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EDA2C6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2E5EB4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97F81F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6BA9E101"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D178CEE"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34DE057E"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485886B"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51CF3BF3"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163BB345"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B591751"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73E02935"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7999CB97"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1C244B1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76115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27F1A2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11A850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16D84D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18D90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EEBBC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34BDD9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24548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66F8F41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77B9C71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C02D90B"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B865CB3"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6C9F41DA"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4AE27BB"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1836FB31"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104F3A81"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A842714"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4ADBF74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3AAC79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9B7F9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1F5D5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F10697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3AA98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2AF0EE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0DC157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62FD2F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3BC2C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4F7EF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06AFA96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6EB2E172"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344D41CE"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12E24844"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DFB16AC"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74A18046"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2C2FBAE"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3D3E44F6"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18E869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731E4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00E687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3CA17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B0703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7176C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8B40DA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E7C2B2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C8FC06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1D4C5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A9930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61E023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3BD72545"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7FB9A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68014</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029449"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podporu ESF úspěšně zavedly opatření v oblasti moderního řízení lidských zdrojů</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FF931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BA48F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Méně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8D4E4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01800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1399F5F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123,000</w:t>
            </w:r>
          </w:p>
        </w:tc>
        <w:tc>
          <w:tcPr>
            <w:tcW w:w="804" w:type="dxa"/>
            <w:tcBorders>
              <w:top w:val="nil"/>
              <w:left w:val="nil"/>
              <w:bottom w:val="single" w:sz="4" w:space="0" w:color="auto"/>
              <w:right w:val="single" w:sz="4" w:space="0" w:color="auto"/>
            </w:tcBorders>
            <w:shd w:val="clear" w:color="000000" w:fill="E7E6E6"/>
            <w:vAlign w:val="center"/>
            <w:hideMark/>
          </w:tcPr>
          <w:p w14:paraId="147D17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1DFAD0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A17100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21CE39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F88767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135CF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12,000</w:t>
            </w:r>
          </w:p>
        </w:tc>
        <w:tc>
          <w:tcPr>
            <w:tcW w:w="804" w:type="dxa"/>
            <w:tcBorders>
              <w:top w:val="nil"/>
              <w:left w:val="nil"/>
              <w:bottom w:val="single" w:sz="4" w:space="0" w:color="auto"/>
              <w:right w:val="single" w:sz="4" w:space="0" w:color="auto"/>
            </w:tcBorders>
            <w:shd w:val="clear" w:color="000000" w:fill="E7E6E6"/>
            <w:vAlign w:val="center"/>
            <w:hideMark/>
          </w:tcPr>
          <w:p w14:paraId="78700A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7D439C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25DA4B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4287C71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6DED18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9,756</w:t>
            </w:r>
          </w:p>
        </w:tc>
      </w:tr>
      <w:tr w:rsidR="0070459D" w:rsidRPr="0070459D" w14:paraId="7D405CAF"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47BD8BE0"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DABF8F9"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597B582D"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6BF28984"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52927E9E"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910625E"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649A8A5C"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17BADFF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72DBEF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10426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747F62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EBBAEA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1273C9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94D430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41238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A18986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C9AD7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3B5D16C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0F02994"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293097D7"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483DED18"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0ABD9155"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257D14AA"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4A8E8CBB"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59B9CD0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47FA8EDB"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72474C2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442A51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BC4C4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6AE0F8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E96B6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6D26B1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163E3F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02D6FE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A2B678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E2EB7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51464C7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3D769635"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6877DD04"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966E2E1"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5B1AB850"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2B1DC874"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09FD97E"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7F6777F5"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3F71F341"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118DEB3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C8483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2C22B5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E06765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8F69C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7D084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12,000</w:t>
            </w:r>
          </w:p>
        </w:tc>
        <w:tc>
          <w:tcPr>
            <w:tcW w:w="804" w:type="dxa"/>
            <w:tcBorders>
              <w:top w:val="nil"/>
              <w:left w:val="nil"/>
              <w:bottom w:val="single" w:sz="4" w:space="0" w:color="auto"/>
              <w:right w:val="single" w:sz="4" w:space="0" w:color="auto"/>
            </w:tcBorders>
            <w:shd w:val="clear" w:color="000000" w:fill="E7E6E6"/>
            <w:vAlign w:val="center"/>
            <w:hideMark/>
          </w:tcPr>
          <w:p w14:paraId="657A7B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26E877B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3F46753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D0B738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0B5B025E"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993543F"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096D42BA"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FA59A62"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4F208003"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2CDBC7D6"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068E20EE"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1592092E"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1E76DE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514129E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BF1AF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1EE60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10B802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1406B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F76649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4BFCA9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700DE5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75DE7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288223D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23A4EFE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496C4176"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413AFA1"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2459CEA"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33A1865D"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56AC70F4"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3076324F"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174C93B"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vAlign w:val="center"/>
            <w:hideMark/>
          </w:tcPr>
          <w:p w14:paraId="3858AFA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D5878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612F17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FC5E92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068D3F6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73C51C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BD1A7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51349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300A583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17E5E4C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auto" w:fill="auto"/>
            <w:vAlign w:val="center"/>
            <w:hideMark/>
          </w:tcPr>
          <w:p w14:paraId="6986A11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tcBorders>
              <w:top w:val="nil"/>
              <w:left w:val="nil"/>
              <w:bottom w:val="single" w:sz="4" w:space="0" w:color="auto"/>
              <w:right w:val="single" w:sz="4" w:space="0" w:color="auto"/>
            </w:tcBorders>
            <w:shd w:val="clear" w:color="auto" w:fill="auto"/>
            <w:vAlign w:val="center"/>
            <w:hideMark/>
          </w:tcPr>
          <w:p w14:paraId="6CDF311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4AB7A450" w14:textId="77777777" w:rsidTr="00A722E5">
        <w:trPr>
          <w:trHeight w:val="20"/>
        </w:trPr>
        <w:tc>
          <w:tcPr>
            <w:tcW w:w="5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18258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68014</w:t>
            </w:r>
          </w:p>
        </w:tc>
        <w:tc>
          <w:tcPr>
            <w:tcW w:w="242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65A2B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Počet institucí, které s podporu ESF úspěšně zavedly opatření v oblasti moderního řízení lidských zdrojů</w:t>
            </w:r>
          </w:p>
        </w:tc>
        <w:tc>
          <w:tcPr>
            <w:tcW w:w="49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1EF53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AB1BFB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Více rozvinuté regiony</w:t>
            </w:r>
          </w:p>
        </w:tc>
        <w:tc>
          <w:tcPr>
            <w:tcW w:w="79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153BE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instituce</w:t>
            </w:r>
          </w:p>
        </w:tc>
        <w:tc>
          <w:tcPr>
            <w:tcW w:w="9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A70394"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08"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3740FA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12,000</w:t>
            </w:r>
          </w:p>
        </w:tc>
        <w:tc>
          <w:tcPr>
            <w:tcW w:w="804" w:type="dxa"/>
            <w:tcBorders>
              <w:top w:val="nil"/>
              <w:left w:val="nil"/>
              <w:bottom w:val="single" w:sz="4" w:space="0" w:color="auto"/>
              <w:right w:val="single" w:sz="4" w:space="0" w:color="auto"/>
            </w:tcBorders>
            <w:shd w:val="clear" w:color="000000" w:fill="E7E6E6"/>
            <w:vAlign w:val="center"/>
            <w:hideMark/>
          </w:tcPr>
          <w:p w14:paraId="52CDD0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CCC669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888FA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9F6A24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5BC5C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643EA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6686E96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60B56F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2B94EBC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B26597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5941C1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2EBA38D1"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02276729"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CAD380E"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5C4C58B6"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77F436F9"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6EEDEE22"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38D57BF9"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7101CF67"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6D7E9B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D1AAC2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34A3F2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264F0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5727B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3EBAA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430A92D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07AFCB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E264F1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EB526F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26A54E51"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9138FB6"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39227707"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7A3D1DDB"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5AF645B"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04A9AC09"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7C3998DA"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8A9DD4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3799DC68"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FFFFFF"/>
            <w:vAlign w:val="center"/>
            <w:hideMark/>
          </w:tcPr>
          <w:p w14:paraId="24A95A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00D15D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610C52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0D5CB7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14EBD37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361BAB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5E84E91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BEE54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7124ABA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FFFFFF"/>
            <w:vAlign w:val="center"/>
            <w:hideMark/>
          </w:tcPr>
          <w:p w14:paraId="26D9B01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0844F910"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2E3270D"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5E7D1C19"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00ABC2E7"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5860C6E6"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13BB3B21"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10D80A34"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4B0C1C9F"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vMerge/>
            <w:tcBorders>
              <w:top w:val="nil"/>
              <w:left w:val="single" w:sz="4" w:space="0" w:color="auto"/>
              <w:bottom w:val="single" w:sz="4" w:space="0" w:color="000000"/>
              <w:right w:val="single" w:sz="4" w:space="0" w:color="auto"/>
            </w:tcBorders>
            <w:vAlign w:val="center"/>
            <w:hideMark/>
          </w:tcPr>
          <w:p w14:paraId="2AB2CE4A" w14:textId="77777777" w:rsidR="0070459D" w:rsidRPr="0070459D" w:rsidRDefault="0070459D" w:rsidP="0070459D">
            <w:pPr>
              <w:rPr>
                <w:rFonts w:ascii="Arial" w:eastAsia="Times New Roman" w:hAnsi="Arial" w:cs="Arial"/>
                <w:color w:val="000000"/>
                <w:sz w:val="14"/>
                <w:szCs w:val="14"/>
                <w:lang w:val="cs-CZ" w:eastAsia="cs-CZ"/>
              </w:rPr>
            </w:pPr>
          </w:p>
        </w:tc>
        <w:tc>
          <w:tcPr>
            <w:tcW w:w="804" w:type="dxa"/>
            <w:tcBorders>
              <w:top w:val="nil"/>
              <w:left w:val="nil"/>
              <w:bottom w:val="single" w:sz="4" w:space="0" w:color="auto"/>
              <w:right w:val="single" w:sz="4" w:space="0" w:color="auto"/>
            </w:tcBorders>
            <w:shd w:val="clear" w:color="000000" w:fill="E7E6E6"/>
            <w:vAlign w:val="center"/>
            <w:hideMark/>
          </w:tcPr>
          <w:p w14:paraId="28A0AE2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745A3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5967CF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7945E2B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091709B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53DC110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4" w:type="dxa"/>
            <w:tcBorders>
              <w:top w:val="nil"/>
              <w:left w:val="nil"/>
              <w:bottom w:val="single" w:sz="4" w:space="0" w:color="auto"/>
              <w:right w:val="single" w:sz="4" w:space="0" w:color="auto"/>
            </w:tcBorders>
            <w:shd w:val="clear" w:color="000000" w:fill="E7E6E6"/>
            <w:vAlign w:val="center"/>
            <w:hideMark/>
          </w:tcPr>
          <w:p w14:paraId="3C866D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0C246CB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6C6AB94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4" w:type="dxa"/>
            <w:tcBorders>
              <w:top w:val="nil"/>
              <w:left w:val="nil"/>
              <w:bottom w:val="single" w:sz="4" w:space="0" w:color="auto"/>
              <w:right w:val="single" w:sz="4" w:space="0" w:color="auto"/>
            </w:tcBorders>
            <w:shd w:val="clear" w:color="000000" w:fill="E7E6E6"/>
            <w:vAlign w:val="center"/>
            <w:hideMark/>
          </w:tcPr>
          <w:p w14:paraId="555310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12" w:type="dxa"/>
            <w:gridSpan w:val="2"/>
            <w:vMerge/>
            <w:tcBorders>
              <w:top w:val="nil"/>
              <w:left w:val="single" w:sz="4" w:space="0" w:color="auto"/>
              <w:bottom w:val="single" w:sz="4" w:space="0" w:color="000000"/>
              <w:right w:val="single" w:sz="4" w:space="0" w:color="auto"/>
            </w:tcBorders>
            <w:vAlign w:val="center"/>
            <w:hideMark/>
          </w:tcPr>
          <w:p w14:paraId="6EAAA0AE"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1E23E004"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7F5DF0AA"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51E6ACE2"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19832F26"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58B47E80"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1F65C919"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1EE07A55"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noWrap/>
            <w:vAlign w:val="bottom"/>
            <w:hideMark/>
          </w:tcPr>
          <w:p w14:paraId="24C1D5D7"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3B354D1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06DBE0E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3C4F941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53F153EE"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6C2DAAEC"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2F031B4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253AD3F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5CE20AF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66CB589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221318F6"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12" w:type="dxa"/>
            <w:gridSpan w:val="2"/>
            <w:tcBorders>
              <w:top w:val="nil"/>
              <w:left w:val="nil"/>
              <w:bottom w:val="single" w:sz="4" w:space="0" w:color="auto"/>
              <w:right w:val="single" w:sz="4" w:space="0" w:color="auto"/>
            </w:tcBorders>
            <w:shd w:val="clear" w:color="auto" w:fill="auto"/>
            <w:noWrap/>
            <w:vAlign w:val="bottom"/>
            <w:hideMark/>
          </w:tcPr>
          <w:p w14:paraId="51B1695C"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r w:rsidR="0070459D" w:rsidRPr="0070459D" w14:paraId="1BB8E216" w14:textId="77777777" w:rsidTr="00A722E5">
        <w:trPr>
          <w:trHeight w:val="20"/>
        </w:trPr>
        <w:tc>
          <w:tcPr>
            <w:tcW w:w="507" w:type="dxa"/>
            <w:vMerge/>
            <w:tcBorders>
              <w:top w:val="nil"/>
              <w:left w:val="single" w:sz="4" w:space="0" w:color="auto"/>
              <w:bottom w:val="single" w:sz="4" w:space="0" w:color="000000"/>
              <w:right w:val="single" w:sz="4" w:space="0" w:color="auto"/>
            </w:tcBorders>
            <w:vAlign w:val="center"/>
            <w:hideMark/>
          </w:tcPr>
          <w:p w14:paraId="6155BB04" w14:textId="77777777" w:rsidR="0070459D" w:rsidRPr="0070459D" w:rsidRDefault="0070459D" w:rsidP="0070459D">
            <w:pPr>
              <w:rPr>
                <w:rFonts w:ascii="Arial" w:eastAsia="Times New Roman" w:hAnsi="Arial" w:cs="Arial"/>
                <w:color w:val="000000"/>
                <w:sz w:val="14"/>
                <w:szCs w:val="14"/>
                <w:lang w:val="cs-CZ" w:eastAsia="cs-CZ"/>
              </w:rPr>
            </w:pPr>
          </w:p>
        </w:tc>
        <w:tc>
          <w:tcPr>
            <w:tcW w:w="2422" w:type="dxa"/>
            <w:vMerge/>
            <w:tcBorders>
              <w:top w:val="nil"/>
              <w:left w:val="single" w:sz="4" w:space="0" w:color="auto"/>
              <w:bottom w:val="single" w:sz="4" w:space="0" w:color="000000"/>
              <w:right w:val="single" w:sz="4" w:space="0" w:color="auto"/>
            </w:tcBorders>
            <w:vAlign w:val="center"/>
            <w:hideMark/>
          </w:tcPr>
          <w:p w14:paraId="30F45FD2" w14:textId="77777777" w:rsidR="0070459D" w:rsidRPr="0070459D" w:rsidRDefault="0070459D" w:rsidP="0070459D">
            <w:pPr>
              <w:rPr>
                <w:rFonts w:ascii="Arial" w:eastAsia="Times New Roman" w:hAnsi="Arial" w:cs="Arial"/>
                <w:color w:val="000000"/>
                <w:sz w:val="14"/>
                <w:szCs w:val="14"/>
                <w:lang w:val="cs-CZ" w:eastAsia="cs-CZ"/>
              </w:rPr>
            </w:pPr>
          </w:p>
        </w:tc>
        <w:tc>
          <w:tcPr>
            <w:tcW w:w="493" w:type="dxa"/>
            <w:vMerge/>
            <w:tcBorders>
              <w:top w:val="nil"/>
              <w:left w:val="single" w:sz="4" w:space="0" w:color="auto"/>
              <w:bottom w:val="single" w:sz="4" w:space="0" w:color="000000"/>
              <w:right w:val="single" w:sz="4" w:space="0" w:color="auto"/>
            </w:tcBorders>
            <w:vAlign w:val="center"/>
            <w:hideMark/>
          </w:tcPr>
          <w:p w14:paraId="2A0CCD30" w14:textId="77777777" w:rsidR="0070459D" w:rsidRPr="0070459D" w:rsidRDefault="0070459D" w:rsidP="0070459D">
            <w:pPr>
              <w:rPr>
                <w:rFonts w:ascii="Arial" w:eastAsia="Times New Roman" w:hAnsi="Arial" w:cs="Arial"/>
                <w:color w:val="000000"/>
                <w:sz w:val="14"/>
                <w:szCs w:val="14"/>
                <w:lang w:val="cs-CZ" w:eastAsia="cs-CZ"/>
              </w:rPr>
            </w:pPr>
          </w:p>
        </w:tc>
        <w:tc>
          <w:tcPr>
            <w:tcW w:w="1171" w:type="dxa"/>
            <w:vMerge/>
            <w:tcBorders>
              <w:top w:val="nil"/>
              <w:left w:val="single" w:sz="4" w:space="0" w:color="auto"/>
              <w:bottom w:val="single" w:sz="4" w:space="0" w:color="000000"/>
              <w:right w:val="single" w:sz="4" w:space="0" w:color="auto"/>
            </w:tcBorders>
            <w:vAlign w:val="center"/>
            <w:hideMark/>
          </w:tcPr>
          <w:p w14:paraId="4828725E" w14:textId="77777777" w:rsidR="0070459D" w:rsidRPr="0070459D" w:rsidRDefault="0070459D" w:rsidP="0070459D">
            <w:pPr>
              <w:rPr>
                <w:rFonts w:ascii="Arial" w:eastAsia="Times New Roman" w:hAnsi="Arial" w:cs="Arial"/>
                <w:color w:val="000000"/>
                <w:sz w:val="14"/>
                <w:szCs w:val="14"/>
                <w:lang w:val="cs-CZ" w:eastAsia="cs-CZ"/>
              </w:rPr>
            </w:pPr>
          </w:p>
        </w:tc>
        <w:tc>
          <w:tcPr>
            <w:tcW w:w="799" w:type="dxa"/>
            <w:vMerge/>
            <w:tcBorders>
              <w:top w:val="nil"/>
              <w:left w:val="single" w:sz="4" w:space="0" w:color="auto"/>
              <w:bottom w:val="single" w:sz="4" w:space="0" w:color="000000"/>
              <w:right w:val="single" w:sz="4" w:space="0" w:color="auto"/>
            </w:tcBorders>
            <w:vAlign w:val="center"/>
            <w:hideMark/>
          </w:tcPr>
          <w:p w14:paraId="52B8685F" w14:textId="77777777" w:rsidR="0070459D" w:rsidRPr="0070459D" w:rsidRDefault="0070459D" w:rsidP="0070459D">
            <w:pPr>
              <w:rPr>
                <w:rFonts w:ascii="Arial" w:eastAsia="Times New Roman" w:hAnsi="Arial" w:cs="Arial"/>
                <w:color w:val="000000"/>
                <w:sz w:val="14"/>
                <w:szCs w:val="14"/>
                <w:lang w:val="cs-CZ" w:eastAsia="cs-CZ"/>
              </w:rPr>
            </w:pPr>
          </w:p>
        </w:tc>
        <w:tc>
          <w:tcPr>
            <w:tcW w:w="947" w:type="dxa"/>
            <w:vMerge/>
            <w:tcBorders>
              <w:top w:val="nil"/>
              <w:left w:val="single" w:sz="4" w:space="0" w:color="auto"/>
              <w:bottom w:val="single" w:sz="4" w:space="0" w:color="000000"/>
              <w:right w:val="single" w:sz="4" w:space="0" w:color="auto"/>
            </w:tcBorders>
            <w:vAlign w:val="center"/>
            <w:hideMark/>
          </w:tcPr>
          <w:p w14:paraId="0788F7C1" w14:textId="77777777" w:rsidR="0070459D" w:rsidRPr="0070459D" w:rsidRDefault="0070459D" w:rsidP="0070459D">
            <w:pPr>
              <w:rPr>
                <w:rFonts w:ascii="Arial" w:eastAsia="Times New Roman" w:hAnsi="Arial" w:cs="Arial"/>
                <w:color w:val="000000"/>
                <w:sz w:val="14"/>
                <w:szCs w:val="14"/>
                <w:lang w:val="cs-CZ" w:eastAsia="cs-CZ"/>
              </w:rPr>
            </w:pPr>
          </w:p>
        </w:tc>
        <w:tc>
          <w:tcPr>
            <w:tcW w:w="708" w:type="dxa"/>
            <w:tcBorders>
              <w:top w:val="nil"/>
              <w:left w:val="nil"/>
              <w:bottom w:val="single" w:sz="4" w:space="0" w:color="auto"/>
              <w:right w:val="single" w:sz="4" w:space="0" w:color="auto"/>
            </w:tcBorders>
            <w:shd w:val="clear" w:color="auto" w:fill="auto"/>
            <w:noWrap/>
            <w:vAlign w:val="bottom"/>
            <w:hideMark/>
          </w:tcPr>
          <w:p w14:paraId="2C956887"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7AD7CC7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43CC181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07C53E5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34F55F7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445CBD4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34D67DED"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23A9AFDC"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3FCC5EB1"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1E5988FD"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4" w:type="dxa"/>
            <w:tcBorders>
              <w:top w:val="nil"/>
              <w:left w:val="nil"/>
              <w:bottom w:val="single" w:sz="4" w:space="0" w:color="auto"/>
              <w:right w:val="single" w:sz="4" w:space="0" w:color="auto"/>
            </w:tcBorders>
            <w:shd w:val="clear" w:color="auto" w:fill="auto"/>
            <w:noWrap/>
            <w:vAlign w:val="bottom"/>
            <w:hideMark/>
          </w:tcPr>
          <w:p w14:paraId="6BE91FD5"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12" w:type="dxa"/>
            <w:gridSpan w:val="2"/>
            <w:tcBorders>
              <w:top w:val="nil"/>
              <w:left w:val="nil"/>
              <w:bottom w:val="single" w:sz="4" w:space="0" w:color="auto"/>
              <w:right w:val="single" w:sz="4" w:space="0" w:color="auto"/>
            </w:tcBorders>
            <w:shd w:val="clear" w:color="auto" w:fill="auto"/>
            <w:noWrap/>
            <w:vAlign w:val="bottom"/>
            <w:hideMark/>
          </w:tcPr>
          <w:p w14:paraId="69772AFC" w14:textId="608C8F06"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bl>
    <w:p w14:paraId="120C36A0" w14:textId="6DACA300" w:rsidR="00A722E5" w:rsidRPr="002F2BE4" w:rsidRDefault="00A722E5" w:rsidP="00A722E5">
      <w:pPr>
        <w:ind w:right="108"/>
        <w:jc w:val="both"/>
        <w:rPr>
          <w:rFonts w:ascii="Arial" w:eastAsia="Arial" w:hAnsi="Arial" w:cs="Arial"/>
          <w:color w:val="000000"/>
          <w:sz w:val="20"/>
          <w:lang w:val="cs-CZ"/>
        </w:rPr>
      </w:pPr>
    </w:p>
    <w:p w14:paraId="7BA6D644" w14:textId="77777777" w:rsidR="00FD35AB" w:rsidRDefault="00FD35AB" w:rsidP="00FD35AB">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lastRenderedPageBreak/>
        <w:t>Investiční priorita: 03.5.125 Technická pomoc</w:t>
      </w:r>
    </w:p>
    <w:tbl>
      <w:tblPr>
        <w:tblW w:w="15783" w:type="dxa"/>
        <w:tblInd w:w="75" w:type="dxa"/>
        <w:tblCellMar>
          <w:left w:w="70" w:type="dxa"/>
          <w:right w:w="70" w:type="dxa"/>
        </w:tblCellMar>
        <w:tblLook w:val="04A0" w:firstRow="1" w:lastRow="0" w:firstColumn="1" w:lastColumn="0" w:noHBand="0" w:noVBand="1"/>
      </w:tblPr>
      <w:tblGrid>
        <w:gridCol w:w="531"/>
        <w:gridCol w:w="2404"/>
        <w:gridCol w:w="493"/>
        <w:gridCol w:w="1169"/>
        <w:gridCol w:w="800"/>
        <w:gridCol w:w="947"/>
        <w:gridCol w:w="712"/>
        <w:gridCol w:w="808"/>
        <w:gridCol w:w="808"/>
        <w:gridCol w:w="808"/>
        <w:gridCol w:w="808"/>
        <w:gridCol w:w="808"/>
        <w:gridCol w:w="808"/>
        <w:gridCol w:w="808"/>
        <w:gridCol w:w="808"/>
        <w:gridCol w:w="808"/>
        <w:gridCol w:w="808"/>
        <w:gridCol w:w="11"/>
        <w:gridCol w:w="636"/>
      </w:tblGrid>
      <w:tr w:rsidR="0070459D" w:rsidRPr="0070459D" w14:paraId="63CD5951" w14:textId="77777777" w:rsidTr="00A722E5">
        <w:trPr>
          <w:trHeight w:val="20"/>
          <w:tblHeader/>
        </w:trPr>
        <w:tc>
          <w:tcPr>
            <w:tcW w:w="5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81ED9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ID</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78405E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Indikátor</w:t>
            </w:r>
          </w:p>
        </w:tc>
        <w:tc>
          <w:tcPr>
            <w:tcW w:w="49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E45A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ESF / YEI</w:t>
            </w:r>
          </w:p>
        </w:tc>
        <w:tc>
          <w:tcPr>
            <w:tcW w:w="11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95E54A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Kategorie regionu (je-li relevantní)</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E22E2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Měrná jednotka</w:t>
            </w:r>
          </w:p>
        </w:tc>
        <w:tc>
          <w:tcPr>
            <w:tcW w:w="9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129EA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Jednotka měření pro výchozí hodnotu a cíl</w:t>
            </w:r>
          </w:p>
        </w:tc>
        <w:tc>
          <w:tcPr>
            <w:tcW w:w="7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75D8E4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Cílová hodnota (2023)</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0B287F0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2014</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2B9D263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2015</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46CF4E6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2016</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19FF205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2017</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6B8813B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2018</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5E699EE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2019</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1502307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2020</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100A9E6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2021</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026A8B7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2022</w:t>
            </w:r>
          </w:p>
        </w:tc>
        <w:tc>
          <w:tcPr>
            <w:tcW w:w="808" w:type="dxa"/>
            <w:tcBorders>
              <w:top w:val="single" w:sz="4" w:space="0" w:color="auto"/>
              <w:left w:val="nil"/>
              <w:bottom w:val="single" w:sz="4" w:space="0" w:color="auto"/>
              <w:right w:val="single" w:sz="4" w:space="0" w:color="auto"/>
            </w:tcBorders>
            <w:shd w:val="clear" w:color="000000" w:fill="FFFFFF"/>
            <w:vAlign w:val="center"/>
            <w:hideMark/>
          </w:tcPr>
          <w:p w14:paraId="4C76003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2023</w:t>
            </w:r>
          </w:p>
        </w:tc>
        <w:tc>
          <w:tcPr>
            <w:tcW w:w="62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5F42F7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Míra splnění</w:t>
            </w:r>
          </w:p>
        </w:tc>
      </w:tr>
      <w:tr w:rsidR="0070459D" w:rsidRPr="0070459D" w14:paraId="24D33BD7" w14:textId="77777777" w:rsidTr="00A722E5">
        <w:trPr>
          <w:trHeight w:val="2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57E87302"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0B90F3DD"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52E81A7C"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2D4CDF8A"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79287876" w14:textId="77777777" w:rsidR="0070459D" w:rsidRPr="0070459D" w:rsidRDefault="0070459D" w:rsidP="0070459D">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20A24413" w14:textId="77777777" w:rsidR="0070459D" w:rsidRPr="0070459D" w:rsidRDefault="0070459D" w:rsidP="0070459D">
            <w:pPr>
              <w:rPr>
                <w:rFonts w:ascii="Arial" w:eastAsia="Times New Roman" w:hAnsi="Arial" w:cs="Arial"/>
                <w:b/>
                <w:bCs/>
                <w:color w:val="000000"/>
                <w:sz w:val="14"/>
                <w:szCs w:val="14"/>
                <w:lang w:val="cs-CZ" w:eastAsia="cs-CZ"/>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0C1A5476" w14:textId="77777777" w:rsidR="0070459D" w:rsidRPr="0070459D" w:rsidRDefault="0070459D" w:rsidP="0070459D">
            <w:pPr>
              <w:rPr>
                <w:rFonts w:ascii="Arial" w:eastAsia="Times New Roman" w:hAnsi="Arial" w:cs="Arial"/>
                <w:b/>
                <w:bCs/>
                <w:color w:val="000000"/>
                <w:sz w:val="14"/>
                <w:szCs w:val="14"/>
                <w:lang w:val="cs-CZ" w:eastAsia="cs-CZ"/>
              </w:rPr>
            </w:pPr>
          </w:p>
        </w:tc>
        <w:tc>
          <w:tcPr>
            <w:tcW w:w="8086" w:type="dxa"/>
            <w:gridSpan w:val="11"/>
            <w:tcBorders>
              <w:top w:val="single" w:sz="4" w:space="0" w:color="auto"/>
              <w:left w:val="nil"/>
              <w:bottom w:val="single" w:sz="4" w:space="0" w:color="auto"/>
              <w:right w:val="single" w:sz="4" w:space="0" w:color="auto"/>
            </w:tcBorders>
            <w:shd w:val="clear" w:color="000000" w:fill="FFFFFF"/>
            <w:vAlign w:val="center"/>
            <w:hideMark/>
          </w:tcPr>
          <w:p w14:paraId="6926F84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Roční hodnota</w:t>
            </w:r>
          </w:p>
        </w:tc>
        <w:tc>
          <w:tcPr>
            <w:tcW w:w="622" w:type="dxa"/>
            <w:vMerge/>
            <w:tcBorders>
              <w:top w:val="single" w:sz="4" w:space="0" w:color="auto"/>
              <w:left w:val="single" w:sz="4" w:space="0" w:color="auto"/>
              <w:bottom w:val="single" w:sz="4" w:space="0" w:color="auto"/>
              <w:right w:val="single" w:sz="4" w:space="0" w:color="auto"/>
            </w:tcBorders>
            <w:vAlign w:val="center"/>
            <w:hideMark/>
          </w:tcPr>
          <w:p w14:paraId="170E90BC"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234D5771" w14:textId="77777777" w:rsidTr="00A722E5">
        <w:trPr>
          <w:trHeight w:val="2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56AB5BC7"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06ECD5BC"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46D04B1D"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3FDE6BC1"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52D8AB3F" w14:textId="77777777" w:rsidR="0070459D" w:rsidRPr="0070459D" w:rsidRDefault="0070459D" w:rsidP="0070459D">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5D2E6B73" w14:textId="77777777" w:rsidR="0070459D" w:rsidRPr="0070459D" w:rsidRDefault="0070459D" w:rsidP="0070459D">
            <w:pPr>
              <w:rPr>
                <w:rFonts w:ascii="Arial" w:eastAsia="Times New Roman" w:hAnsi="Arial" w:cs="Arial"/>
                <w:b/>
                <w:bCs/>
                <w:color w:val="000000"/>
                <w:sz w:val="14"/>
                <w:szCs w:val="14"/>
                <w:lang w:val="cs-CZ" w:eastAsia="cs-CZ"/>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58DCF344" w14:textId="77777777" w:rsidR="0070459D" w:rsidRPr="0070459D" w:rsidRDefault="0070459D" w:rsidP="0070459D">
            <w:pPr>
              <w:rPr>
                <w:rFonts w:ascii="Arial" w:eastAsia="Times New Roman" w:hAnsi="Arial" w:cs="Arial"/>
                <w:b/>
                <w:bCs/>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E7E6E6"/>
            <w:vAlign w:val="center"/>
            <w:hideMark/>
          </w:tcPr>
          <w:p w14:paraId="2F6D656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12D7D0E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7C75CF0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4E94710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2FC1BF0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36CAA8C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17B941A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391813A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6BB60CA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420F9A7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22" w:type="dxa"/>
            <w:gridSpan w:val="2"/>
            <w:vMerge/>
            <w:tcBorders>
              <w:top w:val="single" w:sz="4" w:space="0" w:color="auto"/>
              <w:left w:val="single" w:sz="4" w:space="0" w:color="auto"/>
              <w:bottom w:val="single" w:sz="4" w:space="0" w:color="auto"/>
              <w:right w:val="single" w:sz="4" w:space="0" w:color="auto"/>
            </w:tcBorders>
            <w:vAlign w:val="center"/>
            <w:hideMark/>
          </w:tcPr>
          <w:p w14:paraId="6BA490A1"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3E69A15D" w14:textId="77777777" w:rsidTr="00A722E5">
        <w:trPr>
          <w:trHeight w:val="2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692053B4"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18380F70"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39B4F682"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6E61A341"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32C0E023" w14:textId="77777777" w:rsidR="0070459D" w:rsidRPr="0070459D" w:rsidRDefault="0070459D" w:rsidP="0070459D">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2C636B5E" w14:textId="77777777" w:rsidR="0070459D" w:rsidRPr="0070459D" w:rsidRDefault="0070459D" w:rsidP="0070459D">
            <w:pPr>
              <w:rPr>
                <w:rFonts w:ascii="Arial" w:eastAsia="Times New Roman" w:hAnsi="Arial" w:cs="Arial"/>
                <w:b/>
                <w:bCs/>
                <w:color w:val="000000"/>
                <w:sz w:val="14"/>
                <w:szCs w:val="14"/>
                <w:lang w:val="cs-CZ" w:eastAsia="cs-CZ"/>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7D1AC804" w14:textId="77777777" w:rsidR="0070459D" w:rsidRPr="0070459D" w:rsidRDefault="0070459D" w:rsidP="0070459D">
            <w:pPr>
              <w:rPr>
                <w:rFonts w:ascii="Arial" w:eastAsia="Times New Roman" w:hAnsi="Arial" w:cs="Arial"/>
                <w:b/>
                <w:bCs/>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FFFFFF"/>
            <w:vAlign w:val="center"/>
            <w:hideMark/>
          </w:tcPr>
          <w:p w14:paraId="07783D9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2AE062C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7D39AB8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287742D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024B633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2129B7D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587E161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782315B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7504529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41E1275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22" w:type="dxa"/>
            <w:gridSpan w:val="2"/>
            <w:vMerge/>
            <w:tcBorders>
              <w:top w:val="single" w:sz="4" w:space="0" w:color="auto"/>
              <w:left w:val="single" w:sz="4" w:space="0" w:color="auto"/>
              <w:bottom w:val="single" w:sz="4" w:space="0" w:color="auto"/>
              <w:right w:val="single" w:sz="4" w:space="0" w:color="auto"/>
            </w:tcBorders>
            <w:vAlign w:val="center"/>
            <w:hideMark/>
          </w:tcPr>
          <w:p w14:paraId="75AE651B"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4B337EA2" w14:textId="77777777" w:rsidTr="00A722E5">
        <w:trPr>
          <w:trHeight w:val="2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75603DA1"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08294952"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32EE7DC5"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025BC423"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158036D4" w14:textId="77777777" w:rsidR="0070459D" w:rsidRPr="0070459D" w:rsidRDefault="0070459D" w:rsidP="0070459D">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72C41AC3" w14:textId="77777777" w:rsidR="0070459D" w:rsidRPr="0070459D" w:rsidRDefault="0070459D" w:rsidP="0070459D">
            <w:pPr>
              <w:rPr>
                <w:rFonts w:ascii="Arial" w:eastAsia="Times New Roman" w:hAnsi="Arial" w:cs="Arial"/>
                <w:b/>
                <w:bCs/>
                <w:color w:val="000000"/>
                <w:sz w:val="14"/>
                <w:szCs w:val="14"/>
                <w:lang w:val="cs-CZ" w:eastAsia="cs-CZ"/>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6843A113" w14:textId="77777777" w:rsidR="0070459D" w:rsidRPr="0070459D" w:rsidRDefault="0070459D" w:rsidP="0070459D">
            <w:pPr>
              <w:rPr>
                <w:rFonts w:ascii="Arial" w:eastAsia="Times New Roman" w:hAnsi="Arial" w:cs="Arial"/>
                <w:b/>
                <w:bCs/>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FFFFFF"/>
            <w:vAlign w:val="center"/>
            <w:hideMark/>
          </w:tcPr>
          <w:p w14:paraId="0587480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31E2B3C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611853A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7D4D1C0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12384E5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15235DA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08CD23B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40DFFEF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6C45419D"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37F315D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22" w:type="dxa"/>
            <w:gridSpan w:val="2"/>
            <w:vMerge/>
            <w:tcBorders>
              <w:top w:val="single" w:sz="4" w:space="0" w:color="auto"/>
              <w:left w:val="single" w:sz="4" w:space="0" w:color="auto"/>
              <w:bottom w:val="single" w:sz="4" w:space="0" w:color="auto"/>
              <w:right w:val="single" w:sz="4" w:space="0" w:color="auto"/>
            </w:tcBorders>
            <w:vAlign w:val="center"/>
            <w:hideMark/>
          </w:tcPr>
          <w:p w14:paraId="039A22BE"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656173C4" w14:textId="77777777" w:rsidTr="00A722E5">
        <w:trPr>
          <w:trHeight w:val="2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118DDBC1"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0A3438DC"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1075F6D0"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188A4775"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0BE40855" w14:textId="77777777" w:rsidR="0070459D" w:rsidRPr="0070459D" w:rsidRDefault="0070459D" w:rsidP="0070459D">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46205A87" w14:textId="77777777" w:rsidR="0070459D" w:rsidRPr="0070459D" w:rsidRDefault="0070459D" w:rsidP="0070459D">
            <w:pPr>
              <w:rPr>
                <w:rFonts w:ascii="Arial" w:eastAsia="Times New Roman" w:hAnsi="Arial" w:cs="Arial"/>
                <w:b/>
                <w:bCs/>
                <w:color w:val="000000"/>
                <w:sz w:val="14"/>
                <w:szCs w:val="14"/>
                <w:lang w:val="cs-CZ" w:eastAsia="cs-CZ"/>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623DC8FA" w14:textId="77777777" w:rsidR="0070459D" w:rsidRPr="0070459D" w:rsidRDefault="0070459D" w:rsidP="0070459D">
            <w:pPr>
              <w:rPr>
                <w:rFonts w:ascii="Arial" w:eastAsia="Times New Roman" w:hAnsi="Arial" w:cs="Arial"/>
                <w:b/>
                <w:bCs/>
                <w:color w:val="000000"/>
                <w:sz w:val="14"/>
                <w:szCs w:val="14"/>
                <w:lang w:val="cs-CZ" w:eastAsia="cs-CZ"/>
              </w:rPr>
            </w:pPr>
          </w:p>
        </w:tc>
        <w:tc>
          <w:tcPr>
            <w:tcW w:w="8086" w:type="dxa"/>
            <w:gridSpan w:val="11"/>
            <w:tcBorders>
              <w:top w:val="single" w:sz="4" w:space="0" w:color="auto"/>
              <w:left w:val="nil"/>
              <w:bottom w:val="single" w:sz="4" w:space="0" w:color="auto"/>
              <w:right w:val="single" w:sz="4" w:space="0" w:color="auto"/>
            </w:tcBorders>
            <w:shd w:val="clear" w:color="000000" w:fill="FFFFFF"/>
            <w:vAlign w:val="center"/>
            <w:hideMark/>
          </w:tcPr>
          <w:p w14:paraId="77541A2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Kumulativní hodnota</w:t>
            </w:r>
          </w:p>
        </w:tc>
        <w:tc>
          <w:tcPr>
            <w:tcW w:w="622" w:type="dxa"/>
            <w:vMerge/>
            <w:tcBorders>
              <w:top w:val="single" w:sz="4" w:space="0" w:color="auto"/>
              <w:left w:val="single" w:sz="4" w:space="0" w:color="auto"/>
              <w:bottom w:val="single" w:sz="4" w:space="0" w:color="auto"/>
              <w:right w:val="single" w:sz="4" w:space="0" w:color="auto"/>
            </w:tcBorders>
            <w:vAlign w:val="center"/>
            <w:hideMark/>
          </w:tcPr>
          <w:p w14:paraId="707C2341" w14:textId="77777777" w:rsidR="0070459D" w:rsidRPr="0070459D" w:rsidRDefault="0070459D" w:rsidP="0070459D">
            <w:pPr>
              <w:rPr>
                <w:rFonts w:ascii="Arial" w:eastAsia="Times New Roman" w:hAnsi="Arial" w:cs="Arial"/>
                <w:b/>
                <w:bCs/>
                <w:color w:val="000000"/>
                <w:sz w:val="14"/>
                <w:szCs w:val="14"/>
                <w:lang w:val="cs-CZ" w:eastAsia="cs-CZ"/>
              </w:rPr>
            </w:pPr>
          </w:p>
        </w:tc>
      </w:tr>
      <w:tr w:rsidR="0070459D" w:rsidRPr="0070459D" w14:paraId="675E6D37" w14:textId="77777777" w:rsidTr="00A722E5">
        <w:trPr>
          <w:trHeight w:val="2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66A3097B"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17AFA760"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48B4D2BC"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5C054D5D"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5275C52C" w14:textId="77777777" w:rsidR="0070459D" w:rsidRPr="0070459D" w:rsidRDefault="0070459D" w:rsidP="0070459D">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0B1A0167" w14:textId="77777777" w:rsidR="0070459D" w:rsidRPr="0070459D" w:rsidRDefault="0070459D" w:rsidP="0070459D">
            <w:pPr>
              <w:rPr>
                <w:rFonts w:ascii="Arial" w:eastAsia="Times New Roman" w:hAnsi="Arial" w:cs="Arial"/>
                <w:b/>
                <w:bCs/>
                <w:color w:val="000000"/>
                <w:sz w:val="14"/>
                <w:szCs w:val="14"/>
                <w:lang w:val="cs-CZ" w:eastAsia="cs-CZ"/>
              </w:rPr>
            </w:pPr>
          </w:p>
        </w:tc>
        <w:tc>
          <w:tcPr>
            <w:tcW w:w="712" w:type="dxa"/>
            <w:tcBorders>
              <w:top w:val="nil"/>
              <w:left w:val="nil"/>
              <w:bottom w:val="single" w:sz="4" w:space="0" w:color="auto"/>
              <w:right w:val="single" w:sz="4" w:space="0" w:color="auto"/>
            </w:tcBorders>
            <w:shd w:val="clear" w:color="000000" w:fill="E7E6E6"/>
            <w:vAlign w:val="center"/>
            <w:hideMark/>
          </w:tcPr>
          <w:p w14:paraId="7FB48CC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4C89AF9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59232E0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35A945B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39E362E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63561C5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79895EE9"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260B0AC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10A9512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4A9A3AD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808" w:type="dxa"/>
            <w:tcBorders>
              <w:top w:val="nil"/>
              <w:left w:val="nil"/>
              <w:bottom w:val="single" w:sz="4" w:space="0" w:color="auto"/>
              <w:right w:val="single" w:sz="4" w:space="0" w:color="auto"/>
            </w:tcBorders>
            <w:shd w:val="clear" w:color="000000" w:fill="E7E6E6"/>
            <w:vAlign w:val="center"/>
            <w:hideMark/>
          </w:tcPr>
          <w:p w14:paraId="19D08B3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c>
          <w:tcPr>
            <w:tcW w:w="622" w:type="dxa"/>
            <w:gridSpan w:val="2"/>
            <w:tcBorders>
              <w:top w:val="nil"/>
              <w:left w:val="nil"/>
              <w:bottom w:val="single" w:sz="4" w:space="0" w:color="auto"/>
              <w:right w:val="single" w:sz="4" w:space="0" w:color="auto"/>
            </w:tcBorders>
            <w:shd w:val="clear" w:color="000000" w:fill="E7E6E6"/>
            <w:vAlign w:val="center"/>
            <w:hideMark/>
          </w:tcPr>
          <w:p w14:paraId="7078DA5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Celkem</w:t>
            </w:r>
          </w:p>
        </w:tc>
      </w:tr>
      <w:tr w:rsidR="0070459D" w:rsidRPr="0070459D" w14:paraId="1CCF42D9" w14:textId="77777777" w:rsidTr="00A722E5">
        <w:trPr>
          <w:trHeight w:val="2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2C90B6D1"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46C22F9D"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22A98303"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5C13CFEC"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7F1C75A9" w14:textId="77777777" w:rsidR="0070459D" w:rsidRPr="0070459D" w:rsidRDefault="0070459D" w:rsidP="0070459D">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01DAC7F0" w14:textId="77777777" w:rsidR="0070459D" w:rsidRPr="0070459D" w:rsidRDefault="0070459D" w:rsidP="0070459D">
            <w:pPr>
              <w:rPr>
                <w:rFonts w:ascii="Arial" w:eastAsia="Times New Roman" w:hAnsi="Arial" w:cs="Arial"/>
                <w:b/>
                <w:bCs/>
                <w:color w:val="000000"/>
                <w:sz w:val="14"/>
                <w:szCs w:val="14"/>
                <w:lang w:val="cs-CZ" w:eastAsia="cs-CZ"/>
              </w:rPr>
            </w:pPr>
          </w:p>
        </w:tc>
        <w:tc>
          <w:tcPr>
            <w:tcW w:w="712" w:type="dxa"/>
            <w:tcBorders>
              <w:top w:val="nil"/>
              <w:left w:val="nil"/>
              <w:bottom w:val="single" w:sz="4" w:space="0" w:color="auto"/>
              <w:right w:val="single" w:sz="4" w:space="0" w:color="auto"/>
            </w:tcBorders>
            <w:shd w:val="clear" w:color="000000" w:fill="FFFFFF"/>
            <w:vAlign w:val="center"/>
            <w:hideMark/>
          </w:tcPr>
          <w:p w14:paraId="4134F94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284B463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6AD1E31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110259F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2241A2B6"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4B0BD504"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1FF7DD7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02F6C32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4FA9116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240E31C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808" w:type="dxa"/>
            <w:tcBorders>
              <w:top w:val="nil"/>
              <w:left w:val="nil"/>
              <w:bottom w:val="single" w:sz="4" w:space="0" w:color="auto"/>
              <w:right w:val="single" w:sz="4" w:space="0" w:color="auto"/>
            </w:tcBorders>
            <w:shd w:val="clear" w:color="000000" w:fill="FFFFFF"/>
            <w:vAlign w:val="center"/>
            <w:hideMark/>
          </w:tcPr>
          <w:p w14:paraId="4F9986F3"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c>
          <w:tcPr>
            <w:tcW w:w="622" w:type="dxa"/>
            <w:gridSpan w:val="2"/>
            <w:tcBorders>
              <w:top w:val="nil"/>
              <w:left w:val="nil"/>
              <w:bottom w:val="single" w:sz="4" w:space="0" w:color="auto"/>
              <w:right w:val="single" w:sz="4" w:space="0" w:color="auto"/>
            </w:tcBorders>
            <w:shd w:val="clear" w:color="000000" w:fill="FFFFFF"/>
            <w:vAlign w:val="center"/>
            <w:hideMark/>
          </w:tcPr>
          <w:p w14:paraId="4FDAED5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M</w:t>
            </w:r>
          </w:p>
        </w:tc>
      </w:tr>
      <w:tr w:rsidR="0070459D" w:rsidRPr="0070459D" w14:paraId="118C3A20" w14:textId="77777777" w:rsidTr="00A722E5">
        <w:trPr>
          <w:trHeight w:val="2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5644536D" w14:textId="77777777" w:rsidR="0070459D" w:rsidRPr="0070459D" w:rsidRDefault="0070459D" w:rsidP="0070459D">
            <w:pPr>
              <w:rPr>
                <w:rFonts w:ascii="Arial" w:eastAsia="Times New Roman" w:hAnsi="Arial" w:cs="Arial"/>
                <w:b/>
                <w:bCs/>
                <w:color w:val="000000"/>
                <w:sz w:val="14"/>
                <w:szCs w:val="14"/>
                <w:lang w:val="cs-CZ" w:eastAsia="cs-CZ"/>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16415936" w14:textId="77777777" w:rsidR="0070459D" w:rsidRPr="0070459D" w:rsidRDefault="0070459D" w:rsidP="0070459D">
            <w:pPr>
              <w:rPr>
                <w:rFonts w:ascii="Arial" w:eastAsia="Times New Roman" w:hAnsi="Arial" w:cs="Arial"/>
                <w:b/>
                <w:bCs/>
                <w:color w:val="000000"/>
                <w:sz w:val="14"/>
                <w:szCs w:val="14"/>
                <w:lang w:val="cs-CZ" w:eastAsia="cs-CZ"/>
              </w:rPr>
            </w:pPr>
          </w:p>
        </w:tc>
        <w:tc>
          <w:tcPr>
            <w:tcW w:w="495" w:type="dxa"/>
            <w:vMerge/>
            <w:tcBorders>
              <w:top w:val="single" w:sz="4" w:space="0" w:color="auto"/>
              <w:left w:val="single" w:sz="4" w:space="0" w:color="auto"/>
              <w:bottom w:val="single" w:sz="4" w:space="0" w:color="auto"/>
              <w:right w:val="single" w:sz="4" w:space="0" w:color="auto"/>
            </w:tcBorders>
            <w:vAlign w:val="center"/>
            <w:hideMark/>
          </w:tcPr>
          <w:p w14:paraId="64083393" w14:textId="77777777" w:rsidR="0070459D" w:rsidRPr="0070459D" w:rsidRDefault="0070459D" w:rsidP="0070459D">
            <w:pPr>
              <w:rPr>
                <w:rFonts w:ascii="Arial" w:eastAsia="Times New Roman" w:hAnsi="Arial" w:cs="Arial"/>
                <w:b/>
                <w:bCs/>
                <w:color w:val="000000"/>
                <w:sz w:val="14"/>
                <w:szCs w:val="14"/>
                <w:lang w:val="cs-CZ" w:eastAsia="cs-CZ"/>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29AF68C4" w14:textId="77777777" w:rsidR="0070459D" w:rsidRPr="0070459D" w:rsidRDefault="0070459D" w:rsidP="0070459D">
            <w:pPr>
              <w:rPr>
                <w:rFonts w:ascii="Arial" w:eastAsia="Times New Roman" w:hAnsi="Arial" w:cs="Arial"/>
                <w:b/>
                <w:bCs/>
                <w:color w:val="000000"/>
                <w:sz w:val="14"/>
                <w:szCs w:val="14"/>
                <w:lang w:val="cs-CZ" w:eastAsia="cs-CZ"/>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4953034A" w14:textId="77777777" w:rsidR="0070459D" w:rsidRPr="0070459D" w:rsidRDefault="0070459D" w:rsidP="0070459D">
            <w:pPr>
              <w:rPr>
                <w:rFonts w:ascii="Arial" w:eastAsia="Times New Roman" w:hAnsi="Arial" w:cs="Arial"/>
                <w:b/>
                <w:bCs/>
                <w:color w:val="000000"/>
                <w:sz w:val="14"/>
                <w:szCs w:val="14"/>
                <w:lang w:val="cs-CZ" w:eastAsia="cs-CZ"/>
              </w:rPr>
            </w:pPr>
          </w:p>
        </w:tc>
        <w:tc>
          <w:tcPr>
            <w:tcW w:w="951" w:type="dxa"/>
            <w:vMerge/>
            <w:tcBorders>
              <w:top w:val="single" w:sz="4" w:space="0" w:color="auto"/>
              <w:left w:val="single" w:sz="4" w:space="0" w:color="auto"/>
              <w:bottom w:val="single" w:sz="4" w:space="0" w:color="auto"/>
              <w:right w:val="single" w:sz="4" w:space="0" w:color="auto"/>
            </w:tcBorders>
            <w:vAlign w:val="center"/>
            <w:hideMark/>
          </w:tcPr>
          <w:p w14:paraId="10B210CB" w14:textId="77777777" w:rsidR="0070459D" w:rsidRPr="0070459D" w:rsidRDefault="0070459D" w:rsidP="0070459D">
            <w:pPr>
              <w:rPr>
                <w:rFonts w:ascii="Arial" w:eastAsia="Times New Roman" w:hAnsi="Arial" w:cs="Arial"/>
                <w:b/>
                <w:bCs/>
                <w:color w:val="000000"/>
                <w:sz w:val="14"/>
                <w:szCs w:val="14"/>
                <w:lang w:val="cs-CZ" w:eastAsia="cs-CZ"/>
              </w:rPr>
            </w:pPr>
          </w:p>
        </w:tc>
        <w:tc>
          <w:tcPr>
            <w:tcW w:w="712" w:type="dxa"/>
            <w:tcBorders>
              <w:top w:val="nil"/>
              <w:left w:val="nil"/>
              <w:bottom w:val="single" w:sz="4" w:space="0" w:color="auto"/>
              <w:right w:val="single" w:sz="4" w:space="0" w:color="auto"/>
            </w:tcBorders>
            <w:shd w:val="clear" w:color="000000" w:fill="FFFFFF"/>
            <w:vAlign w:val="center"/>
            <w:hideMark/>
          </w:tcPr>
          <w:p w14:paraId="1A3AE63C"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609F3EE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583CD2BF"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306DD762"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00EC96F5"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0F67EC01"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20D5A248"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3EBF60D0"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4EF1D3AE"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2E52A0B7"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808" w:type="dxa"/>
            <w:tcBorders>
              <w:top w:val="nil"/>
              <w:left w:val="nil"/>
              <w:bottom w:val="single" w:sz="4" w:space="0" w:color="auto"/>
              <w:right w:val="single" w:sz="4" w:space="0" w:color="auto"/>
            </w:tcBorders>
            <w:shd w:val="clear" w:color="000000" w:fill="FFFFFF"/>
            <w:vAlign w:val="center"/>
            <w:hideMark/>
          </w:tcPr>
          <w:p w14:paraId="32EC528A"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c>
          <w:tcPr>
            <w:tcW w:w="622" w:type="dxa"/>
            <w:gridSpan w:val="2"/>
            <w:tcBorders>
              <w:top w:val="nil"/>
              <w:left w:val="nil"/>
              <w:bottom w:val="single" w:sz="4" w:space="0" w:color="auto"/>
              <w:right w:val="single" w:sz="4" w:space="0" w:color="auto"/>
            </w:tcBorders>
            <w:shd w:val="clear" w:color="000000" w:fill="FFFFFF"/>
            <w:vAlign w:val="center"/>
            <w:hideMark/>
          </w:tcPr>
          <w:p w14:paraId="2F274B9B" w14:textId="77777777" w:rsidR="0070459D" w:rsidRPr="0070459D" w:rsidRDefault="0070459D" w:rsidP="0070459D">
            <w:pPr>
              <w:jc w:val="center"/>
              <w:rPr>
                <w:rFonts w:ascii="Arial" w:eastAsia="Times New Roman" w:hAnsi="Arial" w:cs="Arial"/>
                <w:b/>
                <w:bCs/>
                <w:color w:val="000000"/>
                <w:sz w:val="14"/>
                <w:szCs w:val="14"/>
                <w:lang w:val="cs-CZ" w:eastAsia="cs-CZ"/>
              </w:rPr>
            </w:pPr>
            <w:r w:rsidRPr="0070459D">
              <w:rPr>
                <w:rFonts w:ascii="Arial" w:eastAsia="Times New Roman" w:hAnsi="Arial" w:cs="Arial"/>
                <w:b/>
                <w:bCs/>
                <w:color w:val="000000"/>
                <w:sz w:val="14"/>
                <w:szCs w:val="14"/>
                <w:lang w:val="cs-CZ" w:eastAsia="cs-CZ"/>
              </w:rPr>
              <w:t>Ž</w:t>
            </w:r>
          </w:p>
        </w:tc>
      </w:tr>
      <w:tr w:rsidR="0070459D" w:rsidRPr="0070459D" w14:paraId="3D9B46C4" w14:textId="77777777" w:rsidTr="00A722E5">
        <w:trPr>
          <w:trHeight w:val="20"/>
        </w:trPr>
        <w:tc>
          <w:tcPr>
            <w:tcW w:w="51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9E95AC"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62600</w:t>
            </w:r>
          </w:p>
        </w:tc>
        <w:tc>
          <w:tcPr>
            <w:tcW w:w="243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DE0BC3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účastníci, kteří získali kvalifikaci po ukončení své účasti</w:t>
            </w:r>
          </w:p>
        </w:tc>
        <w:tc>
          <w:tcPr>
            <w:tcW w:w="4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1A1E79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3F7D7A"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N/R</w:t>
            </w:r>
          </w:p>
        </w:tc>
        <w:tc>
          <w:tcPr>
            <w:tcW w:w="8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BD8C6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Osoby</w:t>
            </w:r>
          </w:p>
        </w:tc>
        <w:tc>
          <w:tcPr>
            <w:tcW w:w="9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C1535E"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12"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2A81D3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200,000</w:t>
            </w:r>
          </w:p>
        </w:tc>
        <w:tc>
          <w:tcPr>
            <w:tcW w:w="808" w:type="dxa"/>
            <w:tcBorders>
              <w:top w:val="nil"/>
              <w:left w:val="nil"/>
              <w:bottom w:val="single" w:sz="4" w:space="0" w:color="auto"/>
              <w:right w:val="single" w:sz="4" w:space="0" w:color="auto"/>
            </w:tcBorders>
            <w:shd w:val="clear" w:color="000000" w:fill="E7E6E6"/>
            <w:vAlign w:val="center"/>
            <w:hideMark/>
          </w:tcPr>
          <w:p w14:paraId="16754ED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2D5EB77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25B057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7914B1D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29F8BA7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461623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5A6A13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32809CA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0B0661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0EE592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18317D2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r>
      <w:tr w:rsidR="0070459D" w:rsidRPr="0070459D" w14:paraId="279F80A0"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08F6A1E0"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78ACCB97"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180B490F"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03FE78D4"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546E0F37"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1D4AA5A5"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53C17DA9"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FFFFFF"/>
            <w:vAlign w:val="center"/>
            <w:hideMark/>
          </w:tcPr>
          <w:p w14:paraId="40FEAA9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04E42A4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4037503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250E41E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2F03EE0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44D0311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01F89E1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39D6BF6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7E7A092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2ABEA8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6F4AE77C"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4A757D83"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2D164847"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4ADF9094"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7DBA4DDC"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6F49F7CA"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03B3FECA"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2B424F58"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29EAB325"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FFFFFF"/>
            <w:vAlign w:val="center"/>
            <w:hideMark/>
          </w:tcPr>
          <w:p w14:paraId="2BE753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647D42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346D397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5D4336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767F0DB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033DD4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760F68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48215EB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433A7B8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35A0B71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719DB6AA"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5105F614"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185CD7D8"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3CD1375C"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41459F9C"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2708FFB0"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1F45B883"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50C44E8F"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16069D0B"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E7E6E6"/>
            <w:vAlign w:val="center"/>
            <w:hideMark/>
          </w:tcPr>
          <w:p w14:paraId="16C3615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607A6F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5416FE8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112EFCE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52A9C3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55CF0F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038FB3C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3AEF767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0FA1538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3B0F46A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5415525F"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CE4B03C"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6CBE48DC"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5AFE19D4"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6131C83C"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DDB870E"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79D8F515"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133F0E08"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tcBorders>
              <w:top w:val="nil"/>
              <w:left w:val="nil"/>
              <w:bottom w:val="single" w:sz="4" w:space="0" w:color="auto"/>
              <w:right w:val="single" w:sz="4" w:space="0" w:color="auto"/>
            </w:tcBorders>
            <w:shd w:val="clear" w:color="000000" w:fill="FFFFFF"/>
            <w:vAlign w:val="center"/>
            <w:hideMark/>
          </w:tcPr>
          <w:p w14:paraId="750A15D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1EF561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46A2B2C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6AB1FE3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4971A5F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27F8105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FFFFFF"/>
            <w:vAlign w:val="center"/>
            <w:hideMark/>
          </w:tcPr>
          <w:p w14:paraId="7297311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auto" w:fill="auto"/>
            <w:vAlign w:val="center"/>
            <w:hideMark/>
          </w:tcPr>
          <w:p w14:paraId="2D424F1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63E1E1C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6B9F6BC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5DF5AA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tcBorders>
              <w:top w:val="nil"/>
              <w:left w:val="nil"/>
              <w:bottom w:val="single" w:sz="4" w:space="0" w:color="auto"/>
              <w:right w:val="single" w:sz="4" w:space="0" w:color="auto"/>
            </w:tcBorders>
            <w:shd w:val="clear" w:color="auto" w:fill="auto"/>
            <w:vAlign w:val="center"/>
            <w:hideMark/>
          </w:tcPr>
          <w:p w14:paraId="349AACD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A8CA424"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5C49AD42"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1188B76A"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44F10957"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6E003268"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189ABDE3"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03737BEB"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tcBorders>
              <w:top w:val="nil"/>
              <w:left w:val="nil"/>
              <w:bottom w:val="single" w:sz="4" w:space="0" w:color="auto"/>
              <w:right w:val="single" w:sz="4" w:space="0" w:color="auto"/>
            </w:tcBorders>
            <w:shd w:val="clear" w:color="000000" w:fill="FFFFFF"/>
            <w:vAlign w:val="center"/>
            <w:hideMark/>
          </w:tcPr>
          <w:p w14:paraId="0065A0A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auto" w:fill="auto"/>
            <w:vAlign w:val="center"/>
            <w:hideMark/>
          </w:tcPr>
          <w:p w14:paraId="55D17FB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auto" w:fill="auto"/>
            <w:vAlign w:val="center"/>
            <w:hideMark/>
          </w:tcPr>
          <w:p w14:paraId="611E314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auto" w:fill="auto"/>
            <w:vAlign w:val="center"/>
            <w:hideMark/>
          </w:tcPr>
          <w:p w14:paraId="5E5655A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auto" w:fill="auto"/>
            <w:vAlign w:val="center"/>
            <w:hideMark/>
          </w:tcPr>
          <w:p w14:paraId="3121AD9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auto" w:fill="auto"/>
            <w:vAlign w:val="center"/>
            <w:hideMark/>
          </w:tcPr>
          <w:p w14:paraId="740DF26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auto" w:fill="auto"/>
            <w:vAlign w:val="center"/>
            <w:hideMark/>
          </w:tcPr>
          <w:p w14:paraId="5618D36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auto" w:fill="auto"/>
            <w:vAlign w:val="center"/>
            <w:hideMark/>
          </w:tcPr>
          <w:p w14:paraId="1173C20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20E87B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11D8188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2A32B4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tcBorders>
              <w:top w:val="nil"/>
              <w:left w:val="nil"/>
              <w:bottom w:val="single" w:sz="4" w:space="0" w:color="auto"/>
              <w:right w:val="single" w:sz="4" w:space="0" w:color="auto"/>
            </w:tcBorders>
            <w:shd w:val="clear" w:color="auto" w:fill="auto"/>
            <w:vAlign w:val="center"/>
            <w:hideMark/>
          </w:tcPr>
          <w:p w14:paraId="76489BC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5CE946BE" w14:textId="77777777" w:rsidTr="00A722E5">
        <w:trPr>
          <w:trHeight w:val="20"/>
        </w:trPr>
        <w:tc>
          <w:tcPr>
            <w:tcW w:w="51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81CF5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80810</w:t>
            </w:r>
          </w:p>
        </w:tc>
        <w:tc>
          <w:tcPr>
            <w:tcW w:w="243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FB593F"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Míra čerpání prostředků programu</w:t>
            </w:r>
          </w:p>
        </w:tc>
        <w:tc>
          <w:tcPr>
            <w:tcW w:w="4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9BCBA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2DFE888"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N/R</w:t>
            </w:r>
          </w:p>
        </w:tc>
        <w:tc>
          <w:tcPr>
            <w:tcW w:w="8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E88BB6"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w:t>
            </w:r>
          </w:p>
        </w:tc>
        <w:tc>
          <w:tcPr>
            <w:tcW w:w="9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44AAF1"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12"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5B5ED9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100,000</w:t>
            </w:r>
          </w:p>
        </w:tc>
        <w:tc>
          <w:tcPr>
            <w:tcW w:w="808" w:type="dxa"/>
            <w:tcBorders>
              <w:top w:val="nil"/>
              <w:left w:val="nil"/>
              <w:bottom w:val="single" w:sz="4" w:space="0" w:color="auto"/>
              <w:right w:val="single" w:sz="4" w:space="0" w:color="auto"/>
            </w:tcBorders>
            <w:shd w:val="clear" w:color="000000" w:fill="E7E6E6"/>
            <w:vAlign w:val="center"/>
            <w:hideMark/>
          </w:tcPr>
          <w:p w14:paraId="60DD6AE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295A9E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1482168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6,330</w:t>
            </w:r>
          </w:p>
        </w:tc>
        <w:tc>
          <w:tcPr>
            <w:tcW w:w="808" w:type="dxa"/>
            <w:tcBorders>
              <w:top w:val="nil"/>
              <w:left w:val="nil"/>
              <w:bottom w:val="single" w:sz="4" w:space="0" w:color="auto"/>
              <w:right w:val="single" w:sz="4" w:space="0" w:color="auto"/>
            </w:tcBorders>
            <w:shd w:val="clear" w:color="000000" w:fill="E7E6E6"/>
            <w:vAlign w:val="center"/>
            <w:hideMark/>
          </w:tcPr>
          <w:p w14:paraId="5DA77B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10,070</w:t>
            </w:r>
          </w:p>
        </w:tc>
        <w:tc>
          <w:tcPr>
            <w:tcW w:w="808" w:type="dxa"/>
            <w:tcBorders>
              <w:top w:val="nil"/>
              <w:left w:val="nil"/>
              <w:bottom w:val="single" w:sz="4" w:space="0" w:color="auto"/>
              <w:right w:val="single" w:sz="4" w:space="0" w:color="auto"/>
            </w:tcBorders>
            <w:shd w:val="clear" w:color="000000" w:fill="E7E6E6"/>
            <w:vAlign w:val="center"/>
            <w:hideMark/>
          </w:tcPr>
          <w:p w14:paraId="7D30659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15,920</w:t>
            </w:r>
          </w:p>
        </w:tc>
        <w:tc>
          <w:tcPr>
            <w:tcW w:w="808" w:type="dxa"/>
            <w:tcBorders>
              <w:top w:val="nil"/>
              <w:left w:val="nil"/>
              <w:bottom w:val="single" w:sz="4" w:space="0" w:color="auto"/>
              <w:right w:val="single" w:sz="4" w:space="0" w:color="auto"/>
            </w:tcBorders>
            <w:shd w:val="clear" w:color="000000" w:fill="E7E6E6"/>
            <w:vAlign w:val="center"/>
            <w:hideMark/>
          </w:tcPr>
          <w:p w14:paraId="44B76C0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17,430</w:t>
            </w:r>
          </w:p>
        </w:tc>
        <w:tc>
          <w:tcPr>
            <w:tcW w:w="808" w:type="dxa"/>
            <w:tcBorders>
              <w:top w:val="nil"/>
              <w:left w:val="nil"/>
              <w:bottom w:val="single" w:sz="4" w:space="0" w:color="auto"/>
              <w:right w:val="single" w:sz="4" w:space="0" w:color="auto"/>
            </w:tcBorders>
            <w:shd w:val="clear" w:color="000000" w:fill="E7E6E6"/>
            <w:vAlign w:val="center"/>
            <w:hideMark/>
          </w:tcPr>
          <w:p w14:paraId="4BB7949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5CCD4FF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4B814C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3A67B7E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3806189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48,340</w:t>
            </w:r>
          </w:p>
        </w:tc>
      </w:tr>
      <w:tr w:rsidR="0070459D" w:rsidRPr="0070459D" w14:paraId="064F3636"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7C4BDF94"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05CD3AF0"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2D5ABA91"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0CB41B0E"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747E9B69"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381CF53E"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49F92D28"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FFFFFF"/>
            <w:vAlign w:val="center"/>
            <w:hideMark/>
          </w:tcPr>
          <w:p w14:paraId="7746250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5906908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6BE3339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063E98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2A7B704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5C8E9E9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6667086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19BA59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1D139CB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146EBA8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76F73F95"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72CECCF"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27DF6B7E"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412B8B41"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3E8A0538"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FF70F8F"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541CAF19"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6B763D3A"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3217D088"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FFFFFF"/>
            <w:vAlign w:val="center"/>
            <w:hideMark/>
          </w:tcPr>
          <w:p w14:paraId="56A7D1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7F2FB5E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6462DE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3FFE9E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26062D3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560151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0BABEF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5E0FED0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2404CB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67099D6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76E76C2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40F80FA"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0185968C"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7CED2810"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3126D84A"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3A44523E"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6A13F9AD"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1B5E43EE"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0A60D263"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E7E6E6"/>
            <w:vAlign w:val="center"/>
            <w:hideMark/>
          </w:tcPr>
          <w:p w14:paraId="3F73DA0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5A805C5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096363F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6,330</w:t>
            </w:r>
          </w:p>
        </w:tc>
        <w:tc>
          <w:tcPr>
            <w:tcW w:w="808" w:type="dxa"/>
            <w:tcBorders>
              <w:top w:val="nil"/>
              <w:left w:val="nil"/>
              <w:bottom w:val="single" w:sz="4" w:space="0" w:color="auto"/>
              <w:right w:val="single" w:sz="4" w:space="0" w:color="auto"/>
            </w:tcBorders>
            <w:shd w:val="clear" w:color="000000" w:fill="E7E6E6"/>
            <w:vAlign w:val="center"/>
            <w:hideMark/>
          </w:tcPr>
          <w:p w14:paraId="44FF36A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16,400</w:t>
            </w:r>
          </w:p>
        </w:tc>
        <w:tc>
          <w:tcPr>
            <w:tcW w:w="808" w:type="dxa"/>
            <w:tcBorders>
              <w:top w:val="nil"/>
              <w:left w:val="nil"/>
              <w:bottom w:val="single" w:sz="4" w:space="0" w:color="auto"/>
              <w:right w:val="single" w:sz="4" w:space="0" w:color="auto"/>
            </w:tcBorders>
            <w:shd w:val="clear" w:color="000000" w:fill="E7E6E6"/>
            <w:vAlign w:val="center"/>
            <w:hideMark/>
          </w:tcPr>
          <w:p w14:paraId="0DE06D6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30,910</w:t>
            </w:r>
          </w:p>
        </w:tc>
        <w:tc>
          <w:tcPr>
            <w:tcW w:w="808" w:type="dxa"/>
            <w:tcBorders>
              <w:top w:val="nil"/>
              <w:left w:val="nil"/>
              <w:bottom w:val="single" w:sz="4" w:space="0" w:color="auto"/>
              <w:right w:val="single" w:sz="4" w:space="0" w:color="auto"/>
            </w:tcBorders>
            <w:shd w:val="clear" w:color="000000" w:fill="E7E6E6"/>
            <w:vAlign w:val="center"/>
            <w:hideMark/>
          </w:tcPr>
          <w:p w14:paraId="75D2B06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48,340</w:t>
            </w:r>
          </w:p>
        </w:tc>
        <w:tc>
          <w:tcPr>
            <w:tcW w:w="808" w:type="dxa"/>
            <w:tcBorders>
              <w:top w:val="nil"/>
              <w:left w:val="nil"/>
              <w:bottom w:val="single" w:sz="4" w:space="0" w:color="auto"/>
              <w:right w:val="single" w:sz="4" w:space="0" w:color="auto"/>
            </w:tcBorders>
            <w:shd w:val="clear" w:color="000000" w:fill="E7E6E6"/>
            <w:vAlign w:val="center"/>
            <w:hideMark/>
          </w:tcPr>
          <w:p w14:paraId="2EC58BE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6B93D5F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2184F49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04A75E9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23E42FEE"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7BC758DE"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61D39D2F"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0E41EDEB"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1250FBAF"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7D41B9A"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2F33B12C"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6D20B0BC"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tcBorders>
              <w:top w:val="nil"/>
              <w:left w:val="nil"/>
              <w:bottom w:val="single" w:sz="4" w:space="0" w:color="auto"/>
              <w:right w:val="single" w:sz="4" w:space="0" w:color="auto"/>
            </w:tcBorders>
            <w:shd w:val="clear" w:color="auto" w:fill="auto"/>
            <w:vAlign w:val="center"/>
            <w:hideMark/>
          </w:tcPr>
          <w:p w14:paraId="1A290EA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3423643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4CC9A7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6F25A85E"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12B9105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60B4AC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0E4C79F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26F08D7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756EFA2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3D8046D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7D29C23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tcBorders>
              <w:top w:val="nil"/>
              <w:left w:val="nil"/>
              <w:bottom w:val="single" w:sz="4" w:space="0" w:color="auto"/>
              <w:right w:val="single" w:sz="4" w:space="0" w:color="auto"/>
            </w:tcBorders>
            <w:shd w:val="clear" w:color="auto" w:fill="auto"/>
            <w:vAlign w:val="center"/>
            <w:hideMark/>
          </w:tcPr>
          <w:p w14:paraId="460D000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07FAD5F8"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29A949AA"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5E7BD2E7"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4F56C115"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E3A2250"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27432F2E"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5775C290"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tcBorders>
              <w:top w:val="nil"/>
              <w:left w:val="nil"/>
              <w:bottom w:val="single" w:sz="4" w:space="0" w:color="auto"/>
              <w:right w:val="single" w:sz="4" w:space="0" w:color="auto"/>
            </w:tcBorders>
            <w:shd w:val="clear" w:color="auto" w:fill="auto"/>
            <w:vAlign w:val="center"/>
            <w:hideMark/>
          </w:tcPr>
          <w:p w14:paraId="5BB5F9C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6F3B737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56C8D2C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714BDC0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06443B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02A1F04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198B881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18F0D25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69C156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392DB27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auto" w:fill="auto"/>
            <w:vAlign w:val="center"/>
            <w:hideMark/>
          </w:tcPr>
          <w:p w14:paraId="2924BE8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tcBorders>
              <w:top w:val="nil"/>
              <w:left w:val="nil"/>
              <w:bottom w:val="single" w:sz="4" w:space="0" w:color="auto"/>
              <w:right w:val="single" w:sz="4" w:space="0" w:color="auto"/>
            </w:tcBorders>
            <w:shd w:val="clear" w:color="auto" w:fill="auto"/>
            <w:vAlign w:val="center"/>
            <w:hideMark/>
          </w:tcPr>
          <w:p w14:paraId="01ADEA1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r>
      <w:tr w:rsidR="0070459D" w:rsidRPr="0070459D" w14:paraId="1DE84F97" w14:textId="77777777" w:rsidTr="00A722E5">
        <w:trPr>
          <w:trHeight w:val="20"/>
        </w:trPr>
        <w:tc>
          <w:tcPr>
            <w:tcW w:w="51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EF3B80"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82510</w:t>
            </w:r>
          </w:p>
        </w:tc>
        <w:tc>
          <w:tcPr>
            <w:tcW w:w="243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CA7502"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Míra stabilizace zaměstnanců implementační struktury</w:t>
            </w:r>
          </w:p>
        </w:tc>
        <w:tc>
          <w:tcPr>
            <w:tcW w:w="4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1F79E4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ESF</w:t>
            </w:r>
          </w:p>
        </w:tc>
        <w:tc>
          <w:tcPr>
            <w:tcW w:w="117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7FC763"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N/R</w:t>
            </w:r>
          </w:p>
        </w:tc>
        <w:tc>
          <w:tcPr>
            <w:tcW w:w="80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10E047"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w:t>
            </w:r>
          </w:p>
        </w:tc>
        <w:tc>
          <w:tcPr>
            <w:tcW w:w="95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78F04B" w14:textId="77777777" w:rsidR="0070459D" w:rsidRPr="0070459D" w:rsidRDefault="0070459D" w:rsidP="0070459D">
            <w:pPr>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číslo</w:t>
            </w:r>
          </w:p>
        </w:tc>
        <w:tc>
          <w:tcPr>
            <w:tcW w:w="712" w:type="dxa"/>
            <w:vMerge w:val="restart"/>
            <w:tcBorders>
              <w:top w:val="nil"/>
              <w:left w:val="single" w:sz="4" w:space="0" w:color="auto"/>
              <w:bottom w:val="single" w:sz="4" w:space="0" w:color="000000"/>
              <w:right w:val="single" w:sz="4" w:space="0" w:color="auto"/>
            </w:tcBorders>
            <w:shd w:val="clear" w:color="000000" w:fill="E7E6E6"/>
            <w:vAlign w:val="bottom"/>
            <w:hideMark/>
          </w:tcPr>
          <w:p w14:paraId="2CA7215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50,000</w:t>
            </w:r>
          </w:p>
        </w:tc>
        <w:tc>
          <w:tcPr>
            <w:tcW w:w="808" w:type="dxa"/>
            <w:tcBorders>
              <w:top w:val="nil"/>
              <w:left w:val="nil"/>
              <w:bottom w:val="single" w:sz="4" w:space="0" w:color="auto"/>
              <w:right w:val="single" w:sz="4" w:space="0" w:color="auto"/>
            </w:tcBorders>
            <w:shd w:val="clear" w:color="000000" w:fill="E7E6E6"/>
            <w:vAlign w:val="center"/>
            <w:hideMark/>
          </w:tcPr>
          <w:p w14:paraId="22B629D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417022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05DEE8D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53972F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41,070</w:t>
            </w:r>
          </w:p>
        </w:tc>
        <w:tc>
          <w:tcPr>
            <w:tcW w:w="808" w:type="dxa"/>
            <w:tcBorders>
              <w:top w:val="nil"/>
              <w:left w:val="nil"/>
              <w:bottom w:val="single" w:sz="4" w:space="0" w:color="auto"/>
              <w:right w:val="single" w:sz="4" w:space="0" w:color="auto"/>
            </w:tcBorders>
            <w:shd w:val="clear" w:color="000000" w:fill="E7E6E6"/>
            <w:vAlign w:val="center"/>
            <w:hideMark/>
          </w:tcPr>
          <w:p w14:paraId="6A0D3386"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14,770</w:t>
            </w:r>
          </w:p>
        </w:tc>
        <w:tc>
          <w:tcPr>
            <w:tcW w:w="808" w:type="dxa"/>
            <w:tcBorders>
              <w:top w:val="nil"/>
              <w:left w:val="nil"/>
              <w:bottom w:val="single" w:sz="4" w:space="0" w:color="auto"/>
              <w:right w:val="single" w:sz="4" w:space="0" w:color="auto"/>
            </w:tcBorders>
            <w:shd w:val="clear" w:color="000000" w:fill="E7E6E6"/>
            <w:vAlign w:val="center"/>
            <w:hideMark/>
          </w:tcPr>
          <w:p w14:paraId="177E8B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9,630</w:t>
            </w:r>
          </w:p>
        </w:tc>
        <w:tc>
          <w:tcPr>
            <w:tcW w:w="808" w:type="dxa"/>
            <w:tcBorders>
              <w:top w:val="nil"/>
              <w:left w:val="nil"/>
              <w:bottom w:val="single" w:sz="4" w:space="0" w:color="auto"/>
              <w:right w:val="single" w:sz="4" w:space="0" w:color="auto"/>
            </w:tcBorders>
            <w:shd w:val="clear" w:color="000000" w:fill="E7E6E6"/>
            <w:vAlign w:val="center"/>
            <w:hideMark/>
          </w:tcPr>
          <w:p w14:paraId="6CBC5AF7"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10FA9F2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79B88AE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37B4F9A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val="restart"/>
            <w:tcBorders>
              <w:top w:val="nil"/>
              <w:left w:val="single" w:sz="4" w:space="0" w:color="auto"/>
              <w:bottom w:val="single" w:sz="4" w:space="0" w:color="000000"/>
              <w:right w:val="single" w:sz="4" w:space="0" w:color="auto"/>
            </w:tcBorders>
            <w:shd w:val="clear" w:color="000000" w:fill="E7E6E6"/>
            <w:vAlign w:val="bottom"/>
            <w:hideMark/>
          </w:tcPr>
          <w:p w14:paraId="34D9ADA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130,940</w:t>
            </w:r>
          </w:p>
        </w:tc>
      </w:tr>
      <w:tr w:rsidR="0070459D" w:rsidRPr="0070459D" w14:paraId="0506AE31"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74421EDB"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27A6B0F2"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40DEF148"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3DB27EE"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4997A7F5"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5A133B51"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2ED7800C"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FFFFFF"/>
            <w:vAlign w:val="center"/>
            <w:hideMark/>
          </w:tcPr>
          <w:p w14:paraId="1C581C3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7B3FF56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5FB62E7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6B2127A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71FA1F4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238E03D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1A351E81"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02DFE97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630C79A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70A5074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06159520"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60230391"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6C553ECD"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1D5736BC"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35DB924E"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388832B"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671CD160"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57993806"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2C072A74"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FFFFFF"/>
            <w:vAlign w:val="center"/>
            <w:hideMark/>
          </w:tcPr>
          <w:p w14:paraId="29F469A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2086DAE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7088AD93"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4677E28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003B28B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7894F699"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05C545C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7C13487F"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0AD1227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FFFFFF"/>
            <w:vAlign w:val="center"/>
            <w:hideMark/>
          </w:tcPr>
          <w:p w14:paraId="1424835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57CFF626"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231D1042"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3A4CC3DE"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2E02EE98"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418819FB"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1D598714"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0E9FDC64"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25D69ECE"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vMerge/>
            <w:tcBorders>
              <w:top w:val="nil"/>
              <w:left w:val="single" w:sz="4" w:space="0" w:color="auto"/>
              <w:bottom w:val="single" w:sz="4" w:space="0" w:color="000000"/>
              <w:right w:val="single" w:sz="4" w:space="0" w:color="auto"/>
            </w:tcBorders>
            <w:vAlign w:val="center"/>
            <w:hideMark/>
          </w:tcPr>
          <w:p w14:paraId="3596FA56" w14:textId="77777777" w:rsidR="0070459D" w:rsidRPr="0070459D" w:rsidRDefault="0070459D" w:rsidP="0070459D">
            <w:pPr>
              <w:rPr>
                <w:rFonts w:ascii="Arial" w:eastAsia="Times New Roman" w:hAnsi="Arial" w:cs="Arial"/>
                <w:color w:val="000000"/>
                <w:sz w:val="14"/>
                <w:szCs w:val="14"/>
                <w:lang w:val="cs-CZ" w:eastAsia="cs-CZ"/>
              </w:rPr>
            </w:pPr>
          </w:p>
        </w:tc>
        <w:tc>
          <w:tcPr>
            <w:tcW w:w="808" w:type="dxa"/>
            <w:tcBorders>
              <w:top w:val="nil"/>
              <w:left w:val="nil"/>
              <w:bottom w:val="single" w:sz="4" w:space="0" w:color="auto"/>
              <w:right w:val="single" w:sz="4" w:space="0" w:color="auto"/>
            </w:tcBorders>
            <w:shd w:val="clear" w:color="000000" w:fill="E7E6E6"/>
            <w:vAlign w:val="center"/>
            <w:hideMark/>
          </w:tcPr>
          <w:p w14:paraId="7C0E833D"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53CDBEBC"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171B0AA4"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0,000</w:t>
            </w:r>
          </w:p>
        </w:tc>
        <w:tc>
          <w:tcPr>
            <w:tcW w:w="808" w:type="dxa"/>
            <w:tcBorders>
              <w:top w:val="nil"/>
              <w:left w:val="nil"/>
              <w:bottom w:val="single" w:sz="4" w:space="0" w:color="auto"/>
              <w:right w:val="single" w:sz="4" w:space="0" w:color="auto"/>
            </w:tcBorders>
            <w:shd w:val="clear" w:color="000000" w:fill="E7E6E6"/>
            <w:vAlign w:val="center"/>
            <w:hideMark/>
          </w:tcPr>
          <w:p w14:paraId="0373EEF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41,070</w:t>
            </w:r>
          </w:p>
        </w:tc>
        <w:tc>
          <w:tcPr>
            <w:tcW w:w="808" w:type="dxa"/>
            <w:tcBorders>
              <w:top w:val="nil"/>
              <w:left w:val="nil"/>
              <w:bottom w:val="single" w:sz="4" w:space="0" w:color="auto"/>
              <w:right w:val="single" w:sz="4" w:space="0" w:color="auto"/>
            </w:tcBorders>
            <w:shd w:val="clear" w:color="000000" w:fill="E7E6E6"/>
            <w:vAlign w:val="center"/>
            <w:hideMark/>
          </w:tcPr>
          <w:p w14:paraId="11A3A58B"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55,840</w:t>
            </w:r>
          </w:p>
        </w:tc>
        <w:tc>
          <w:tcPr>
            <w:tcW w:w="808" w:type="dxa"/>
            <w:tcBorders>
              <w:top w:val="nil"/>
              <w:left w:val="nil"/>
              <w:bottom w:val="single" w:sz="4" w:space="0" w:color="auto"/>
              <w:right w:val="single" w:sz="4" w:space="0" w:color="auto"/>
            </w:tcBorders>
            <w:shd w:val="clear" w:color="000000" w:fill="E7E6E6"/>
            <w:vAlign w:val="center"/>
            <w:hideMark/>
          </w:tcPr>
          <w:p w14:paraId="4E128C3A"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65,470</w:t>
            </w:r>
          </w:p>
        </w:tc>
        <w:tc>
          <w:tcPr>
            <w:tcW w:w="808" w:type="dxa"/>
            <w:tcBorders>
              <w:top w:val="nil"/>
              <w:left w:val="nil"/>
              <w:bottom w:val="single" w:sz="4" w:space="0" w:color="auto"/>
              <w:right w:val="single" w:sz="4" w:space="0" w:color="auto"/>
            </w:tcBorders>
            <w:shd w:val="clear" w:color="000000" w:fill="E7E6E6"/>
            <w:vAlign w:val="center"/>
            <w:hideMark/>
          </w:tcPr>
          <w:p w14:paraId="389A78E5"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191CAB48"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7BE3A492"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808" w:type="dxa"/>
            <w:tcBorders>
              <w:top w:val="nil"/>
              <w:left w:val="nil"/>
              <w:bottom w:val="single" w:sz="4" w:space="0" w:color="auto"/>
              <w:right w:val="single" w:sz="4" w:space="0" w:color="auto"/>
            </w:tcBorders>
            <w:shd w:val="clear" w:color="000000" w:fill="E7E6E6"/>
            <w:vAlign w:val="center"/>
            <w:hideMark/>
          </w:tcPr>
          <w:p w14:paraId="672D76D0" w14:textId="77777777" w:rsidR="0070459D" w:rsidRPr="0070459D" w:rsidRDefault="0070459D" w:rsidP="0070459D">
            <w:pPr>
              <w:jc w:val="right"/>
              <w:rPr>
                <w:rFonts w:ascii="Arial" w:eastAsia="Times New Roman" w:hAnsi="Arial" w:cs="Arial"/>
                <w:color w:val="000000"/>
                <w:sz w:val="14"/>
                <w:szCs w:val="14"/>
                <w:lang w:val="cs-CZ" w:eastAsia="cs-CZ"/>
              </w:rPr>
            </w:pPr>
            <w:r w:rsidRPr="0070459D">
              <w:rPr>
                <w:rFonts w:ascii="Arial" w:eastAsia="Times New Roman" w:hAnsi="Arial" w:cs="Arial"/>
                <w:color w:val="000000"/>
                <w:sz w:val="14"/>
                <w:szCs w:val="14"/>
                <w:lang w:val="cs-CZ" w:eastAsia="cs-CZ"/>
              </w:rPr>
              <w:t> </w:t>
            </w:r>
          </w:p>
        </w:tc>
        <w:tc>
          <w:tcPr>
            <w:tcW w:w="622" w:type="dxa"/>
            <w:gridSpan w:val="2"/>
            <w:vMerge/>
            <w:tcBorders>
              <w:top w:val="nil"/>
              <w:left w:val="single" w:sz="4" w:space="0" w:color="auto"/>
              <w:bottom w:val="single" w:sz="4" w:space="0" w:color="000000"/>
              <w:right w:val="single" w:sz="4" w:space="0" w:color="auto"/>
            </w:tcBorders>
            <w:vAlign w:val="center"/>
            <w:hideMark/>
          </w:tcPr>
          <w:p w14:paraId="5633FA7A" w14:textId="77777777" w:rsidR="0070459D" w:rsidRPr="0070459D" w:rsidRDefault="0070459D" w:rsidP="0070459D">
            <w:pPr>
              <w:rPr>
                <w:rFonts w:ascii="Arial" w:eastAsia="Times New Roman" w:hAnsi="Arial" w:cs="Arial"/>
                <w:color w:val="000000"/>
                <w:sz w:val="14"/>
                <w:szCs w:val="14"/>
                <w:lang w:val="cs-CZ" w:eastAsia="cs-CZ"/>
              </w:rPr>
            </w:pPr>
          </w:p>
        </w:tc>
      </w:tr>
      <w:tr w:rsidR="0070459D" w:rsidRPr="0070459D" w14:paraId="0452194F"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2D058A12"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488EA310"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23128471"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186F9E8C"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0D221CE1"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70BAAA2B"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tcBorders>
              <w:top w:val="nil"/>
              <w:left w:val="nil"/>
              <w:bottom w:val="single" w:sz="4" w:space="0" w:color="auto"/>
              <w:right w:val="single" w:sz="4" w:space="0" w:color="auto"/>
            </w:tcBorders>
            <w:shd w:val="clear" w:color="auto" w:fill="auto"/>
            <w:noWrap/>
            <w:vAlign w:val="bottom"/>
            <w:hideMark/>
          </w:tcPr>
          <w:p w14:paraId="441F29E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7A98887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48B84AD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611C25F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0FEA863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332B0ED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15E556C7"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1A3ECFC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76B5198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1CA1E20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096A16F8"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22" w:type="dxa"/>
            <w:gridSpan w:val="2"/>
            <w:tcBorders>
              <w:top w:val="nil"/>
              <w:left w:val="nil"/>
              <w:bottom w:val="single" w:sz="4" w:space="0" w:color="auto"/>
              <w:right w:val="single" w:sz="4" w:space="0" w:color="auto"/>
            </w:tcBorders>
            <w:shd w:val="clear" w:color="auto" w:fill="auto"/>
            <w:noWrap/>
            <w:vAlign w:val="bottom"/>
            <w:hideMark/>
          </w:tcPr>
          <w:p w14:paraId="45FFE071"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r w:rsidR="0070459D" w:rsidRPr="0070459D" w14:paraId="0F50C692" w14:textId="77777777" w:rsidTr="00A722E5">
        <w:trPr>
          <w:trHeight w:val="20"/>
        </w:trPr>
        <w:tc>
          <w:tcPr>
            <w:tcW w:w="510" w:type="dxa"/>
            <w:vMerge/>
            <w:tcBorders>
              <w:top w:val="nil"/>
              <w:left w:val="single" w:sz="4" w:space="0" w:color="auto"/>
              <w:bottom w:val="single" w:sz="4" w:space="0" w:color="000000"/>
              <w:right w:val="single" w:sz="4" w:space="0" w:color="auto"/>
            </w:tcBorders>
            <w:vAlign w:val="center"/>
            <w:hideMark/>
          </w:tcPr>
          <w:p w14:paraId="5CA19F66" w14:textId="77777777" w:rsidR="0070459D" w:rsidRPr="0070459D" w:rsidRDefault="0070459D" w:rsidP="0070459D">
            <w:pPr>
              <w:rPr>
                <w:rFonts w:ascii="Arial" w:eastAsia="Times New Roman" w:hAnsi="Arial" w:cs="Arial"/>
                <w:color w:val="000000"/>
                <w:sz w:val="14"/>
                <w:szCs w:val="14"/>
                <w:lang w:val="cs-CZ" w:eastAsia="cs-CZ"/>
              </w:rPr>
            </w:pPr>
          </w:p>
        </w:tc>
        <w:tc>
          <w:tcPr>
            <w:tcW w:w="2430" w:type="dxa"/>
            <w:vMerge/>
            <w:tcBorders>
              <w:top w:val="nil"/>
              <w:left w:val="single" w:sz="4" w:space="0" w:color="auto"/>
              <w:bottom w:val="single" w:sz="4" w:space="0" w:color="000000"/>
              <w:right w:val="single" w:sz="4" w:space="0" w:color="auto"/>
            </w:tcBorders>
            <w:vAlign w:val="center"/>
            <w:hideMark/>
          </w:tcPr>
          <w:p w14:paraId="3F6CF2A2" w14:textId="77777777" w:rsidR="0070459D" w:rsidRPr="0070459D" w:rsidRDefault="0070459D" w:rsidP="0070459D">
            <w:pPr>
              <w:rPr>
                <w:rFonts w:ascii="Arial" w:eastAsia="Times New Roman" w:hAnsi="Arial" w:cs="Arial"/>
                <w:color w:val="000000"/>
                <w:sz w:val="14"/>
                <w:szCs w:val="14"/>
                <w:lang w:val="cs-CZ" w:eastAsia="cs-CZ"/>
              </w:rPr>
            </w:pPr>
          </w:p>
        </w:tc>
        <w:tc>
          <w:tcPr>
            <w:tcW w:w="495" w:type="dxa"/>
            <w:vMerge/>
            <w:tcBorders>
              <w:top w:val="nil"/>
              <w:left w:val="single" w:sz="4" w:space="0" w:color="auto"/>
              <w:bottom w:val="single" w:sz="4" w:space="0" w:color="000000"/>
              <w:right w:val="single" w:sz="4" w:space="0" w:color="auto"/>
            </w:tcBorders>
            <w:vAlign w:val="center"/>
            <w:hideMark/>
          </w:tcPr>
          <w:p w14:paraId="51A4FDE1" w14:textId="77777777" w:rsidR="0070459D" w:rsidRPr="0070459D" w:rsidRDefault="0070459D" w:rsidP="0070459D">
            <w:pPr>
              <w:rPr>
                <w:rFonts w:ascii="Arial" w:eastAsia="Times New Roman" w:hAnsi="Arial" w:cs="Arial"/>
                <w:color w:val="000000"/>
                <w:sz w:val="14"/>
                <w:szCs w:val="14"/>
                <w:lang w:val="cs-CZ" w:eastAsia="cs-CZ"/>
              </w:rPr>
            </w:pPr>
          </w:p>
        </w:tc>
        <w:tc>
          <w:tcPr>
            <w:tcW w:w="1175" w:type="dxa"/>
            <w:vMerge/>
            <w:tcBorders>
              <w:top w:val="nil"/>
              <w:left w:val="single" w:sz="4" w:space="0" w:color="auto"/>
              <w:bottom w:val="single" w:sz="4" w:space="0" w:color="000000"/>
              <w:right w:val="single" w:sz="4" w:space="0" w:color="auto"/>
            </w:tcBorders>
            <w:vAlign w:val="center"/>
            <w:hideMark/>
          </w:tcPr>
          <w:p w14:paraId="41AC7016" w14:textId="77777777" w:rsidR="0070459D" w:rsidRPr="0070459D" w:rsidRDefault="0070459D" w:rsidP="0070459D">
            <w:pPr>
              <w:rPr>
                <w:rFonts w:ascii="Arial" w:eastAsia="Times New Roman" w:hAnsi="Arial" w:cs="Arial"/>
                <w:color w:val="000000"/>
                <w:sz w:val="14"/>
                <w:szCs w:val="14"/>
                <w:lang w:val="cs-CZ" w:eastAsia="cs-CZ"/>
              </w:rPr>
            </w:pPr>
          </w:p>
        </w:tc>
        <w:tc>
          <w:tcPr>
            <w:tcW w:w="802" w:type="dxa"/>
            <w:vMerge/>
            <w:tcBorders>
              <w:top w:val="nil"/>
              <w:left w:val="single" w:sz="4" w:space="0" w:color="auto"/>
              <w:bottom w:val="single" w:sz="4" w:space="0" w:color="000000"/>
              <w:right w:val="single" w:sz="4" w:space="0" w:color="auto"/>
            </w:tcBorders>
            <w:vAlign w:val="center"/>
            <w:hideMark/>
          </w:tcPr>
          <w:p w14:paraId="0F54E38C" w14:textId="77777777" w:rsidR="0070459D" w:rsidRPr="0070459D" w:rsidRDefault="0070459D" w:rsidP="0070459D">
            <w:pPr>
              <w:rPr>
                <w:rFonts w:ascii="Arial" w:eastAsia="Times New Roman" w:hAnsi="Arial" w:cs="Arial"/>
                <w:color w:val="000000"/>
                <w:sz w:val="14"/>
                <w:szCs w:val="14"/>
                <w:lang w:val="cs-CZ" w:eastAsia="cs-CZ"/>
              </w:rPr>
            </w:pPr>
          </w:p>
        </w:tc>
        <w:tc>
          <w:tcPr>
            <w:tcW w:w="951" w:type="dxa"/>
            <w:vMerge/>
            <w:tcBorders>
              <w:top w:val="nil"/>
              <w:left w:val="single" w:sz="4" w:space="0" w:color="auto"/>
              <w:bottom w:val="single" w:sz="4" w:space="0" w:color="000000"/>
              <w:right w:val="single" w:sz="4" w:space="0" w:color="auto"/>
            </w:tcBorders>
            <w:vAlign w:val="center"/>
            <w:hideMark/>
          </w:tcPr>
          <w:p w14:paraId="46AA2662" w14:textId="77777777" w:rsidR="0070459D" w:rsidRPr="0070459D" w:rsidRDefault="0070459D" w:rsidP="0070459D">
            <w:pPr>
              <w:rPr>
                <w:rFonts w:ascii="Arial" w:eastAsia="Times New Roman" w:hAnsi="Arial" w:cs="Arial"/>
                <w:color w:val="000000"/>
                <w:sz w:val="14"/>
                <w:szCs w:val="14"/>
                <w:lang w:val="cs-CZ" w:eastAsia="cs-CZ"/>
              </w:rPr>
            </w:pPr>
          </w:p>
        </w:tc>
        <w:tc>
          <w:tcPr>
            <w:tcW w:w="712" w:type="dxa"/>
            <w:tcBorders>
              <w:top w:val="nil"/>
              <w:left w:val="nil"/>
              <w:bottom w:val="single" w:sz="4" w:space="0" w:color="auto"/>
              <w:right w:val="single" w:sz="4" w:space="0" w:color="auto"/>
            </w:tcBorders>
            <w:shd w:val="clear" w:color="auto" w:fill="auto"/>
            <w:noWrap/>
            <w:vAlign w:val="bottom"/>
            <w:hideMark/>
          </w:tcPr>
          <w:p w14:paraId="088F641B"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000025D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20B9891F"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08CE2B1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6857641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7BA7F802"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75E2584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07610624"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30355A09"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09CBE5A3"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808" w:type="dxa"/>
            <w:tcBorders>
              <w:top w:val="nil"/>
              <w:left w:val="nil"/>
              <w:bottom w:val="single" w:sz="4" w:space="0" w:color="auto"/>
              <w:right w:val="single" w:sz="4" w:space="0" w:color="auto"/>
            </w:tcBorders>
            <w:shd w:val="clear" w:color="auto" w:fill="auto"/>
            <w:noWrap/>
            <w:vAlign w:val="bottom"/>
            <w:hideMark/>
          </w:tcPr>
          <w:p w14:paraId="6E3553F0" w14:textId="77777777"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c>
          <w:tcPr>
            <w:tcW w:w="622" w:type="dxa"/>
            <w:gridSpan w:val="2"/>
            <w:tcBorders>
              <w:top w:val="nil"/>
              <w:left w:val="nil"/>
              <w:bottom w:val="single" w:sz="4" w:space="0" w:color="auto"/>
              <w:right w:val="single" w:sz="4" w:space="0" w:color="auto"/>
            </w:tcBorders>
            <w:shd w:val="clear" w:color="auto" w:fill="auto"/>
            <w:noWrap/>
            <w:vAlign w:val="bottom"/>
            <w:hideMark/>
          </w:tcPr>
          <w:p w14:paraId="0EE20119" w14:textId="063D2B1A" w:rsidR="0070459D" w:rsidRPr="0070459D" w:rsidRDefault="0070459D" w:rsidP="0070459D">
            <w:pPr>
              <w:rPr>
                <w:rFonts w:ascii="Arial" w:eastAsia="Times New Roman" w:hAnsi="Arial" w:cs="Arial"/>
                <w:color w:val="000000"/>
                <w:sz w:val="18"/>
                <w:szCs w:val="18"/>
                <w:lang w:val="cs-CZ" w:eastAsia="cs-CZ"/>
              </w:rPr>
            </w:pPr>
            <w:r w:rsidRPr="0070459D">
              <w:rPr>
                <w:rFonts w:ascii="Arial" w:eastAsia="Times New Roman" w:hAnsi="Arial" w:cs="Arial"/>
                <w:color w:val="000000"/>
                <w:sz w:val="18"/>
                <w:szCs w:val="18"/>
                <w:lang w:val="cs-CZ" w:eastAsia="cs-CZ"/>
              </w:rPr>
              <w:t> </w:t>
            </w:r>
          </w:p>
        </w:tc>
      </w:tr>
    </w:tbl>
    <w:p w14:paraId="2E6E81BF" w14:textId="77777777" w:rsidR="0071181C" w:rsidRPr="002F2BE4" w:rsidRDefault="0071181C" w:rsidP="00FD35AB">
      <w:pPr>
        <w:keepNext/>
        <w:ind w:left="115" w:right="106"/>
        <w:jc w:val="both"/>
        <w:rPr>
          <w:rFonts w:ascii="Arial" w:eastAsia="Arial" w:hAnsi="Arial" w:cs="Arial"/>
          <w:color w:val="000000"/>
          <w:sz w:val="20"/>
          <w:lang w:val="cs-CZ"/>
        </w:rPr>
      </w:pPr>
    </w:p>
    <w:p w14:paraId="02D2D9FD" w14:textId="77777777" w:rsidR="00FD35AB" w:rsidRPr="002F2BE4" w:rsidRDefault="00FD35AB" w:rsidP="00FD35AB">
      <w:pPr>
        <w:tabs>
          <w:tab w:val="left" w:pos="1675"/>
        </w:tabs>
        <w:ind w:left="115" w:right="529"/>
        <w:rPr>
          <w:rFonts w:ascii="Arial" w:eastAsia="Arial" w:hAnsi="Arial" w:cs="Arial"/>
          <w:i/>
          <w:iCs/>
          <w:color w:val="000000"/>
          <w:sz w:val="20"/>
          <w:lang w:val="cs-CZ"/>
        </w:rPr>
      </w:pPr>
      <w:r w:rsidRPr="002F2BE4">
        <w:rPr>
          <w:rFonts w:ascii="Arial" w:eastAsia="Arial" w:hAnsi="Arial" w:cs="Arial"/>
          <w:i/>
          <w:iCs/>
          <w:color w:val="000000"/>
          <w:sz w:val="20"/>
          <w:lang w:val="cs-CZ"/>
        </w:rPr>
        <w:t>Povinné jsou roční i kumulované údaje. Pokud nelze roční hodnotu poskytnout (např. kvůli skutečnosti, že jsou uvedeny procentní podíly a jmenovatel by byl nulový), není roční hodnota použitelná. Kumulativní hodnoty ukazatelů v absolutních hodnotách a procentech v poměru k referenčním ukazatelům výstupů se počítají automaticky.</w:t>
      </w:r>
    </w:p>
    <w:p w14:paraId="6E015E61" w14:textId="77777777" w:rsidR="00FD35AB" w:rsidRPr="002F2BE4" w:rsidRDefault="00FD35AB" w:rsidP="00FD35AB">
      <w:pPr>
        <w:keepNext/>
        <w:tabs>
          <w:tab w:val="left" w:pos="1675"/>
        </w:tabs>
        <w:ind w:left="115" w:right="106"/>
        <w:rPr>
          <w:rFonts w:ascii="Arial" w:eastAsia="Arial" w:hAnsi="Arial" w:cs="Arial"/>
          <w:color w:val="000000"/>
          <w:sz w:val="20"/>
          <w:lang w:val="cs-CZ"/>
        </w:rPr>
      </w:pPr>
    </w:p>
    <w:p w14:paraId="458E942B" w14:textId="77777777" w:rsidR="00FD35AB" w:rsidRPr="002F2BE4" w:rsidRDefault="00FD35AB" w:rsidP="00FD35AB">
      <w:pPr>
        <w:keepNext/>
        <w:tabs>
          <w:tab w:val="left" w:pos="1675"/>
        </w:tabs>
        <w:ind w:left="115" w:right="106"/>
        <w:rPr>
          <w:rFonts w:ascii="Arial" w:eastAsia="Arial" w:hAnsi="Arial" w:cs="Arial"/>
          <w:color w:val="000000"/>
          <w:sz w:val="20"/>
          <w:lang w:val="cs-CZ"/>
        </w:rPr>
      </w:pPr>
    </w:p>
    <w:p w14:paraId="09D719CE" w14:textId="77777777" w:rsidR="00FD35AB" w:rsidRPr="002F2BE4" w:rsidRDefault="00FD35AB" w:rsidP="00FD35AB">
      <w:pPr>
        <w:keepNext/>
        <w:tabs>
          <w:tab w:val="left" w:pos="1675"/>
        </w:tabs>
        <w:ind w:left="115" w:right="106"/>
        <w:rPr>
          <w:rFonts w:ascii="Arial" w:eastAsia="Arial" w:hAnsi="Arial" w:cs="Arial"/>
          <w:color w:val="000000"/>
          <w:sz w:val="16"/>
          <w:lang w:val="cs-CZ"/>
        </w:rPr>
      </w:pPr>
      <w:r w:rsidRPr="002F2BE4">
        <w:rPr>
          <w:rFonts w:ascii="Arial" w:eastAsia="Arial" w:hAnsi="Arial" w:cs="Arial"/>
          <w:color w:val="000000"/>
          <w:sz w:val="16"/>
          <w:lang w:val="cs-CZ"/>
        </w:rPr>
        <w:t>----------------------------------------------------</w:t>
      </w:r>
    </w:p>
    <w:p w14:paraId="1C05A1B2" w14:textId="77777777" w:rsidR="00FD35AB" w:rsidRPr="002F2BE4" w:rsidRDefault="00FD35AB" w:rsidP="00FD35AB">
      <w:pPr>
        <w:tabs>
          <w:tab w:val="left" w:pos="1675"/>
        </w:tabs>
        <w:ind w:left="115" w:right="106"/>
        <w:rPr>
          <w:rFonts w:ascii="Arial" w:eastAsia="Arial" w:hAnsi="Arial" w:cs="Arial"/>
          <w:color w:val="000000"/>
          <w:sz w:val="16"/>
          <w:lang w:val="cs-CZ"/>
        </w:rPr>
      </w:pPr>
      <w:r w:rsidRPr="002F2BE4">
        <w:rPr>
          <w:rFonts w:ascii="Arial" w:eastAsia="Arial" w:hAnsi="Arial" w:cs="Arial"/>
          <w:color w:val="000000"/>
          <w:sz w:val="16"/>
          <w:lang w:val="cs-CZ"/>
        </w:rPr>
        <w:t>6 - Strukturované údaje požadované pro zprávu o YEI, která má být předložena v dubnu 2015 v souladu s čl. 19 odst. 3 a přílohou II nařízení (EU) č. 1304/2013</w:t>
      </w:r>
    </w:p>
    <w:p w14:paraId="1F18E370" w14:textId="77777777" w:rsidR="00FD35AB" w:rsidRPr="002F2BE4" w:rsidRDefault="00FD35AB" w:rsidP="00FD35AB">
      <w:pPr>
        <w:spacing w:line="312" w:lineRule="auto"/>
        <w:ind w:left="115" w:right="670"/>
        <w:rPr>
          <w:rFonts w:ascii="Arial" w:eastAsia="Arial" w:hAnsi="Arial" w:cs="Arial"/>
          <w:color w:val="000000"/>
          <w:sz w:val="16"/>
          <w:lang w:val="cs-CZ"/>
        </w:rPr>
      </w:pPr>
    </w:p>
    <w:p w14:paraId="7C9480F4" w14:textId="2F0492F1" w:rsidR="00FD35AB" w:rsidRPr="002F2BE4" w:rsidRDefault="00FD35AB" w:rsidP="00105038">
      <w:pPr>
        <w:rPr>
          <w:lang w:val="cs-CZ"/>
        </w:rPr>
      </w:pPr>
      <w:r w:rsidRPr="002F2BE4">
        <w:rPr>
          <w:lang w:val="cs-CZ"/>
        </w:rPr>
        <w:br w:type="page"/>
      </w:r>
    </w:p>
    <w:p w14:paraId="6823FE55" w14:textId="77777777" w:rsidR="00FD35AB" w:rsidRPr="002F2BE4" w:rsidRDefault="00FD35AB" w:rsidP="00FD35AB">
      <w:pPr>
        <w:spacing w:line="312" w:lineRule="auto"/>
        <w:ind w:left="115" w:right="670"/>
        <w:jc w:val="both"/>
        <w:rPr>
          <w:rFonts w:ascii="Arial" w:eastAsia="Arial" w:hAnsi="Arial" w:cs="Arial"/>
          <w:b/>
          <w:bCs/>
          <w:i/>
          <w:iCs/>
          <w:color w:val="000000"/>
          <w:sz w:val="16"/>
          <w:lang w:val="cs-CZ"/>
        </w:rPr>
      </w:pPr>
      <w:r w:rsidRPr="002F2BE4">
        <w:rPr>
          <w:rFonts w:ascii="Arial" w:eastAsia="Arial" w:hAnsi="Arial" w:cs="Arial"/>
          <w:b/>
          <w:bCs/>
          <w:i/>
          <w:iCs/>
          <w:color w:val="000000"/>
          <w:sz w:val="20"/>
          <w:lang w:val="cs-CZ"/>
        </w:rPr>
        <w:t xml:space="preserve">Tabulka 4A: Společné indikátory výstupů pro ESF (podle prioritních os, investičních priorit, kategorií regionů). U YEI se rozdělení podle kategorií regionů nevyžaduje pro každou prioritní osu nebo její část </w:t>
      </w:r>
      <w:r w:rsidRPr="002F2BE4">
        <w:rPr>
          <w:rFonts w:ascii="Arial" w:eastAsia="Arial" w:hAnsi="Arial" w:cs="Arial"/>
          <w:b/>
          <w:bCs/>
          <w:i/>
          <w:iCs/>
          <w:color w:val="000000"/>
          <w:sz w:val="16"/>
          <w:lang w:val="cs-CZ"/>
        </w:rPr>
        <w:t>(8)</w:t>
      </w:r>
    </w:p>
    <w:p w14:paraId="47E10015" w14:textId="77777777" w:rsidR="00FD35AB" w:rsidRDefault="00FD35AB" w:rsidP="00503415">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03.1.48 Přístup k zaměstnání pro osoby hledající zaměstnání a neaktivní osoby, včetně dlouhodobě nezaměstnaných a osob vzdálených trhu práce, také prostřednictvím místních iniciativ na podporu zaměstnanosti a mobility pracovníků</w:t>
      </w:r>
    </w:p>
    <w:tbl>
      <w:tblPr>
        <w:tblW w:w="15732" w:type="dxa"/>
        <w:tblInd w:w="75" w:type="dxa"/>
        <w:tblCellMar>
          <w:left w:w="70" w:type="dxa"/>
          <w:right w:w="70" w:type="dxa"/>
        </w:tblCellMar>
        <w:tblLook w:val="04A0" w:firstRow="1" w:lastRow="0" w:firstColumn="1" w:lastColumn="0" w:noHBand="0" w:noVBand="1"/>
      </w:tblPr>
      <w:tblGrid>
        <w:gridCol w:w="934"/>
        <w:gridCol w:w="3158"/>
        <w:gridCol w:w="980"/>
        <w:gridCol w:w="887"/>
        <w:gridCol w:w="789"/>
        <w:gridCol w:w="797"/>
        <w:gridCol w:w="797"/>
        <w:gridCol w:w="797"/>
        <w:gridCol w:w="797"/>
        <w:gridCol w:w="797"/>
        <w:gridCol w:w="788"/>
        <w:gridCol w:w="788"/>
        <w:gridCol w:w="788"/>
        <w:gridCol w:w="790"/>
        <w:gridCol w:w="1004"/>
        <w:gridCol w:w="841"/>
      </w:tblGrid>
      <w:tr w:rsidR="004154AB" w:rsidRPr="004154AB" w14:paraId="0D3E7159" w14:textId="77777777" w:rsidTr="00B819FC">
        <w:trPr>
          <w:trHeight w:val="20"/>
          <w:tblHeader/>
        </w:trPr>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00E6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E5DD4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671F1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21CDC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0E09D0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63F48C2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37B27F8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55D2339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7C11AC0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4D024F2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CA382A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57D91C2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F1B224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0EFF94A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7DF78D3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F20F3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5D220F3B" w14:textId="77777777" w:rsidTr="00B819FC">
        <w:trPr>
          <w:trHeight w:val="20"/>
          <w:tblHeader/>
        </w:trPr>
        <w:tc>
          <w:tcPr>
            <w:tcW w:w="896" w:type="dxa"/>
            <w:vMerge/>
            <w:tcBorders>
              <w:top w:val="single" w:sz="4" w:space="0" w:color="auto"/>
              <w:left w:val="single" w:sz="4" w:space="0" w:color="auto"/>
              <w:bottom w:val="single" w:sz="4" w:space="0" w:color="auto"/>
              <w:right w:val="single" w:sz="4" w:space="0" w:color="auto"/>
            </w:tcBorders>
            <w:vAlign w:val="center"/>
            <w:hideMark/>
          </w:tcPr>
          <w:p w14:paraId="2F8F17EF" w14:textId="77777777" w:rsidR="004154AB" w:rsidRPr="004154AB" w:rsidRDefault="004154AB" w:rsidP="004154AB">
            <w:pPr>
              <w:rPr>
                <w:rFonts w:ascii="Arial" w:eastAsia="Times New Roman" w:hAnsi="Arial" w:cs="Arial"/>
                <w:b/>
                <w:bCs/>
                <w:color w:val="000000"/>
                <w:sz w:val="14"/>
                <w:szCs w:val="14"/>
                <w:lang w:val="cs-CZ" w:eastAsia="cs-CZ"/>
              </w:rPr>
            </w:pPr>
          </w:p>
        </w:tc>
        <w:tc>
          <w:tcPr>
            <w:tcW w:w="3241" w:type="dxa"/>
            <w:vMerge/>
            <w:tcBorders>
              <w:top w:val="single" w:sz="4" w:space="0" w:color="auto"/>
              <w:left w:val="single" w:sz="4" w:space="0" w:color="auto"/>
              <w:bottom w:val="single" w:sz="4" w:space="0" w:color="auto"/>
              <w:right w:val="single" w:sz="4" w:space="0" w:color="auto"/>
            </w:tcBorders>
            <w:vAlign w:val="center"/>
            <w:hideMark/>
          </w:tcPr>
          <w:p w14:paraId="1F95F2EF" w14:textId="77777777" w:rsidR="004154AB" w:rsidRPr="004154AB" w:rsidRDefault="004154AB" w:rsidP="004154AB">
            <w:pPr>
              <w:rPr>
                <w:rFonts w:ascii="Arial" w:eastAsia="Times New Roman" w:hAnsi="Arial" w:cs="Arial"/>
                <w:b/>
                <w:bCs/>
                <w:color w:val="000000"/>
                <w:sz w:val="14"/>
                <w:szCs w:val="14"/>
                <w:lang w:val="cs-CZ" w:eastAsia="cs-CZ"/>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14:paraId="56957CC3" w14:textId="77777777" w:rsidR="004154AB" w:rsidRPr="004154AB" w:rsidRDefault="004154AB" w:rsidP="004154AB">
            <w:pPr>
              <w:rPr>
                <w:rFonts w:ascii="Arial" w:eastAsia="Times New Roman" w:hAnsi="Arial" w:cs="Arial"/>
                <w:b/>
                <w:bCs/>
                <w:color w:val="000000"/>
                <w:sz w:val="14"/>
                <w:szCs w:val="14"/>
                <w:lang w:val="cs-CZ" w:eastAsia="cs-CZ"/>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14:paraId="3FE018AF" w14:textId="77777777" w:rsidR="004154AB" w:rsidRPr="004154AB" w:rsidRDefault="004154AB" w:rsidP="004154AB">
            <w:pPr>
              <w:rPr>
                <w:rFonts w:ascii="Arial" w:eastAsia="Times New Roman" w:hAnsi="Arial" w:cs="Arial"/>
                <w:b/>
                <w:bCs/>
                <w:color w:val="000000"/>
                <w:sz w:val="14"/>
                <w:szCs w:val="14"/>
                <w:lang w:val="cs-CZ" w:eastAsia="cs-CZ"/>
              </w:rPr>
            </w:pPr>
          </w:p>
        </w:tc>
        <w:tc>
          <w:tcPr>
            <w:tcW w:w="8027" w:type="dxa"/>
            <w:gridSpan w:val="10"/>
            <w:tcBorders>
              <w:top w:val="single" w:sz="4" w:space="0" w:color="auto"/>
              <w:left w:val="nil"/>
              <w:bottom w:val="single" w:sz="4" w:space="0" w:color="auto"/>
              <w:right w:val="single" w:sz="4" w:space="0" w:color="auto"/>
            </w:tcBorders>
            <w:shd w:val="clear" w:color="auto" w:fill="auto"/>
            <w:vAlign w:val="center"/>
            <w:hideMark/>
          </w:tcPr>
          <w:p w14:paraId="131FD53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918" w:type="dxa"/>
            <w:tcBorders>
              <w:top w:val="nil"/>
              <w:left w:val="nil"/>
              <w:bottom w:val="single" w:sz="4" w:space="0" w:color="auto"/>
              <w:right w:val="single" w:sz="4" w:space="0" w:color="auto"/>
            </w:tcBorders>
            <w:shd w:val="clear" w:color="auto" w:fill="auto"/>
            <w:vAlign w:val="center"/>
            <w:hideMark/>
          </w:tcPr>
          <w:p w14:paraId="4744023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23" w:type="dxa"/>
            <w:vMerge/>
            <w:tcBorders>
              <w:top w:val="single" w:sz="4" w:space="0" w:color="auto"/>
              <w:left w:val="single" w:sz="4" w:space="0" w:color="auto"/>
              <w:bottom w:val="single" w:sz="4" w:space="0" w:color="000000"/>
              <w:right w:val="single" w:sz="4" w:space="0" w:color="auto"/>
            </w:tcBorders>
            <w:vAlign w:val="center"/>
            <w:hideMark/>
          </w:tcPr>
          <w:p w14:paraId="1716B4C8"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44C55DFF" w14:textId="77777777" w:rsidTr="00B819FC">
        <w:trPr>
          <w:trHeight w:val="20"/>
          <w:tblHeader/>
        </w:trPr>
        <w:tc>
          <w:tcPr>
            <w:tcW w:w="896" w:type="dxa"/>
            <w:vMerge/>
            <w:tcBorders>
              <w:top w:val="single" w:sz="4" w:space="0" w:color="auto"/>
              <w:left w:val="single" w:sz="4" w:space="0" w:color="auto"/>
              <w:bottom w:val="single" w:sz="4" w:space="0" w:color="auto"/>
              <w:right w:val="single" w:sz="4" w:space="0" w:color="auto"/>
            </w:tcBorders>
            <w:vAlign w:val="center"/>
            <w:hideMark/>
          </w:tcPr>
          <w:p w14:paraId="7EAF3B92" w14:textId="77777777" w:rsidR="004154AB" w:rsidRPr="004154AB" w:rsidRDefault="004154AB" w:rsidP="004154AB">
            <w:pPr>
              <w:rPr>
                <w:rFonts w:ascii="Arial" w:eastAsia="Times New Roman" w:hAnsi="Arial" w:cs="Arial"/>
                <w:b/>
                <w:bCs/>
                <w:color w:val="000000"/>
                <w:sz w:val="14"/>
                <w:szCs w:val="14"/>
                <w:lang w:val="cs-CZ" w:eastAsia="cs-CZ"/>
              </w:rPr>
            </w:pPr>
          </w:p>
        </w:tc>
        <w:tc>
          <w:tcPr>
            <w:tcW w:w="3241" w:type="dxa"/>
            <w:vMerge/>
            <w:tcBorders>
              <w:top w:val="single" w:sz="4" w:space="0" w:color="auto"/>
              <w:left w:val="single" w:sz="4" w:space="0" w:color="auto"/>
              <w:bottom w:val="single" w:sz="4" w:space="0" w:color="auto"/>
              <w:right w:val="single" w:sz="4" w:space="0" w:color="auto"/>
            </w:tcBorders>
            <w:vAlign w:val="center"/>
            <w:hideMark/>
          </w:tcPr>
          <w:p w14:paraId="238D5AE2" w14:textId="77777777" w:rsidR="004154AB" w:rsidRPr="004154AB" w:rsidRDefault="004154AB" w:rsidP="004154AB">
            <w:pPr>
              <w:rPr>
                <w:rFonts w:ascii="Arial" w:eastAsia="Times New Roman" w:hAnsi="Arial" w:cs="Arial"/>
                <w:b/>
                <w:bCs/>
                <w:color w:val="000000"/>
                <w:sz w:val="14"/>
                <w:szCs w:val="14"/>
                <w:lang w:val="cs-CZ" w:eastAsia="cs-CZ"/>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14:paraId="00E459E9" w14:textId="77777777" w:rsidR="004154AB" w:rsidRPr="004154AB" w:rsidRDefault="004154AB" w:rsidP="004154AB">
            <w:pPr>
              <w:rPr>
                <w:rFonts w:ascii="Arial" w:eastAsia="Times New Roman" w:hAnsi="Arial" w:cs="Arial"/>
                <w:b/>
                <w:bCs/>
                <w:color w:val="000000"/>
                <w:sz w:val="14"/>
                <w:szCs w:val="14"/>
                <w:lang w:val="cs-CZ" w:eastAsia="cs-CZ"/>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14:paraId="5359EFE6" w14:textId="77777777" w:rsidR="004154AB" w:rsidRPr="004154AB" w:rsidRDefault="004154AB" w:rsidP="004154AB">
            <w:pPr>
              <w:rPr>
                <w:rFonts w:ascii="Arial" w:eastAsia="Times New Roman" w:hAnsi="Arial" w:cs="Arial"/>
                <w:b/>
                <w:bCs/>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3C55237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auto" w:fill="auto"/>
            <w:vAlign w:val="center"/>
            <w:hideMark/>
          </w:tcPr>
          <w:p w14:paraId="293F956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auto" w:fill="auto"/>
            <w:vAlign w:val="center"/>
            <w:hideMark/>
          </w:tcPr>
          <w:p w14:paraId="075286B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auto" w:fill="auto"/>
            <w:vAlign w:val="center"/>
            <w:hideMark/>
          </w:tcPr>
          <w:p w14:paraId="0406606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auto" w:fill="auto"/>
            <w:vAlign w:val="center"/>
            <w:hideMark/>
          </w:tcPr>
          <w:p w14:paraId="03AD7EC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3" w:type="dxa"/>
            <w:tcBorders>
              <w:top w:val="nil"/>
              <w:left w:val="nil"/>
              <w:bottom w:val="single" w:sz="4" w:space="0" w:color="auto"/>
              <w:right w:val="single" w:sz="4" w:space="0" w:color="auto"/>
            </w:tcBorders>
            <w:shd w:val="clear" w:color="auto" w:fill="auto"/>
            <w:vAlign w:val="center"/>
            <w:hideMark/>
          </w:tcPr>
          <w:p w14:paraId="31E4671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auto" w:fill="auto"/>
            <w:vAlign w:val="center"/>
            <w:hideMark/>
          </w:tcPr>
          <w:p w14:paraId="2253A0F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auto" w:fill="auto"/>
            <w:vAlign w:val="center"/>
            <w:hideMark/>
          </w:tcPr>
          <w:p w14:paraId="7D52113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auto" w:fill="auto"/>
            <w:vAlign w:val="center"/>
            <w:hideMark/>
          </w:tcPr>
          <w:p w14:paraId="506C739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2" w:type="dxa"/>
            <w:tcBorders>
              <w:top w:val="nil"/>
              <w:left w:val="nil"/>
              <w:bottom w:val="single" w:sz="4" w:space="0" w:color="auto"/>
              <w:right w:val="single" w:sz="4" w:space="0" w:color="auto"/>
            </w:tcBorders>
            <w:shd w:val="clear" w:color="auto" w:fill="auto"/>
            <w:vAlign w:val="center"/>
            <w:hideMark/>
          </w:tcPr>
          <w:p w14:paraId="6B9BD35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18" w:type="dxa"/>
            <w:tcBorders>
              <w:top w:val="nil"/>
              <w:left w:val="nil"/>
              <w:bottom w:val="single" w:sz="4" w:space="0" w:color="auto"/>
              <w:right w:val="single" w:sz="4" w:space="0" w:color="auto"/>
            </w:tcBorders>
            <w:shd w:val="clear" w:color="auto" w:fill="auto"/>
            <w:vAlign w:val="center"/>
            <w:hideMark/>
          </w:tcPr>
          <w:p w14:paraId="54081FE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23" w:type="dxa"/>
            <w:vMerge/>
            <w:tcBorders>
              <w:top w:val="single" w:sz="4" w:space="0" w:color="auto"/>
              <w:left w:val="single" w:sz="4" w:space="0" w:color="auto"/>
              <w:bottom w:val="single" w:sz="4" w:space="0" w:color="000000"/>
              <w:right w:val="single" w:sz="4" w:space="0" w:color="auto"/>
            </w:tcBorders>
            <w:vAlign w:val="center"/>
            <w:hideMark/>
          </w:tcPr>
          <w:p w14:paraId="56BDA73B"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6CF00DFD" w14:textId="77777777" w:rsidTr="00B819FC">
        <w:trPr>
          <w:trHeight w:val="20"/>
          <w:tblHeader/>
        </w:trPr>
        <w:tc>
          <w:tcPr>
            <w:tcW w:w="896" w:type="dxa"/>
            <w:vMerge/>
            <w:tcBorders>
              <w:top w:val="single" w:sz="4" w:space="0" w:color="auto"/>
              <w:left w:val="single" w:sz="4" w:space="0" w:color="auto"/>
              <w:bottom w:val="single" w:sz="4" w:space="0" w:color="auto"/>
              <w:right w:val="single" w:sz="4" w:space="0" w:color="auto"/>
            </w:tcBorders>
            <w:vAlign w:val="center"/>
            <w:hideMark/>
          </w:tcPr>
          <w:p w14:paraId="62B3D820" w14:textId="77777777" w:rsidR="004154AB" w:rsidRPr="004154AB" w:rsidRDefault="004154AB" w:rsidP="004154AB">
            <w:pPr>
              <w:rPr>
                <w:rFonts w:ascii="Arial" w:eastAsia="Times New Roman" w:hAnsi="Arial" w:cs="Arial"/>
                <w:b/>
                <w:bCs/>
                <w:color w:val="000000"/>
                <w:sz w:val="14"/>
                <w:szCs w:val="14"/>
                <w:lang w:val="cs-CZ" w:eastAsia="cs-CZ"/>
              </w:rPr>
            </w:pPr>
          </w:p>
        </w:tc>
        <w:tc>
          <w:tcPr>
            <w:tcW w:w="3241" w:type="dxa"/>
            <w:vMerge/>
            <w:tcBorders>
              <w:top w:val="single" w:sz="4" w:space="0" w:color="auto"/>
              <w:left w:val="single" w:sz="4" w:space="0" w:color="auto"/>
              <w:bottom w:val="single" w:sz="4" w:space="0" w:color="auto"/>
              <w:right w:val="single" w:sz="4" w:space="0" w:color="auto"/>
            </w:tcBorders>
            <w:vAlign w:val="center"/>
            <w:hideMark/>
          </w:tcPr>
          <w:p w14:paraId="28773152" w14:textId="77777777" w:rsidR="004154AB" w:rsidRPr="004154AB" w:rsidRDefault="004154AB" w:rsidP="004154AB">
            <w:pPr>
              <w:rPr>
                <w:rFonts w:ascii="Arial" w:eastAsia="Times New Roman" w:hAnsi="Arial" w:cs="Arial"/>
                <w:b/>
                <w:bCs/>
                <w:color w:val="000000"/>
                <w:sz w:val="14"/>
                <w:szCs w:val="14"/>
                <w:lang w:val="cs-CZ" w:eastAsia="cs-CZ"/>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14:paraId="7FABEDA1" w14:textId="77777777" w:rsidR="004154AB" w:rsidRPr="004154AB" w:rsidRDefault="004154AB" w:rsidP="004154AB">
            <w:pPr>
              <w:rPr>
                <w:rFonts w:ascii="Arial" w:eastAsia="Times New Roman" w:hAnsi="Arial" w:cs="Arial"/>
                <w:b/>
                <w:bCs/>
                <w:color w:val="000000"/>
                <w:sz w:val="14"/>
                <w:szCs w:val="14"/>
                <w:lang w:val="cs-CZ" w:eastAsia="cs-CZ"/>
              </w:rPr>
            </w:pPr>
          </w:p>
        </w:tc>
        <w:tc>
          <w:tcPr>
            <w:tcW w:w="841" w:type="dxa"/>
            <w:vMerge/>
            <w:tcBorders>
              <w:top w:val="single" w:sz="4" w:space="0" w:color="auto"/>
              <w:left w:val="single" w:sz="4" w:space="0" w:color="auto"/>
              <w:bottom w:val="single" w:sz="4" w:space="0" w:color="000000"/>
              <w:right w:val="single" w:sz="4" w:space="0" w:color="auto"/>
            </w:tcBorders>
            <w:vAlign w:val="center"/>
            <w:hideMark/>
          </w:tcPr>
          <w:p w14:paraId="01C82756" w14:textId="77777777" w:rsidR="004154AB" w:rsidRPr="004154AB" w:rsidRDefault="004154AB" w:rsidP="004154AB">
            <w:pPr>
              <w:rPr>
                <w:rFonts w:ascii="Arial" w:eastAsia="Times New Roman" w:hAnsi="Arial" w:cs="Arial"/>
                <w:b/>
                <w:bCs/>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7699CCC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auto" w:fill="auto"/>
            <w:vAlign w:val="center"/>
            <w:hideMark/>
          </w:tcPr>
          <w:p w14:paraId="0552EE6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auto" w:fill="auto"/>
            <w:vAlign w:val="center"/>
            <w:hideMark/>
          </w:tcPr>
          <w:p w14:paraId="598FCD3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auto" w:fill="auto"/>
            <w:vAlign w:val="center"/>
            <w:hideMark/>
          </w:tcPr>
          <w:p w14:paraId="7CC17A5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auto" w:fill="auto"/>
            <w:vAlign w:val="center"/>
            <w:hideMark/>
          </w:tcPr>
          <w:p w14:paraId="258066D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3" w:type="dxa"/>
            <w:tcBorders>
              <w:top w:val="nil"/>
              <w:left w:val="nil"/>
              <w:bottom w:val="single" w:sz="4" w:space="0" w:color="auto"/>
              <w:right w:val="single" w:sz="4" w:space="0" w:color="auto"/>
            </w:tcBorders>
            <w:shd w:val="clear" w:color="auto" w:fill="auto"/>
            <w:vAlign w:val="center"/>
            <w:hideMark/>
          </w:tcPr>
          <w:p w14:paraId="49F6990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auto" w:fill="auto"/>
            <w:vAlign w:val="center"/>
            <w:hideMark/>
          </w:tcPr>
          <w:p w14:paraId="1459879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auto" w:fill="auto"/>
            <w:vAlign w:val="center"/>
            <w:hideMark/>
          </w:tcPr>
          <w:p w14:paraId="49B3BB3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auto" w:fill="auto"/>
            <w:vAlign w:val="center"/>
            <w:hideMark/>
          </w:tcPr>
          <w:p w14:paraId="0F21330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2" w:type="dxa"/>
            <w:tcBorders>
              <w:top w:val="nil"/>
              <w:left w:val="nil"/>
              <w:bottom w:val="single" w:sz="4" w:space="0" w:color="auto"/>
              <w:right w:val="single" w:sz="4" w:space="0" w:color="auto"/>
            </w:tcBorders>
            <w:shd w:val="clear" w:color="auto" w:fill="auto"/>
            <w:vAlign w:val="center"/>
            <w:hideMark/>
          </w:tcPr>
          <w:p w14:paraId="07AE459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18" w:type="dxa"/>
            <w:tcBorders>
              <w:top w:val="nil"/>
              <w:left w:val="nil"/>
              <w:bottom w:val="single" w:sz="4" w:space="0" w:color="auto"/>
              <w:right w:val="single" w:sz="4" w:space="0" w:color="auto"/>
            </w:tcBorders>
            <w:shd w:val="clear" w:color="auto" w:fill="auto"/>
            <w:vAlign w:val="center"/>
            <w:hideMark/>
          </w:tcPr>
          <w:p w14:paraId="43AF98D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23" w:type="dxa"/>
            <w:vMerge/>
            <w:tcBorders>
              <w:top w:val="single" w:sz="4" w:space="0" w:color="auto"/>
              <w:left w:val="single" w:sz="4" w:space="0" w:color="auto"/>
              <w:bottom w:val="single" w:sz="4" w:space="0" w:color="000000"/>
              <w:right w:val="single" w:sz="4" w:space="0" w:color="auto"/>
            </w:tcBorders>
            <w:vAlign w:val="center"/>
            <w:hideMark/>
          </w:tcPr>
          <w:p w14:paraId="4287C07B"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0EF5671F"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5055A4E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60100/CO01</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00A45E2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Nezaměstnaní účastníci, včetně dlouhodobě nezaměstnaných</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3CBDD4E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599D01E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181 894,000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775FB0E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2D122C3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150 925,000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2D3615F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82,974</w:t>
            </w:r>
          </w:p>
        </w:tc>
      </w:tr>
      <w:tr w:rsidR="004154AB" w:rsidRPr="004154AB" w14:paraId="5A7E4872"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7781C130"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47DD3FBB"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0DE2B4FD"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4D460F66"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13C98C7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361E14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5 817,000</w:t>
            </w:r>
          </w:p>
        </w:tc>
        <w:tc>
          <w:tcPr>
            <w:tcW w:w="803" w:type="dxa"/>
            <w:tcBorders>
              <w:top w:val="nil"/>
              <w:left w:val="nil"/>
              <w:bottom w:val="single" w:sz="4" w:space="0" w:color="auto"/>
              <w:right w:val="single" w:sz="4" w:space="0" w:color="auto"/>
            </w:tcBorders>
            <w:shd w:val="clear" w:color="auto" w:fill="auto"/>
            <w:vAlign w:val="center"/>
            <w:hideMark/>
          </w:tcPr>
          <w:p w14:paraId="3AF8307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261,000</w:t>
            </w:r>
          </w:p>
        </w:tc>
        <w:tc>
          <w:tcPr>
            <w:tcW w:w="803" w:type="dxa"/>
            <w:tcBorders>
              <w:top w:val="nil"/>
              <w:left w:val="nil"/>
              <w:bottom w:val="single" w:sz="4" w:space="0" w:color="auto"/>
              <w:right w:val="single" w:sz="4" w:space="0" w:color="auto"/>
            </w:tcBorders>
            <w:shd w:val="clear" w:color="auto" w:fill="auto"/>
            <w:vAlign w:val="center"/>
            <w:hideMark/>
          </w:tcPr>
          <w:p w14:paraId="5E67978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17 290,000</w:t>
            </w:r>
          </w:p>
        </w:tc>
        <w:tc>
          <w:tcPr>
            <w:tcW w:w="803" w:type="dxa"/>
            <w:tcBorders>
              <w:top w:val="nil"/>
              <w:left w:val="nil"/>
              <w:bottom w:val="single" w:sz="4" w:space="0" w:color="auto"/>
              <w:right w:val="single" w:sz="4" w:space="0" w:color="auto"/>
            </w:tcBorders>
            <w:shd w:val="clear" w:color="auto" w:fill="auto"/>
            <w:vAlign w:val="center"/>
            <w:hideMark/>
          </w:tcPr>
          <w:p w14:paraId="472CD1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29 359,000</w:t>
            </w:r>
          </w:p>
        </w:tc>
        <w:tc>
          <w:tcPr>
            <w:tcW w:w="803" w:type="dxa"/>
            <w:tcBorders>
              <w:top w:val="nil"/>
              <w:left w:val="nil"/>
              <w:bottom w:val="single" w:sz="4" w:space="0" w:color="auto"/>
              <w:right w:val="single" w:sz="4" w:space="0" w:color="auto"/>
            </w:tcBorders>
            <w:shd w:val="clear" w:color="auto" w:fill="auto"/>
            <w:vAlign w:val="center"/>
            <w:hideMark/>
          </w:tcPr>
          <w:p w14:paraId="1D60F7C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12 419,000</w:t>
            </w:r>
          </w:p>
        </w:tc>
        <w:tc>
          <w:tcPr>
            <w:tcW w:w="802" w:type="dxa"/>
            <w:tcBorders>
              <w:top w:val="nil"/>
              <w:left w:val="nil"/>
              <w:bottom w:val="single" w:sz="4" w:space="0" w:color="auto"/>
              <w:right w:val="single" w:sz="4" w:space="0" w:color="auto"/>
            </w:tcBorders>
            <w:shd w:val="clear" w:color="auto" w:fill="auto"/>
            <w:vAlign w:val="center"/>
            <w:hideMark/>
          </w:tcPr>
          <w:p w14:paraId="2C0F282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C8407E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02F26E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BF4D99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3B4C55F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65 146,000</w:t>
            </w:r>
          </w:p>
        </w:tc>
        <w:tc>
          <w:tcPr>
            <w:tcW w:w="823" w:type="dxa"/>
            <w:vMerge/>
            <w:tcBorders>
              <w:top w:val="nil"/>
              <w:left w:val="single" w:sz="4" w:space="0" w:color="auto"/>
              <w:bottom w:val="single" w:sz="4" w:space="0" w:color="000000"/>
              <w:right w:val="single" w:sz="4" w:space="0" w:color="auto"/>
            </w:tcBorders>
            <w:vAlign w:val="center"/>
            <w:hideMark/>
          </w:tcPr>
          <w:p w14:paraId="7A8BA678"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D35DE9A"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39AE2B2F"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69BB87E2"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A58D2D3"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1C9CCDCF"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469039E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260ABD4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7 417,000</w:t>
            </w:r>
          </w:p>
        </w:tc>
        <w:tc>
          <w:tcPr>
            <w:tcW w:w="803" w:type="dxa"/>
            <w:tcBorders>
              <w:top w:val="nil"/>
              <w:left w:val="nil"/>
              <w:bottom w:val="single" w:sz="4" w:space="0" w:color="auto"/>
              <w:right w:val="single" w:sz="4" w:space="0" w:color="auto"/>
            </w:tcBorders>
            <w:shd w:val="clear" w:color="auto" w:fill="auto"/>
            <w:vAlign w:val="center"/>
            <w:hideMark/>
          </w:tcPr>
          <w:p w14:paraId="050CC6A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291,000</w:t>
            </w:r>
          </w:p>
        </w:tc>
        <w:tc>
          <w:tcPr>
            <w:tcW w:w="803" w:type="dxa"/>
            <w:tcBorders>
              <w:top w:val="nil"/>
              <w:left w:val="nil"/>
              <w:bottom w:val="single" w:sz="4" w:space="0" w:color="auto"/>
              <w:right w:val="single" w:sz="4" w:space="0" w:color="auto"/>
            </w:tcBorders>
            <w:shd w:val="clear" w:color="auto" w:fill="auto"/>
            <w:vAlign w:val="center"/>
            <w:hideMark/>
          </w:tcPr>
          <w:p w14:paraId="562ED24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19 641,000</w:t>
            </w:r>
          </w:p>
        </w:tc>
        <w:tc>
          <w:tcPr>
            <w:tcW w:w="803" w:type="dxa"/>
            <w:tcBorders>
              <w:top w:val="nil"/>
              <w:left w:val="nil"/>
              <w:bottom w:val="single" w:sz="4" w:space="0" w:color="auto"/>
              <w:right w:val="single" w:sz="4" w:space="0" w:color="auto"/>
            </w:tcBorders>
            <w:shd w:val="clear" w:color="auto" w:fill="auto"/>
            <w:vAlign w:val="center"/>
            <w:hideMark/>
          </w:tcPr>
          <w:p w14:paraId="5D46028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39 393,000</w:t>
            </w:r>
          </w:p>
        </w:tc>
        <w:tc>
          <w:tcPr>
            <w:tcW w:w="803" w:type="dxa"/>
            <w:tcBorders>
              <w:top w:val="nil"/>
              <w:left w:val="nil"/>
              <w:bottom w:val="single" w:sz="4" w:space="0" w:color="auto"/>
              <w:right w:val="single" w:sz="4" w:space="0" w:color="auto"/>
            </w:tcBorders>
            <w:shd w:val="clear" w:color="auto" w:fill="auto"/>
            <w:vAlign w:val="center"/>
            <w:hideMark/>
          </w:tcPr>
          <w:p w14:paraId="61DBBDD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19 037,000</w:t>
            </w:r>
          </w:p>
        </w:tc>
        <w:tc>
          <w:tcPr>
            <w:tcW w:w="802" w:type="dxa"/>
            <w:tcBorders>
              <w:top w:val="nil"/>
              <w:left w:val="nil"/>
              <w:bottom w:val="single" w:sz="4" w:space="0" w:color="auto"/>
              <w:right w:val="single" w:sz="4" w:space="0" w:color="auto"/>
            </w:tcBorders>
            <w:shd w:val="clear" w:color="auto" w:fill="auto"/>
            <w:vAlign w:val="center"/>
            <w:hideMark/>
          </w:tcPr>
          <w:p w14:paraId="461003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F54F12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8B3B7F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1A62A8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2EBA005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85 779,000</w:t>
            </w:r>
          </w:p>
        </w:tc>
        <w:tc>
          <w:tcPr>
            <w:tcW w:w="823" w:type="dxa"/>
            <w:vMerge/>
            <w:tcBorders>
              <w:top w:val="nil"/>
              <w:left w:val="single" w:sz="4" w:space="0" w:color="auto"/>
              <w:bottom w:val="single" w:sz="4" w:space="0" w:color="000000"/>
              <w:right w:val="single" w:sz="4" w:space="0" w:color="auto"/>
            </w:tcBorders>
            <w:vAlign w:val="center"/>
            <w:hideMark/>
          </w:tcPr>
          <w:p w14:paraId="30ABE325"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F0EE171"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26A9A3D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60100/CO01</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54FE7C0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Nezaměstnaní účastníci, včetně dlouhodobě nezaměstnaných</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41E87F4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0F6831E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8 750,000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2B4FDDC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31FB501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9 695,000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113B67E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110,800</w:t>
            </w:r>
          </w:p>
        </w:tc>
      </w:tr>
      <w:tr w:rsidR="004154AB" w:rsidRPr="004154AB" w14:paraId="680342E8"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68EB6691"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29CAC38F"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62BD1A97"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0BB2044D"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475BB19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23B91A3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469,000</w:t>
            </w:r>
          </w:p>
        </w:tc>
        <w:tc>
          <w:tcPr>
            <w:tcW w:w="803" w:type="dxa"/>
            <w:tcBorders>
              <w:top w:val="nil"/>
              <w:left w:val="nil"/>
              <w:bottom w:val="single" w:sz="4" w:space="0" w:color="auto"/>
              <w:right w:val="single" w:sz="4" w:space="0" w:color="auto"/>
            </w:tcBorders>
            <w:shd w:val="clear" w:color="auto" w:fill="auto"/>
            <w:vAlign w:val="center"/>
            <w:hideMark/>
          </w:tcPr>
          <w:p w14:paraId="0F2E9AF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09FB2B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1 290,000</w:t>
            </w:r>
          </w:p>
        </w:tc>
        <w:tc>
          <w:tcPr>
            <w:tcW w:w="803" w:type="dxa"/>
            <w:tcBorders>
              <w:top w:val="nil"/>
              <w:left w:val="nil"/>
              <w:bottom w:val="single" w:sz="4" w:space="0" w:color="auto"/>
              <w:right w:val="single" w:sz="4" w:space="0" w:color="auto"/>
            </w:tcBorders>
            <w:shd w:val="clear" w:color="auto" w:fill="auto"/>
            <w:vAlign w:val="center"/>
            <w:hideMark/>
          </w:tcPr>
          <w:p w14:paraId="03B7215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1 952,000</w:t>
            </w:r>
          </w:p>
        </w:tc>
        <w:tc>
          <w:tcPr>
            <w:tcW w:w="803" w:type="dxa"/>
            <w:tcBorders>
              <w:top w:val="nil"/>
              <w:left w:val="nil"/>
              <w:bottom w:val="single" w:sz="4" w:space="0" w:color="auto"/>
              <w:right w:val="single" w:sz="4" w:space="0" w:color="auto"/>
            </w:tcBorders>
            <w:shd w:val="clear" w:color="auto" w:fill="auto"/>
            <w:vAlign w:val="center"/>
            <w:hideMark/>
          </w:tcPr>
          <w:p w14:paraId="2386364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715,000</w:t>
            </w:r>
          </w:p>
        </w:tc>
        <w:tc>
          <w:tcPr>
            <w:tcW w:w="802" w:type="dxa"/>
            <w:tcBorders>
              <w:top w:val="nil"/>
              <w:left w:val="nil"/>
              <w:bottom w:val="single" w:sz="4" w:space="0" w:color="auto"/>
              <w:right w:val="single" w:sz="4" w:space="0" w:color="auto"/>
            </w:tcBorders>
            <w:shd w:val="clear" w:color="auto" w:fill="auto"/>
            <w:vAlign w:val="center"/>
            <w:hideMark/>
          </w:tcPr>
          <w:p w14:paraId="6EDD4CC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AD792B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B23317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02E9A8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66EAC1F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4 426,000</w:t>
            </w:r>
          </w:p>
        </w:tc>
        <w:tc>
          <w:tcPr>
            <w:tcW w:w="823" w:type="dxa"/>
            <w:vMerge/>
            <w:tcBorders>
              <w:top w:val="nil"/>
              <w:left w:val="single" w:sz="4" w:space="0" w:color="auto"/>
              <w:bottom w:val="single" w:sz="4" w:space="0" w:color="000000"/>
              <w:right w:val="single" w:sz="4" w:space="0" w:color="auto"/>
            </w:tcBorders>
            <w:vAlign w:val="center"/>
            <w:hideMark/>
          </w:tcPr>
          <w:p w14:paraId="571F54C1"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3887C90"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602AB378"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6133DFBA"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E1ADA4F"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0735C638"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35020AB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2A60F28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598,000</w:t>
            </w:r>
          </w:p>
        </w:tc>
        <w:tc>
          <w:tcPr>
            <w:tcW w:w="803" w:type="dxa"/>
            <w:tcBorders>
              <w:top w:val="nil"/>
              <w:left w:val="nil"/>
              <w:bottom w:val="single" w:sz="4" w:space="0" w:color="auto"/>
              <w:right w:val="single" w:sz="4" w:space="0" w:color="auto"/>
            </w:tcBorders>
            <w:shd w:val="clear" w:color="auto" w:fill="auto"/>
            <w:vAlign w:val="center"/>
            <w:hideMark/>
          </w:tcPr>
          <w:p w14:paraId="64460BA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6E39C5E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1 403,000</w:t>
            </w:r>
          </w:p>
        </w:tc>
        <w:tc>
          <w:tcPr>
            <w:tcW w:w="803" w:type="dxa"/>
            <w:tcBorders>
              <w:top w:val="nil"/>
              <w:left w:val="nil"/>
              <w:bottom w:val="single" w:sz="4" w:space="0" w:color="auto"/>
              <w:right w:val="single" w:sz="4" w:space="0" w:color="auto"/>
            </w:tcBorders>
            <w:shd w:val="clear" w:color="auto" w:fill="auto"/>
            <w:vAlign w:val="center"/>
            <w:hideMark/>
          </w:tcPr>
          <w:p w14:paraId="39693C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2 346,000</w:t>
            </w:r>
          </w:p>
        </w:tc>
        <w:tc>
          <w:tcPr>
            <w:tcW w:w="803" w:type="dxa"/>
            <w:tcBorders>
              <w:top w:val="nil"/>
              <w:left w:val="nil"/>
              <w:bottom w:val="single" w:sz="4" w:space="0" w:color="auto"/>
              <w:right w:val="single" w:sz="4" w:space="0" w:color="auto"/>
            </w:tcBorders>
            <w:shd w:val="clear" w:color="auto" w:fill="auto"/>
            <w:vAlign w:val="center"/>
            <w:hideMark/>
          </w:tcPr>
          <w:p w14:paraId="15348D5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922,000</w:t>
            </w:r>
          </w:p>
        </w:tc>
        <w:tc>
          <w:tcPr>
            <w:tcW w:w="802" w:type="dxa"/>
            <w:tcBorders>
              <w:top w:val="nil"/>
              <w:left w:val="nil"/>
              <w:bottom w:val="single" w:sz="4" w:space="0" w:color="auto"/>
              <w:right w:val="single" w:sz="4" w:space="0" w:color="auto"/>
            </w:tcBorders>
            <w:shd w:val="clear" w:color="auto" w:fill="auto"/>
            <w:vAlign w:val="center"/>
            <w:hideMark/>
          </w:tcPr>
          <w:p w14:paraId="1C1F03C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CE15DA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CD1F65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DE4C71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0CB79D5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5 269,000</w:t>
            </w:r>
          </w:p>
        </w:tc>
        <w:tc>
          <w:tcPr>
            <w:tcW w:w="823" w:type="dxa"/>
            <w:vMerge/>
            <w:tcBorders>
              <w:top w:val="nil"/>
              <w:left w:val="single" w:sz="4" w:space="0" w:color="auto"/>
              <w:bottom w:val="single" w:sz="4" w:space="0" w:color="000000"/>
              <w:right w:val="single" w:sz="4" w:space="0" w:color="auto"/>
            </w:tcBorders>
            <w:vAlign w:val="center"/>
            <w:hideMark/>
          </w:tcPr>
          <w:p w14:paraId="7B1D0652"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1D3B6BA"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461F750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60300/CO03</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3FDA84A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Neaktivní účastníci</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3D1F1FE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6E18C89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5 245,000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47D3847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188CE9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6 103,000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70E87B6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116,358</w:t>
            </w:r>
          </w:p>
        </w:tc>
      </w:tr>
      <w:tr w:rsidR="004154AB" w:rsidRPr="004154AB" w14:paraId="582FE512"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5215C4FA"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283288A2"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35B07237"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4D1A66C5"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08E575A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65DF32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803" w:type="dxa"/>
            <w:tcBorders>
              <w:top w:val="nil"/>
              <w:left w:val="nil"/>
              <w:bottom w:val="single" w:sz="4" w:space="0" w:color="auto"/>
              <w:right w:val="single" w:sz="4" w:space="0" w:color="auto"/>
            </w:tcBorders>
            <w:shd w:val="clear" w:color="auto" w:fill="auto"/>
            <w:vAlign w:val="center"/>
            <w:hideMark/>
          </w:tcPr>
          <w:p w14:paraId="3E96BB8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37A414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423,000</w:t>
            </w:r>
          </w:p>
        </w:tc>
        <w:tc>
          <w:tcPr>
            <w:tcW w:w="803" w:type="dxa"/>
            <w:tcBorders>
              <w:top w:val="nil"/>
              <w:left w:val="nil"/>
              <w:bottom w:val="single" w:sz="4" w:space="0" w:color="auto"/>
              <w:right w:val="single" w:sz="4" w:space="0" w:color="auto"/>
            </w:tcBorders>
            <w:shd w:val="clear" w:color="auto" w:fill="auto"/>
            <w:vAlign w:val="center"/>
            <w:hideMark/>
          </w:tcPr>
          <w:p w14:paraId="2CC4033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1 199,000</w:t>
            </w:r>
          </w:p>
        </w:tc>
        <w:tc>
          <w:tcPr>
            <w:tcW w:w="803" w:type="dxa"/>
            <w:tcBorders>
              <w:top w:val="nil"/>
              <w:left w:val="nil"/>
              <w:bottom w:val="single" w:sz="4" w:space="0" w:color="auto"/>
              <w:right w:val="single" w:sz="4" w:space="0" w:color="auto"/>
            </w:tcBorders>
            <w:shd w:val="clear" w:color="auto" w:fill="auto"/>
            <w:vAlign w:val="center"/>
            <w:hideMark/>
          </w:tcPr>
          <w:p w14:paraId="76BB5DF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974,000</w:t>
            </w:r>
          </w:p>
        </w:tc>
        <w:tc>
          <w:tcPr>
            <w:tcW w:w="802" w:type="dxa"/>
            <w:tcBorders>
              <w:top w:val="nil"/>
              <w:left w:val="nil"/>
              <w:bottom w:val="single" w:sz="4" w:space="0" w:color="auto"/>
              <w:right w:val="single" w:sz="4" w:space="0" w:color="auto"/>
            </w:tcBorders>
            <w:shd w:val="clear" w:color="auto" w:fill="auto"/>
            <w:vAlign w:val="center"/>
            <w:hideMark/>
          </w:tcPr>
          <w:p w14:paraId="0D11C86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E418C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3B9F07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F4AC6C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72B931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2 597,000</w:t>
            </w:r>
          </w:p>
        </w:tc>
        <w:tc>
          <w:tcPr>
            <w:tcW w:w="823" w:type="dxa"/>
            <w:vMerge/>
            <w:tcBorders>
              <w:top w:val="nil"/>
              <w:left w:val="single" w:sz="4" w:space="0" w:color="auto"/>
              <w:bottom w:val="single" w:sz="4" w:space="0" w:color="000000"/>
              <w:right w:val="single" w:sz="4" w:space="0" w:color="auto"/>
            </w:tcBorders>
            <w:vAlign w:val="center"/>
            <w:hideMark/>
          </w:tcPr>
          <w:p w14:paraId="459DF795"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3E61DDC0"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4073CA7E"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352C0D47"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76063DE6"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688189FA"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4C972B8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5E6E204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2,000</w:t>
            </w:r>
          </w:p>
        </w:tc>
        <w:tc>
          <w:tcPr>
            <w:tcW w:w="803" w:type="dxa"/>
            <w:tcBorders>
              <w:top w:val="nil"/>
              <w:left w:val="nil"/>
              <w:bottom w:val="single" w:sz="4" w:space="0" w:color="auto"/>
              <w:right w:val="single" w:sz="4" w:space="0" w:color="auto"/>
            </w:tcBorders>
            <w:shd w:val="clear" w:color="auto" w:fill="auto"/>
            <w:vAlign w:val="center"/>
            <w:hideMark/>
          </w:tcPr>
          <w:p w14:paraId="41DA1BA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67632B1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719,000</w:t>
            </w:r>
          </w:p>
        </w:tc>
        <w:tc>
          <w:tcPr>
            <w:tcW w:w="803" w:type="dxa"/>
            <w:tcBorders>
              <w:top w:val="nil"/>
              <w:left w:val="nil"/>
              <w:bottom w:val="single" w:sz="4" w:space="0" w:color="auto"/>
              <w:right w:val="single" w:sz="4" w:space="0" w:color="auto"/>
            </w:tcBorders>
            <w:shd w:val="clear" w:color="auto" w:fill="auto"/>
            <w:vAlign w:val="center"/>
            <w:hideMark/>
          </w:tcPr>
          <w:p w14:paraId="6279A46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1 520,000</w:t>
            </w:r>
          </w:p>
        </w:tc>
        <w:tc>
          <w:tcPr>
            <w:tcW w:w="803" w:type="dxa"/>
            <w:tcBorders>
              <w:top w:val="nil"/>
              <w:left w:val="nil"/>
              <w:bottom w:val="single" w:sz="4" w:space="0" w:color="auto"/>
              <w:right w:val="single" w:sz="4" w:space="0" w:color="auto"/>
            </w:tcBorders>
            <w:shd w:val="clear" w:color="auto" w:fill="auto"/>
            <w:vAlign w:val="center"/>
            <w:hideMark/>
          </w:tcPr>
          <w:p w14:paraId="6FA56F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1 265,000</w:t>
            </w:r>
          </w:p>
        </w:tc>
        <w:tc>
          <w:tcPr>
            <w:tcW w:w="802" w:type="dxa"/>
            <w:tcBorders>
              <w:top w:val="nil"/>
              <w:left w:val="nil"/>
              <w:bottom w:val="single" w:sz="4" w:space="0" w:color="auto"/>
              <w:right w:val="single" w:sz="4" w:space="0" w:color="auto"/>
            </w:tcBorders>
            <w:shd w:val="clear" w:color="auto" w:fill="auto"/>
            <w:vAlign w:val="center"/>
            <w:hideMark/>
          </w:tcPr>
          <w:p w14:paraId="38A5A2D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56558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C0FF88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BBEE4E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15606E2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3 506,000</w:t>
            </w:r>
          </w:p>
        </w:tc>
        <w:tc>
          <w:tcPr>
            <w:tcW w:w="823" w:type="dxa"/>
            <w:vMerge/>
            <w:tcBorders>
              <w:top w:val="nil"/>
              <w:left w:val="single" w:sz="4" w:space="0" w:color="auto"/>
              <w:bottom w:val="single" w:sz="4" w:space="0" w:color="000000"/>
              <w:right w:val="single" w:sz="4" w:space="0" w:color="auto"/>
            </w:tcBorders>
            <w:vAlign w:val="center"/>
            <w:hideMark/>
          </w:tcPr>
          <w:p w14:paraId="2F6E87F0"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99C5295"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4B84E73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60300/CO03</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44A7FCD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Neaktivní účastníci</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7B9C346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32931AE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262,000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507BCE7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38AD383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172,000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6852BFF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65,649</w:t>
            </w:r>
          </w:p>
        </w:tc>
      </w:tr>
      <w:tr w:rsidR="004154AB" w:rsidRPr="004154AB" w14:paraId="530E1225"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0D18F9C5"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1232B3AA"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3E2343F8"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69F3584F"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378FB90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1FB9EB5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3A86C32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5EFA42E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17,000</w:t>
            </w:r>
          </w:p>
        </w:tc>
        <w:tc>
          <w:tcPr>
            <w:tcW w:w="803" w:type="dxa"/>
            <w:tcBorders>
              <w:top w:val="nil"/>
              <w:left w:val="nil"/>
              <w:bottom w:val="single" w:sz="4" w:space="0" w:color="auto"/>
              <w:right w:val="single" w:sz="4" w:space="0" w:color="auto"/>
            </w:tcBorders>
            <w:shd w:val="clear" w:color="auto" w:fill="auto"/>
            <w:vAlign w:val="center"/>
            <w:hideMark/>
          </w:tcPr>
          <w:p w14:paraId="41E5828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20,000</w:t>
            </w:r>
          </w:p>
        </w:tc>
        <w:tc>
          <w:tcPr>
            <w:tcW w:w="803" w:type="dxa"/>
            <w:tcBorders>
              <w:top w:val="nil"/>
              <w:left w:val="nil"/>
              <w:bottom w:val="single" w:sz="4" w:space="0" w:color="auto"/>
              <w:right w:val="single" w:sz="4" w:space="0" w:color="auto"/>
            </w:tcBorders>
            <w:shd w:val="clear" w:color="auto" w:fill="auto"/>
            <w:vAlign w:val="center"/>
            <w:hideMark/>
          </w:tcPr>
          <w:p w14:paraId="1CCDD42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9,000</w:t>
            </w:r>
          </w:p>
        </w:tc>
        <w:tc>
          <w:tcPr>
            <w:tcW w:w="802" w:type="dxa"/>
            <w:tcBorders>
              <w:top w:val="nil"/>
              <w:left w:val="nil"/>
              <w:bottom w:val="single" w:sz="4" w:space="0" w:color="auto"/>
              <w:right w:val="single" w:sz="4" w:space="0" w:color="auto"/>
            </w:tcBorders>
            <w:shd w:val="clear" w:color="auto" w:fill="auto"/>
            <w:vAlign w:val="center"/>
            <w:hideMark/>
          </w:tcPr>
          <w:p w14:paraId="1F51BFB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E3431D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367AEB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BA748A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6B9AE6C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46,000</w:t>
            </w:r>
          </w:p>
        </w:tc>
        <w:tc>
          <w:tcPr>
            <w:tcW w:w="823" w:type="dxa"/>
            <w:vMerge/>
            <w:tcBorders>
              <w:top w:val="nil"/>
              <w:left w:val="single" w:sz="4" w:space="0" w:color="auto"/>
              <w:bottom w:val="single" w:sz="4" w:space="0" w:color="000000"/>
              <w:right w:val="single" w:sz="4" w:space="0" w:color="auto"/>
            </w:tcBorders>
            <w:vAlign w:val="center"/>
            <w:hideMark/>
          </w:tcPr>
          <w:p w14:paraId="3094AF19"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9F795C3"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5DDAFAE5"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34D7FAC9"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CBCB175"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4DF0B76F"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26BA06A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499EDD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6E973E3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3B3AB96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40,000</w:t>
            </w:r>
          </w:p>
        </w:tc>
        <w:tc>
          <w:tcPr>
            <w:tcW w:w="803" w:type="dxa"/>
            <w:tcBorders>
              <w:top w:val="nil"/>
              <w:left w:val="nil"/>
              <w:bottom w:val="single" w:sz="4" w:space="0" w:color="auto"/>
              <w:right w:val="single" w:sz="4" w:space="0" w:color="auto"/>
            </w:tcBorders>
            <w:shd w:val="clear" w:color="auto" w:fill="auto"/>
            <w:vAlign w:val="center"/>
            <w:hideMark/>
          </w:tcPr>
          <w:p w14:paraId="56E7237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61,000</w:t>
            </w:r>
          </w:p>
        </w:tc>
        <w:tc>
          <w:tcPr>
            <w:tcW w:w="803" w:type="dxa"/>
            <w:tcBorders>
              <w:top w:val="nil"/>
              <w:left w:val="nil"/>
              <w:bottom w:val="single" w:sz="4" w:space="0" w:color="auto"/>
              <w:right w:val="single" w:sz="4" w:space="0" w:color="auto"/>
            </w:tcBorders>
            <w:shd w:val="clear" w:color="auto" w:fill="auto"/>
            <w:vAlign w:val="center"/>
            <w:hideMark/>
          </w:tcPr>
          <w:p w14:paraId="7C47986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25,000</w:t>
            </w:r>
          </w:p>
        </w:tc>
        <w:tc>
          <w:tcPr>
            <w:tcW w:w="802" w:type="dxa"/>
            <w:tcBorders>
              <w:top w:val="nil"/>
              <w:left w:val="nil"/>
              <w:bottom w:val="single" w:sz="4" w:space="0" w:color="auto"/>
              <w:right w:val="single" w:sz="4" w:space="0" w:color="auto"/>
            </w:tcBorders>
            <w:shd w:val="clear" w:color="auto" w:fill="auto"/>
            <w:vAlign w:val="center"/>
            <w:hideMark/>
          </w:tcPr>
          <w:p w14:paraId="61AE153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E708D3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EE62D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F61F76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3C5C91C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126,000</w:t>
            </w:r>
          </w:p>
        </w:tc>
        <w:tc>
          <w:tcPr>
            <w:tcW w:w="823" w:type="dxa"/>
            <w:vMerge/>
            <w:tcBorders>
              <w:top w:val="nil"/>
              <w:left w:val="single" w:sz="4" w:space="0" w:color="auto"/>
              <w:bottom w:val="single" w:sz="4" w:space="0" w:color="000000"/>
              <w:right w:val="single" w:sz="4" w:space="0" w:color="auto"/>
            </w:tcBorders>
            <w:vAlign w:val="center"/>
            <w:hideMark/>
          </w:tcPr>
          <w:p w14:paraId="4650EF42"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4896EAD"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1A392B11"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60600/CO06</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1E35DAC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účastníci ve věku do 25 let</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1316051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4ECD26A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36 739,000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2F51C25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6E9886D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26 721,000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6C7A227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72,732</w:t>
            </w:r>
          </w:p>
        </w:tc>
      </w:tr>
      <w:tr w:rsidR="004154AB" w:rsidRPr="004154AB" w14:paraId="62E060E0"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476799EB"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6C88B99D"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445B5CB"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115C0D08"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136CAF0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4B84093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1 357,000</w:t>
            </w:r>
          </w:p>
        </w:tc>
        <w:tc>
          <w:tcPr>
            <w:tcW w:w="803" w:type="dxa"/>
            <w:tcBorders>
              <w:top w:val="nil"/>
              <w:left w:val="nil"/>
              <w:bottom w:val="single" w:sz="4" w:space="0" w:color="auto"/>
              <w:right w:val="single" w:sz="4" w:space="0" w:color="auto"/>
            </w:tcBorders>
            <w:shd w:val="clear" w:color="auto" w:fill="auto"/>
            <w:vAlign w:val="center"/>
            <w:hideMark/>
          </w:tcPr>
          <w:p w14:paraId="23637DF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103,000</w:t>
            </w:r>
          </w:p>
        </w:tc>
        <w:tc>
          <w:tcPr>
            <w:tcW w:w="803" w:type="dxa"/>
            <w:tcBorders>
              <w:top w:val="nil"/>
              <w:left w:val="nil"/>
              <w:bottom w:val="single" w:sz="4" w:space="0" w:color="auto"/>
              <w:right w:val="single" w:sz="4" w:space="0" w:color="auto"/>
            </w:tcBorders>
            <w:shd w:val="clear" w:color="auto" w:fill="auto"/>
            <w:vAlign w:val="center"/>
            <w:hideMark/>
          </w:tcPr>
          <w:p w14:paraId="3AE462E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3 898,000</w:t>
            </w:r>
          </w:p>
        </w:tc>
        <w:tc>
          <w:tcPr>
            <w:tcW w:w="803" w:type="dxa"/>
            <w:tcBorders>
              <w:top w:val="nil"/>
              <w:left w:val="nil"/>
              <w:bottom w:val="single" w:sz="4" w:space="0" w:color="auto"/>
              <w:right w:val="single" w:sz="4" w:space="0" w:color="auto"/>
            </w:tcBorders>
            <w:shd w:val="clear" w:color="auto" w:fill="auto"/>
            <w:vAlign w:val="center"/>
            <w:hideMark/>
          </w:tcPr>
          <w:p w14:paraId="66B2AFD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6 606,000</w:t>
            </w:r>
          </w:p>
        </w:tc>
        <w:tc>
          <w:tcPr>
            <w:tcW w:w="803" w:type="dxa"/>
            <w:tcBorders>
              <w:top w:val="nil"/>
              <w:left w:val="nil"/>
              <w:bottom w:val="single" w:sz="4" w:space="0" w:color="auto"/>
              <w:right w:val="single" w:sz="4" w:space="0" w:color="auto"/>
            </w:tcBorders>
            <w:shd w:val="clear" w:color="auto" w:fill="auto"/>
            <w:vAlign w:val="center"/>
            <w:hideMark/>
          </w:tcPr>
          <w:p w14:paraId="70101A2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2 328,000</w:t>
            </w:r>
          </w:p>
        </w:tc>
        <w:tc>
          <w:tcPr>
            <w:tcW w:w="802" w:type="dxa"/>
            <w:tcBorders>
              <w:top w:val="nil"/>
              <w:left w:val="nil"/>
              <w:bottom w:val="single" w:sz="4" w:space="0" w:color="auto"/>
              <w:right w:val="single" w:sz="4" w:space="0" w:color="auto"/>
            </w:tcBorders>
            <w:shd w:val="clear" w:color="auto" w:fill="auto"/>
            <w:vAlign w:val="center"/>
            <w:hideMark/>
          </w:tcPr>
          <w:p w14:paraId="34C9191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1D4AB8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6C50C8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07F1A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272EFAC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14 292,000</w:t>
            </w:r>
          </w:p>
        </w:tc>
        <w:tc>
          <w:tcPr>
            <w:tcW w:w="823" w:type="dxa"/>
            <w:vMerge/>
            <w:tcBorders>
              <w:top w:val="nil"/>
              <w:left w:val="single" w:sz="4" w:space="0" w:color="auto"/>
              <w:bottom w:val="single" w:sz="4" w:space="0" w:color="000000"/>
              <w:right w:val="single" w:sz="4" w:space="0" w:color="auto"/>
            </w:tcBorders>
            <w:vAlign w:val="center"/>
            <w:hideMark/>
          </w:tcPr>
          <w:p w14:paraId="5058346F"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AFFA087"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54F14BBD"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47F36DBF"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60C61B4A"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2B11DD18"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675BBB2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4528CF4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1 264,000</w:t>
            </w:r>
          </w:p>
        </w:tc>
        <w:tc>
          <w:tcPr>
            <w:tcW w:w="803" w:type="dxa"/>
            <w:tcBorders>
              <w:top w:val="nil"/>
              <w:left w:val="nil"/>
              <w:bottom w:val="single" w:sz="4" w:space="0" w:color="auto"/>
              <w:right w:val="single" w:sz="4" w:space="0" w:color="auto"/>
            </w:tcBorders>
            <w:shd w:val="clear" w:color="auto" w:fill="auto"/>
            <w:vAlign w:val="center"/>
            <w:hideMark/>
          </w:tcPr>
          <w:p w14:paraId="49A451B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88,000</w:t>
            </w:r>
          </w:p>
        </w:tc>
        <w:tc>
          <w:tcPr>
            <w:tcW w:w="803" w:type="dxa"/>
            <w:tcBorders>
              <w:top w:val="nil"/>
              <w:left w:val="nil"/>
              <w:bottom w:val="single" w:sz="4" w:space="0" w:color="auto"/>
              <w:right w:val="single" w:sz="4" w:space="0" w:color="auto"/>
            </w:tcBorders>
            <w:shd w:val="clear" w:color="auto" w:fill="auto"/>
            <w:vAlign w:val="center"/>
            <w:hideMark/>
          </w:tcPr>
          <w:p w14:paraId="3FDF0C6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2 632,000</w:t>
            </w:r>
          </w:p>
        </w:tc>
        <w:tc>
          <w:tcPr>
            <w:tcW w:w="803" w:type="dxa"/>
            <w:tcBorders>
              <w:top w:val="nil"/>
              <w:left w:val="nil"/>
              <w:bottom w:val="single" w:sz="4" w:space="0" w:color="auto"/>
              <w:right w:val="single" w:sz="4" w:space="0" w:color="auto"/>
            </w:tcBorders>
            <w:shd w:val="clear" w:color="auto" w:fill="auto"/>
            <w:vAlign w:val="center"/>
            <w:hideMark/>
          </w:tcPr>
          <w:p w14:paraId="6AEAC29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6 122,000</w:t>
            </w:r>
          </w:p>
        </w:tc>
        <w:tc>
          <w:tcPr>
            <w:tcW w:w="803" w:type="dxa"/>
            <w:tcBorders>
              <w:top w:val="nil"/>
              <w:left w:val="nil"/>
              <w:bottom w:val="single" w:sz="4" w:space="0" w:color="auto"/>
              <w:right w:val="single" w:sz="4" w:space="0" w:color="auto"/>
            </w:tcBorders>
            <w:shd w:val="clear" w:color="auto" w:fill="auto"/>
            <w:vAlign w:val="center"/>
            <w:hideMark/>
          </w:tcPr>
          <w:p w14:paraId="4B384DD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2 323,000</w:t>
            </w:r>
          </w:p>
        </w:tc>
        <w:tc>
          <w:tcPr>
            <w:tcW w:w="802" w:type="dxa"/>
            <w:tcBorders>
              <w:top w:val="nil"/>
              <w:left w:val="nil"/>
              <w:bottom w:val="single" w:sz="4" w:space="0" w:color="auto"/>
              <w:right w:val="single" w:sz="4" w:space="0" w:color="auto"/>
            </w:tcBorders>
            <w:shd w:val="clear" w:color="auto" w:fill="auto"/>
            <w:vAlign w:val="center"/>
            <w:hideMark/>
          </w:tcPr>
          <w:p w14:paraId="4A0FC88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A8C306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F294E4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EAC235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2CD40FD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12 429,000</w:t>
            </w:r>
          </w:p>
        </w:tc>
        <w:tc>
          <w:tcPr>
            <w:tcW w:w="823" w:type="dxa"/>
            <w:vMerge/>
            <w:tcBorders>
              <w:top w:val="nil"/>
              <w:left w:val="single" w:sz="4" w:space="0" w:color="auto"/>
              <w:bottom w:val="single" w:sz="4" w:space="0" w:color="000000"/>
              <w:right w:val="single" w:sz="4" w:space="0" w:color="auto"/>
            </w:tcBorders>
            <w:vAlign w:val="center"/>
            <w:hideMark/>
          </w:tcPr>
          <w:p w14:paraId="5E70086A"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1AEB70B6"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0BBE229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60600/CO06</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1842335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účastníci ve věku do 25 let</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3EB7FEF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33BE628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1 832,000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29D7232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3D6D1D0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1 533,000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1E00ACA1"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83,679</w:t>
            </w:r>
          </w:p>
        </w:tc>
      </w:tr>
      <w:tr w:rsidR="004154AB" w:rsidRPr="004154AB" w14:paraId="06824ABD"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554FAFE3"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6D1B7306"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118AC08"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3A8C9CAD"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3F6376A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65CBF4C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109,000</w:t>
            </w:r>
          </w:p>
        </w:tc>
        <w:tc>
          <w:tcPr>
            <w:tcW w:w="803" w:type="dxa"/>
            <w:tcBorders>
              <w:top w:val="nil"/>
              <w:left w:val="nil"/>
              <w:bottom w:val="single" w:sz="4" w:space="0" w:color="auto"/>
              <w:right w:val="single" w:sz="4" w:space="0" w:color="auto"/>
            </w:tcBorders>
            <w:shd w:val="clear" w:color="auto" w:fill="auto"/>
            <w:vAlign w:val="center"/>
            <w:hideMark/>
          </w:tcPr>
          <w:p w14:paraId="5C79754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3A9493C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260,000</w:t>
            </w:r>
          </w:p>
        </w:tc>
        <w:tc>
          <w:tcPr>
            <w:tcW w:w="803" w:type="dxa"/>
            <w:tcBorders>
              <w:top w:val="nil"/>
              <w:left w:val="nil"/>
              <w:bottom w:val="single" w:sz="4" w:space="0" w:color="auto"/>
              <w:right w:val="single" w:sz="4" w:space="0" w:color="auto"/>
            </w:tcBorders>
            <w:shd w:val="clear" w:color="auto" w:fill="auto"/>
            <w:vAlign w:val="center"/>
            <w:hideMark/>
          </w:tcPr>
          <w:p w14:paraId="70F656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373,000</w:t>
            </w:r>
          </w:p>
        </w:tc>
        <w:tc>
          <w:tcPr>
            <w:tcW w:w="803" w:type="dxa"/>
            <w:tcBorders>
              <w:top w:val="nil"/>
              <w:left w:val="nil"/>
              <w:bottom w:val="single" w:sz="4" w:space="0" w:color="auto"/>
              <w:right w:val="single" w:sz="4" w:space="0" w:color="auto"/>
            </w:tcBorders>
            <w:shd w:val="clear" w:color="auto" w:fill="auto"/>
            <w:vAlign w:val="center"/>
            <w:hideMark/>
          </w:tcPr>
          <w:p w14:paraId="35723BF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94,000</w:t>
            </w:r>
          </w:p>
        </w:tc>
        <w:tc>
          <w:tcPr>
            <w:tcW w:w="802" w:type="dxa"/>
            <w:tcBorders>
              <w:top w:val="nil"/>
              <w:left w:val="nil"/>
              <w:bottom w:val="single" w:sz="4" w:space="0" w:color="auto"/>
              <w:right w:val="single" w:sz="4" w:space="0" w:color="auto"/>
            </w:tcBorders>
            <w:shd w:val="clear" w:color="auto" w:fill="auto"/>
            <w:vAlign w:val="center"/>
            <w:hideMark/>
          </w:tcPr>
          <w:p w14:paraId="7A7403B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FBE92A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D0C627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F2939C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2B997D8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836,000</w:t>
            </w:r>
          </w:p>
        </w:tc>
        <w:tc>
          <w:tcPr>
            <w:tcW w:w="823" w:type="dxa"/>
            <w:vMerge/>
            <w:tcBorders>
              <w:top w:val="nil"/>
              <w:left w:val="single" w:sz="4" w:space="0" w:color="auto"/>
              <w:bottom w:val="single" w:sz="4" w:space="0" w:color="000000"/>
              <w:right w:val="single" w:sz="4" w:space="0" w:color="auto"/>
            </w:tcBorders>
            <w:vAlign w:val="center"/>
            <w:hideMark/>
          </w:tcPr>
          <w:p w14:paraId="3A706FEB"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96FD9E6"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4F79E942"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12F67673"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42ADBB8"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4B3BCF53"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508D86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60797D0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102,000</w:t>
            </w:r>
          </w:p>
        </w:tc>
        <w:tc>
          <w:tcPr>
            <w:tcW w:w="803" w:type="dxa"/>
            <w:tcBorders>
              <w:top w:val="nil"/>
              <w:left w:val="nil"/>
              <w:bottom w:val="single" w:sz="4" w:space="0" w:color="auto"/>
              <w:right w:val="single" w:sz="4" w:space="0" w:color="auto"/>
            </w:tcBorders>
            <w:shd w:val="clear" w:color="auto" w:fill="auto"/>
            <w:vAlign w:val="center"/>
            <w:hideMark/>
          </w:tcPr>
          <w:p w14:paraId="2FBD65F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0FFE272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153,000</w:t>
            </w:r>
          </w:p>
        </w:tc>
        <w:tc>
          <w:tcPr>
            <w:tcW w:w="803" w:type="dxa"/>
            <w:tcBorders>
              <w:top w:val="nil"/>
              <w:left w:val="nil"/>
              <w:bottom w:val="single" w:sz="4" w:space="0" w:color="auto"/>
              <w:right w:val="single" w:sz="4" w:space="0" w:color="auto"/>
            </w:tcBorders>
            <w:shd w:val="clear" w:color="auto" w:fill="auto"/>
            <w:vAlign w:val="center"/>
            <w:hideMark/>
          </w:tcPr>
          <w:p w14:paraId="242FC16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347,000</w:t>
            </w:r>
          </w:p>
        </w:tc>
        <w:tc>
          <w:tcPr>
            <w:tcW w:w="803" w:type="dxa"/>
            <w:tcBorders>
              <w:top w:val="nil"/>
              <w:left w:val="nil"/>
              <w:bottom w:val="single" w:sz="4" w:space="0" w:color="auto"/>
              <w:right w:val="single" w:sz="4" w:space="0" w:color="auto"/>
            </w:tcBorders>
            <w:shd w:val="clear" w:color="auto" w:fill="auto"/>
            <w:vAlign w:val="center"/>
            <w:hideMark/>
          </w:tcPr>
          <w:p w14:paraId="571B70E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95,000</w:t>
            </w:r>
          </w:p>
        </w:tc>
        <w:tc>
          <w:tcPr>
            <w:tcW w:w="802" w:type="dxa"/>
            <w:tcBorders>
              <w:top w:val="nil"/>
              <w:left w:val="nil"/>
              <w:bottom w:val="single" w:sz="4" w:space="0" w:color="auto"/>
              <w:right w:val="single" w:sz="4" w:space="0" w:color="auto"/>
            </w:tcBorders>
            <w:shd w:val="clear" w:color="auto" w:fill="auto"/>
            <w:vAlign w:val="center"/>
            <w:hideMark/>
          </w:tcPr>
          <w:p w14:paraId="52C6F14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5234D2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65447A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A4ECEF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0C6734D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697,000</w:t>
            </w:r>
          </w:p>
        </w:tc>
        <w:tc>
          <w:tcPr>
            <w:tcW w:w="823" w:type="dxa"/>
            <w:vMerge/>
            <w:tcBorders>
              <w:top w:val="nil"/>
              <w:left w:val="single" w:sz="4" w:space="0" w:color="auto"/>
              <w:bottom w:val="single" w:sz="4" w:space="0" w:color="000000"/>
              <w:right w:val="single" w:sz="4" w:space="0" w:color="auto"/>
            </w:tcBorders>
            <w:vAlign w:val="center"/>
            <w:hideMark/>
          </w:tcPr>
          <w:p w14:paraId="6E623A9F"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704A129"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63073B5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60700/CO07</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277D9E2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účastníci ve věku nad 54 let</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1929149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58069C5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48 986,000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10A8D97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38ABDA5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26 684,000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33E3035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54,473</w:t>
            </w:r>
          </w:p>
        </w:tc>
      </w:tr>
      <w:tr w:rsidR="004154AB" w:rsidRPr="004154AB" w14:paraId="4C6A945C"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77A77955"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6EE6B11B"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3254322"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678D3F99"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30CDBF0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60263F5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1 075,000</w:t>
            </w:r>
          </w:p>
        </w:tc>
        <w:tc>
          <w:tcPr>
            <w:tcW w:w="803" w:type="dxa"/>
            <w:tcBorders>
              <w:top w:val="nil"/>
              <w:left w:val="nil"/>
              <w:bottom w:val="single" w:sz="4" w:space="0" w:color="auto"/>
              <w:right w:val="single" w:sz="4" w:space="0" w:color="auto"/>
            </w:tcBorders>
            <w:shd w:val="clear" w:color="auto" w:fill="auto"/>
            <w:vAlign w:val="center"/>
            <w:hideMark/>
          </w:tcPr>
          <w:p w14:paraId="3658D79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86,000</w:t>
            </w:r>
          </w:p>
        </w:tc>
        <w:tc>
          <w:tcPr>
            <w:tcW w:w="803" w:type="dxa"/>
            <w:tcBorders>
              <w:top w:val="nil"/>
              <w:left w:val="nil"/>
              <w:bottom w:val="single" w:sz="4" w:space="0" w:color="auto"/>
              <w:right w:val="single" w:sz="4" w:space="0" w:color="auto"/>
            </w:tcBorders>
            <w:shd w:val="clear" w:color="auto" w:fill="auto"/>
            <w:vAlign w:val="center"/>
            <w:hideMark/>
          </w:tcPr>
          <w:p w14:paraId="0954177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3 119,000</w:t>
            </w:r>
          </w:p>
        </w:tc>
        <w:tc>
          <w:tcPr>
            <w:tcW w:w="803" w:type="dxa"/>
            <w:tcBorders>
              <w:top w:val="nil"/>
              <w:left w:val="nil"/>
              <w:bottom w:val="single" w:sz="4" w:space="0" w:color="auto"/>
              <w:right w:val="single" w:sz="4" w:space="0" w:color="auto"/>
            </w:tcBorders>
            <w:shd w:val="clear" w:color="auto" w:fill="auto"/>
            <w:vAlign w:val="center"/>
            <w:hideMark/>
          </w:tcPr>
          <w:p w14:paraId="7A153F5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6 799,000</w:t>
            </w:r>
          </w:p>
        </w:tc>
        <w:tc>
          <w:tcPr>
            <w:tcW w:w="803" w:type="dxa"/>
            <w:tcBorders>
              <w:top w:val="nil"/>
              <w:left w:val="nil"/>
              <w:bottom w:val="single" w:sz="4" w:space="0" w:color="auto"/>
              <w:right w:val="single" w:sz="4" w:space="0" w:color="auto"/>
            </w:tcBorders>
            <w:shd w:val="clear" w:color="auto" w:fill="auto"/>
            <w:vAlign w:val="center"/>
            <w:hideMark/>
          </w:tcPr>
          <w:p w14:paraId="1C2BEA4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3 784,000</w:t>
            </w:r>
          </w:p>
        </w:tc>
        <w:tc>
          <w:tcPr>
            <w:tcW w:w="802" w:type="dxa"/>
            <w:tcBorders>
              <w:top w:val="nil"/>
              <w:left w:val="nil"/>
              <w:bottom w:val="single" w:sz="4" w:space="0" w:color="auto"/>
              <w:right w:val="single" w:sz="4" w:space="0" w:color="auto"/>
            </w:tcBorders>
            <w:shd w:val="clear" w:color="auto" w:fill="auto"/>
            <w:vAlign w:val="center"/>
            <w:hideMark/>
          </w:tcPr>
          <w:p w14:paraId="5BC6D75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6401DF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4CB56A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7C7A26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20AF09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14 863,000</w:t>
            </w:r>
          </w:p>
        </w:tc>
        <w:tc>
          <w:tcPr>
            <w:tcW w:w="823" w:type="dxa"/>
            <w:vMerge/>
            <w:tcBorders>
              <w:top w:val="nil"/>
              <w:left w:val="single" w:sz="4" w:space="0" w:color="auto"/>
              <w:bottom w:val="single" w:sz="4" w:space="0" w:color="000000"/>
              <w:right w:val="single" w:sz="4" w:space="0" w:color="auto"/>
            </w:tcBorders>
            <w:vAlign w:val="center"/>
            <w:hideMark/>
          </w:tcPr>
          <w:p w14:paraId="75FB8001"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54540F45"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2FCA59C6"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00E2DE4B"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1A76A32A"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545E3369"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3CE72E7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0BEEF3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712,000</w:t>
            </w:r>
          </w:p>
        </w:tc>
        <w:tc>
          <w:tcPr>
            <w:tcW w:w="803" w:type="dxa"/>
            <w:tcBorders>
              <w:top w:val="nil"/>
              <w:left w:val="nil"/>
              <w:bottom w:val="single" w:sz="4" w:space="0" w:color="auto"/>
              <w:right w:val="single" w:sz="4" w:space="0" w:color="auto"/>
            </w:tcBorders>
            <w:shd w:val="clear" w:color="auto" w:fill="auto"/>
            <w:vAlign w:val="center"/>
            <w:hideMark/>
          </w:tcPr>
          <w:p w14:paraId="68EF602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w:t>
            </w:r>
          </w:p>
        </w:tc>
        <w:tc>
          <w:tcPr>
            <w:tcW w:w="803" w:type="dxa"/>
            <w:tcBorders>
              <w:top w:val="nil"/>
              <w:left w:val="nil"/>
              <w:bottom w:val="single" w:sz="4" w:space="0" w:color="auto"/>
              <w:right w:val="single" w:sz="4" w:space="0" w:color="auto"/>
            </w:tcBorders>
            <w:shd w:val="clear" w:color="auto" w:fill="auto"/>
            <w:vAlign w:val="center"/>
            <w:hideMark/>
          </w:tcPr>
          <w:p w14:paraId="424808D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2 189,000</w:t>
            </w:r>
          </w:p>
        </w:tc>
        <w:tc>
          <w:tcPr>
            <w:tcW w:w="803" w:type="dxa"/>
            <w:tcBorders>
              <w:top w:val="nil"/>
              <w:left w:val="nil"/>
              <w:bottom w:val="single" w:sz="4" w:space="0" w:color="auto"/>
              <w:right w:val="single" w:sz="4" w:space="0" w:color="auto"/>
            </w:tcBorders>
            <w:shd w:val="clear" w:color="auto" w:fill="auto"/>
            <w:vAlign w:val="center"/>
            <w:hideMark/>
          </w:tcPr>
          <w:p w14:paraId="6086F53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5 326,000</w:t>
            </w:r>
          </w:p>
        </w:tc>
        <w:tc>
          <w:tcPr>
            <w:tcW w:w="803" w:type="dxa"/>
            <w:tcBorders>
              <w:top w:val="nil"/>
              <w:left w:val="nil"/>
              <w:bottom w:val="single" w:sz="4" w:space="0" w:color="auto"/>
              <w:right w:val="single" w:sz="4" w:space="0" w:color="auto"/>
            </w:tcBorders>
            <w:shd w:val="clear" w:color="auto" w:fill="auto"/>
            <w:vAlign w:val="center"/>
            <w:hideMark/>
          </w:tcPr>
          <w:p w14:paraId="34794CA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3 532,000</w:t>
            </w:r>
          </w:p>
        </w:tc>
        <w:tc>
          <w:tcPr>
            <w:tcW w:w="802" w:type="dxa"/>
            <w:tcBorders>
              <w:top w:val="nil"/>
              <w:left w:val="nil"/>
              <w:bottom w:val="single" w:sz="4" w:space="0" w:color="auto"/>
              <w:right w:val="single" w:sz="4" w:space="0" w:color="auto"/>
            </w:tcBorders>
            <w:shd w:val="clear" w:color="auto" w:fill="auto"/>
            <w:vAlign w:val="center"/>
            <w:hideMark/>
          </w:tcPr>
          <w:p w14:paraId="2C7E026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92DEBB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1B80F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D2A8FB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24D7D7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11 821,000</w:t>
            </w:r>
          </w:p>
        </w:tc>
        <w:tc>
          <w:tcPr>
            <w:tcW w:w="823" w:type="dxa"/>
            <w:vMerge/>
            <w:tcBorders>
              <w:top w:val="nil"/>
              <w:left w:val="single" w:sz="4" w:space="0" w:color="auto"/>
              <w:bottom w:val="single" w:sz="4" w:space="0" w:color="000000"/>
              <w:right w:val="single" w:sz="4" w:space="0" w:color="auto"/>
            </w:tcBorders>
            <w:vAlign w:val="center"/>
            <w:hideMark/>
          </w:tcPr>
          <w:p w14:paraId="076BF99F"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1410DF97"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37DAA0F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60700/CO07</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595EB1F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účastníci ve věku nad 54 let</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20DF644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3517773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2 443,000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6045A7B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6B3FE16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1 643,000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0CB843E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67,253</w:t>
            </w:r>
          </w:p>
        </w:tc>
      </w:tr>
      <w:tr w:rsidR="004154AB" w:rsidRPr="004154AB" w14:paraId="23144D7D"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665E56F4"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4C3ACA32"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066BCE2A"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70D0C73E"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1478994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719BEC5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87,000</w:t>
            </w:r>
          </w:p>
        </w:tc>
        <w:tc>
          <w:tcPr>
            <w:tcW w:w="803" w:type="dxa"/>
            <w:tcBorders>
              <w:top w:val="nil"/>
              <w:left w:val="nil"/>
              <w:bottom w:val="single" w:sz="4" w:space="0" w:color="auto"/>
              <w:right w:val="single" w:sz="4" w:space="0" w:color="auto"/>
            </w:tcBorders>
            <w:shd w:val="clear" w:color="auto" w:fill="auto"/>
            <w:vAlign w:val="center"/>
            <w:hideMark/>
          </w:tcPr>
          <w:p w14:paraId="05C59E8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095F05B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221,000</w:t>
            </w:r>
          </w:p>
        </w:tc>
        <w:tc>
          <w:tcPr>
            <w:tcW w:w="803" w:type="dxa"/>
            <w:tcBorders>
              <w:top w:val="nil"/>
              <w:left w:val="nil"/>
              <w:bottom w:val="single" w:sz="4" w:space="0" w:color="auto"/>
              <w:right w:val="single" w:sz="4" w:space="0" w:color="auto"/>
            </w:tcBorders>
            <w:shd w:val="clear" w:color="auto" w:fill="auto"/>
            <w:vAlign w:val="center"/>
            <w:hideMark/>
          </w:tcPr>
          <w:p w14:paraId="1D6A4C0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454,000</w:t>
            </w:r>
          </w:p>
        </w:tc>
        <w:tc>
          <w:tcPr>
            <w:tcW w:w="803" w:type="dxa"/>
            <w:tcBorders>
              <w:top w:val="nil"/>
              <w:left w:val="nil"/>
              <w:bottom w:val="single" w:sz="4" w:space="0" w:color="auto"/>
              <w:right w:val="single" w:sz="4" w:space="0" w:color="auto"/>
            </w:tcBorders>
            <w:shd w:val="clear" w:color="auto" w:fill="auto"/>
            <w:vAlign w:val="center"/>
            <w:hideMark/>
          </w:tcPr>
          <w:p w14:paraId="11F3F55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206,000</w:t>
            </w:r>
          </w:p>
        </w:tc>
        <w:tc>
          <w:tcPr>
            <w:tcW w:w="802" w:type="dxa"/>
            <w:tcBorders>
              <w:top w:val="nil"/>
              <w:left w:val="nil"/>
              <w:bottom w:val="single" w:sz="4" w:space="0" w:color="auto"/>
              <w:right w:val="single" w:sz="4" w:space="0" w:color="auto"/>
            </w:tcBorders>
            <w:shd w:val="clear" w:color="auto" w:fill="auto"/>
            <w:vAlign w:val="center"/>
            <w:hideMark/>
          </w:tcPr>
          <w:p w14:paraId="571734E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054CA1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FD9EE8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6A1B6B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24EC8C3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968,000</w:t>
            </w:r>
          </w:p>
        </w:tc>
        <w:tc>
          <w:tcPr>
            <w:tcW w:w="823" w:type="dxa"/>
            <w:vMerge/>
            <w:tcBorders>
              <w:top w:val="nil"/>
              <w:left w:val="single" w:sz="4" w:space="0" w:color="auto"/>
              <w:bottom w:val="single" w:sz="4" w:space="0" w:color="000000"/>
              <w:right w:val="single" w:sz="4" w:space="0" w:color="auto"/>
            </w:tcBorders>
            <w:vAlign w:val="center"/>
            <w:hideMark/>
          </w:tcPr>
          <w:p w14:paraId="21CBD0C1"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757D72BC"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5CED71ED"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1C386FCF"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3C262274"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1E049635"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31032F7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6240DB9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57,000</w:t>
            </w:r>
          </w:p>
        </w:tc>
        <w:tc>
          <w:tcPr>
            <w:tcW w:w="803" w:type="dxa"/>
            <w:tcBorders>
              <w:top w:val="nil"/>
              <w:left w:val="nil"/>
              <w:bottom w:val="single" w:sz="4" w:space="0" w:color="auto"/>
              <w:right w:val="single" w:sz="4" w:space="0" w:color="auto"/>
            </w:tcBorders>
            <w:shd w:val="clear" w:color="auto" w:fill="auto"/>
            <w:vAlign w:val="center"/>
            <w:hideMark/>
          </w:tcPr>
          <w:p w14:paraId="6D3632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532D43B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136,000</w:t>
            </w:r>
          </w:p>
        </w:tc>
        <w:tc>
          <w:tcPr>
            <w:tcW w:w="803" w:type="dxa"/>
            <w:tcBorders>
              <w:top w:val="nil"/>
              <w:left w:val="nil"/>
              <w:bottom w:val="single" w:sz="4" w:space="0" w:color="auto"/>
              <w:right w:val="single" w:sz="4" w:space="0" w:color="auto"/>
            </w:tcBorders>
            <w:shd w:val="clear" w:color="auto" w:fill="auto"/>
            <w:vAlign w:val="center"/>
            <w:hideMark/>
          </w:tcPr>
          <w:p w14:paraId="0A8BEB4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324,000</w:t>
            </w:r>
          </w:p>
        </w:tc>
        <w:tc>
          <w:tcPr>
            <w:tcW w:w="803" w:type="dxa"/>
            <w:tcBorders>
              <w:top w:val="nil"/>
              <w:left w:val="nil"/>
              <w:bottom w:val="single" w:sz="4" w:space="0" w:color="auto"/>
              <w:right w:val="single" w:sz="4" w:space="0" w:color="auto"/>
            </w:tcBorders>
            <w:shd w:val="clear" w:color="auto" w:fill="auto"/>
            <w:vAlign w:val="center"/>
            <w:hideMark/>
          </w:tcPr>
          <w:p w14:paraId="34CC9DF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158,000</w:t>
            </w:r>
          </w:p>
        </w:tc>
        <w:tc>
          <w:tcPr>
            <w:tcW w:w="802" w:type="dxa"/>
            <w:tcBorders>
              <w:top w:val="nil"/>
              <w:left w:val="nil"/>
              <w:bottom w:val="single" w:sz="4" w:space="0" w:color="auto"/>
              <w:right w:val="single" w:sz="4" w:space="0" w:color="auto"/>
            </w:tcBorders>
            <w:shd w:val="clear" w:color="auto" w:fill="auto"/>
            <w:vAlign w:val="center"/>
            <w:hideMark/>
          </w:tcPr>
          <w:p w14:paraId="28D4CA8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66B311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946AC6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750A09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3B2EA5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675,000</w:t>
            </w:r>
          </w:p>
        </w:tc>
        <w:tc>
          <w:tcPr>
            <w:tcW w:w="823" w:type="dxa"/>
            <w:vMerge/>
            <w:tcBorders>
              <w:top w:val="nil"/>
              <w:left w:val="single" w:sz="4" w:space="0" w:color="auto"/>
              <w:bottom w:val="single" w:sz="4" w:space="0" w:color="000000"/>
              <w:right w:val="single" w:sz="4" w:space="0" w:color="auto"/>
            </w:tcBorders>
            <w:vAlign w:val="center"/>
            <w:hideMark/>
          </w:tcPr>
          <w:p w14:paraId="079EE32A"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17D806FF"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68A78424"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60900/CO09</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7D853E0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účastníci s ukončeným primárním (ISCED 1) nebo nižším sekundárním (ISCED 2) vzděláním</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7BA89FE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0F0B3E5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8 477,000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3D63F004"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3DFBA3D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38 669,000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79C8650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456,164</w:t>
            </w:r>
          </w:p>
        </w:tc>
      </w:tr>
      <w:tr w:rsidR="004154AB" w:rsidRPr="004154AB" w14:paraId="4E9BE06A"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5591357C"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3EBDAF83"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0E0309C9"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259B2BA7"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4CE6720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3FB1072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1 487,000</w:t>
            </w:r>
          </w:p>
        </w:tc>
        <w:tc>
          <w:tcPr>
            <w:tcW w:w="803" w:type="dxa"/>
            <w:tcBorders>
              <w:top w:val="nil"/>
              <w:left w:val="nil"/>
              <w:bottom w:val="single" w:sz="4" w:space="0" w:color="auto"/>
              <w:right w:val="single" w:sz="4" w:space="0" w:color="auto"/>
            </w:tcBorders>
            <w:shd w:val="clear" w:color="auto" w:fill="auto"/>
            <w:vAlign w:val="center"/>
            <w:hideMark/>
          </w:tcPr>
          <w:p w14:paraId="056D2FA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22,000</w:t>
            </w:r>
          </w:p>
        </w:tc>
        <w:tc>
          <w:tcPr>
            <w:tcW w:w="803" w:type="dxa"/>
            <w:tcBorders>
              <w:top w:val="nil"/>
              <w:left w:val="nil"/>
              <w:bottom w:val="single" w:sz="4" w:space="0" w:color="auto"/>
              <w:right w:val="single" w:sz="4" w:space="0" w:color="auto"/>
            </w:tcBorders>
            <w:shd w:val="clear" w:color="auto" w:fill="auto"/>
            <w:vAlign w:val="center"/>
            <w:hideMark/>
          </w:tcPr>
          <w:p w14:paraId="48C8E4A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3 811,000</w:t>
            </w:r>
          </w:p>
        </w:tc>
        <w:tc>
          <w:tcPr>
            <w:tcW w:w="803" w:type="dxa"/>
            <w:tcBorders>
              <w:top w:val="nil"/>
              <w:left w:val="nil"/>
              <w:bottom w:val="single" w:sz="4" w:space="0" w:color="auto"/>
              <w:right w:val="single" w:sz="4" w:space="0" w:color="auto"/>
            </w:tcBorders>
            <w:shd w:val="clear" w:color="auto" w:fill="auto"/>
            <w:vAlign w:val="center"/>
            <w:hideMark/>
          </w:tcPr>
          <w:p w14:paraId="5DF8476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9 487,000</w:t>
            </w:r>
          </w:p>
        </w:tc>
        <w:tc>
          <w:tcPr>
            <w:tcW w:w="803" w:type="dxa"/>
            <w:tcBorders>
              <w:top w:val="nil"/>
              <w:left w:val="nil"/>
              <w:bottom w:val="single" w:sz="4" w:space="0" w:color="auto"/>
              <w:right w:val="single" w:sz="4" w:space="0" w:color="auto"/>
            </w:tcBorders>
            <w:shd w:val="clear" w:color="auto" w:fill="auto"/>
            <w:vAlign w:val="center"/>
            <w:hideMark/>
          </w:tcPr>
          <w:p w14:paraId="18D86D3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4 352,000</w:t>
            </w:r>
          </w:p>
        </w:tc>
        <w:tc>
          <w:tcPr>
            <w:tcW w:w="802" w:type="dxa"/>
            <w:tcBorders>
              <w:top w:val="nil"/>
              <w:left w:val="nil"/>
              <w:bottom w:val="single" w:sz="4" w:space="0" w:color="auto"/>
              <w:right w:val="single" w:sz="4" w:space="0" w:color="auto"/>
            </w:tcBorders>
            <w:shd w:val="clear" w:color="auto" w:fill="auto"/>
            <w:vAlign w:val="center"/>
            <w:hideMark/>
          </w:tcPr>
          <w:p w14:paraId="41E200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62C2AE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77711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DEA01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454B680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19 159,000</w:t>
            </w:r>
          </w:p>
        </w:tc>
        <w:tc>
          <w:tcPr>
            <w:tcW w:w="823" w:type="dxa"/>
            <w:vMerge/>
            <w:tcBorders>
              <w:top w:val="nil"/>
              <w:left w:val="single" w:sz="4" w:space="0" w:color="auto"/>
              <w:bottom w:val="single" w:sz="4" w:space="0" w:color="000000"/>
              <w:right w:val="single" w:sz="4" w:space="0" w:color="auto"/>
            </w:tcBorders>
            <w:vAlign w:val="center"/>
            <w:hideMark/>
          </w:tcPr>
          <w:p w14:paraId="78E39A1A"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3927159"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4CFD1DD8"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256ED16B"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764C991"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60959564"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659115B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09FBC98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1 201,000</w:t>
            </w:r>
          </w:p>
        </w:tc>
        <w:tc>
          <w:tcPr>
            <w:tcW w:w="803" w:type="dxa"/>
            <w:tcBorders>
              <w:top w:val="nil"/>
              <w:left w:val="nil"/>
              <w:bottom w:val="single" w:sz="4" w:space="0" w:color="auto"/>
              <w:right w:val="single" w:sz="4" w:space="0" w:color="auto"/>
            </w:tcBorders>
            <w:shd w:val="clear" w:color="auto" w:fill="auto"/>
            <w:vAlign w:val="center"/>
            <w:hideMark/>
          </w:tcPr>
          <w:p w14:paraId="1B6F200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19,000</w:t>
            </w:r>
          </w:p>
        </w:tc>
        <w:tc>
          <w:tcPr>
            <w:tcW w:w="803" w:type="dxa"/>
            <w:tcBorders>
              <w:top w:val="nil"/>
              <w:left w:val="nil"/>
              <w:bottom w:val="single" w:sz="4" w:space="0" w:color="auto"/>
              <w:right w:val="single" w:sz="4" w:space="0" w:color="auto"/>
            </w:tcBorders>
            <w:shd w:val="clear" w:color="auto" w:fill="auto"/>
            <w:vAlign w:val="center"/>
            <w:hideMark/>
          </w:tcPr>
          <w:p w14:paraId="112C7A2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3 159,000</w:t>
            </w:r>
          </w:p>
        </w:tc>
        <w:tc>
          <w:tcPr>
            <w:tcW w:w="803" w:type="dxa"/>
            <w:tcBorders>
              <w:top w:val="nil"/>
              <w:left w:val="nil"/>
              <w:bottom w:val="single" w:sz="4" w:space="0" w:color="auto"/>
              <w:right w:val="single" w:sz="4" w:space="0" w:color="auto"/>
            </w:tcBorders>
            <w:shd w:val="clear" w:color="auto" w:fill="auto"/>
            <w:vAlign w:val="center"/>
            <w:hideMark/>
          </w:tcPr>
          <w:p w14:paraId="7257A45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9 489,000</w:t>
            </w:r>
          </w:p>
        </w:tc>
        <w:tc>
          <w:tcPr>
            <w:tcW w:w="803" w:type="dxa"/>
            <w:tcBorders>
              <w:top w:val="nil"/>
              <w:left w:val="nil"/>
              <w:bottom w:val="single" w:sz="4" w:space="0" w:color="auto"/>
              <w:right w:val="single" w:sz="4" w:space="0" w:color="auto"/>
            </w:tcBorders>
            <w:shd w:val="clear" w:color="auto" w:fill="auto"/>
            <w:vAlign w:val="center"/>
            <w:hideMark/>
          </w:tcPr>
          <w:p w14:paraId="2748FDA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5 642,000</w:t>
            </w:r>
          </w:p>
        </w:tc>
        <w:tc>
          <w:tcPr>
            <w:tcW w:w="802" w:type="dxa"/>
            <w:tcBorders>
              <w:top w:val="nil"/>
              <w:left w:val="nil"/>
              <w:bottom w:val="single" w:sz="4" w:space="0" w:color="auto"/>
              <w:right w:val="single" w:sz="4" w:space="0" w:color="auto"/>
            </w:tcBorders>
            <w:shd w:val="clear" w:color="auto" w:fill="auto"/>
            <w:vAlign w:val="center"/>
            <w:hideMark/>
          </w:tcPr>
          <w:p w14:paraId="36375A9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049C114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2508FC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7A80F0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255605B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19 510,000</w:t>
            </w:r>
          </w:p>
        </w:tc>
        <w:tc>
          <w:tcPr>
            <w:tcW w:w="823" w:type="dxa"/>
            <w:vMerge/>
            <w:tcBorders>
              <w:top w:val="nil"/>
              <w:left w:val="single" w:sz="4" w:space="0" w:color="auto"/>
              <w:bottom w:val="single" w:sz="4" w:space="0" w:color="000000"/>
              <w:right w:val="single" w:sz="4" w:space="0" w:color="auto"/>
            </w:tcBorders>
            <w:vAlign w:val="center"/>
            <w:hideMark/>
          </w:tcPr>
          <w:p w14:paraId="70262CD2"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D105115"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24131CF4"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60900/CO09</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0C4A8A4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účastníci s ukončeným primárním (ISCED 1) nebo nižším sekundárním (ISCED 2) vzděláním</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22A7337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036D164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423,000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0AFC32F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083B84F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2 309,000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6E68FF20"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545,863</w:t>
            </w:r>
          </w:p>
        </w:tc>
      </w:tr>
      <w:tr w:rsidR="004154AB" w:rsidRPr="004154AB" w14:paraId="4831C9B0"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0603602F"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4A8D9E7A"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36057906"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0B00B8B2"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35BA2C2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423CA37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120,000</w:t>
            </w:r>
          </w:p>
        </w:tc>
        <w:tc>
          <w:tcPr>
            <w:tcW w:w="803" w:type="dxa"/>
            <w:tcBorders>
              <w:top w:val="nil"/>
              <w:left w:val="nil"/>
              <w:bottom w:val="single" w:sz="4" w:space="0" w:color="auto"/>
              <w:right w:val="single" w:sz="4" w:space="0" w:color="auto"/>
            </w:tcBorders>
            <w:shd w:val="clear" w:color="auto" w:fill="auto"/>
            <w:vAlign w:val="center"/>
            <w:hideMark/>
          </w:tcPr>
          <w:p w14:paraId="2B5706A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44A653D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257,000</w:t>
            </w:r>
          </w:p>
        </w:tc>
        <w:tc>
          <w:tcPr>
            <w:tcW w:w="803" w:type="dxa"/>
            <w:tcBorders>
              <w:top w:val="nil"/>
              <w:left w:val="nil"/>
              <w:bottom w:val="single" w:sz="4" w:space="0" w:color="auto"/>
              <w:right w:val="single" w:sz="4" w:space="0" w:color="auto"/>
            </w:tcBorders>
            <w:shd w:val="clear" w:color="auto" w:fill="auto"/>
            <w:vAlign w:val="center"/>
            <w:hideMark/>
          </w:tcPr>
          <w:p w14:paraId="3BEC050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616,000</w:t>
            </w:r>
          </w:p>
        </w:tc>
        <w:tc>
          <w:tcPr>
            <w:tcW w:w="803" w:type="dxa"/>
            <w:tcBorders>
              <w:top w:val="nil"/>
              <w:left w:val="nil"/>
              <w:bottom w:val="single" w:sz="4" w:space="0" w:color="auto"/>
              <w:right w:val="single" w:sz="4" w:space="0" w:color="auto"/>
            </w:tcBorders>
            <w:shd w:val="clear" w:color="auto" w:fill="auto"/>
            <w:vAlign w:val="center"/>
            <w:hideMark/>
          </w:tcPr>
          <w:p w14:paraId="688A8D4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224,000</w:t>
            </w:r>
          </w:p>
        </w:tc>
        <w:tc>
          <w:tcPr>
            <w:tcW w:w="802" w:type="dxa"/>
            <w:tcBorders>
              <w:top w:val="nil"/>
              <w:left w:val="nil"/>
              <w:bottom w:val="single" w:sz="4" w:space="0" w:color="auto"/>
              <w:right w:val="single" w:sz="4" w:space="0" w:color="auto"/>
            </w:tcBorders>
            <w:shd w:val="clear" w:color="auto" w:fill="auto"/>
            <w:vAlign w:val="center"/>
            <w:hideMark/>
          </w:tcPr>
          <w:p w14:paraId="265BAB0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5BDD0A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DFAD36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A8D523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3A96DCC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1 217,000</w:t>
            </w:r>
          </w:p>
        </w:tc>
        <w:tc>
          <w:tcPr>
            <w:tcW w:w="823" w:type="dxa"/>
            <w:vMerge/>
            <w:tcBorders>
              <w:top w:val="nil"/>
              <w:left w:val="single" w:sz="4" w:space="0" w:color="auto"/>
              <w:bottom w:val="single" w:sz="4" w:space="0" w:color="000000"/>
              <w:right w:val="single" w:sz="4" w:space="0" w:color="auto"/>
            </w:tcBorders>
            <w:vAlign w:val="center"/>
            <w:hideMark/>
          </w:tcPr>
          <w:p w14:paraId="48A04988"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503C7047"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39133244"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307C1F90"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24D3AE62"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67D59B9F"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08C0218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4DD391D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97,000</w:t>
            </w:r>
          </w:p>
        </w:tc>
        <w:tc>
          <w:tcPr>
            <w:tcW w:w="803" w:type="dxa"/>
            <w:tcBorders>
              <w:top w:val="nil"/>
              <w:left w:val="nil"/>
              <w:bottom w:val="single" w:sz="4" w:space="0" w:color="auto"/>
              <w:right w:val="single" w:sz="4" w:space="0" w:color="auto"/>
            </w:tcBorders>
            <w:shd w:val="clear" w:color="auto" w:fill="auto"/>
            <w:vAlign w:val="center"/>
            <w:hideMark/>
          </w:tcPr>
          <w:p w14:paraId="488F7FE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3" w:type="dxa"/>
            <w:tcBorders>
              <w:top w:val="nil"/>
              <w:left w:val="nil"/>
              <w:bottom w:val="single" w:sz="4" w:space="0" w:color="auto"/>
              <w:right w:val="single" w:sz="4" w:space="0" w:color="auto"/>
            </w:tcBorders>
            <w:shd w:val="clear" w:color="auto" w:fill="auto"/>
            <w:vAlign w:val="center"/>
            <w:hideMark/>
          </w:tcPr>
          <w:p w14:paraId="4429EE9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193,000</w:t>
            </w:r>
          </w:p>
        </w:tc>
        <w:tc>
          <w:tcPr>
            <w:tcW w:w="803" w:type="dxa"/>
            <w:tcBorders>
              <w:top w:val="nil"/>
              <w:left w:val="nil"/>
              <w:bottom w:val="single" w:sz="4" w:space="0" w:color="auto"/>
              <w:right w:val="single" w:sz="4" w:space="0" w:color="auto"/>
            </w:tcBorders>
            <w:shd w:val="clear" w:color="auto" w:fill="auto"/>
            <w:vAlign w:val="center"/>
            <w:hideMark/>
          </w:tcPr>
          <w:p w14:paraId="17B23F5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534,000</w:t>
            </w:r>
          </w:p>
        </w:tc>
        <w:tc>
          <w:tcPr>
            <w:tcW w:w="803" w:type="dxa"/>
            <w:tcBorders>
              <w:top w:val="nil"/>
              <w:left w:val="nil"/>
              <w:bottom w:val="single" w:sz="4" w:space="0" w:color="auto"/>
              <w:right w:val="single" w:sz="4" w:space="0" w:color="auto"/>
            </w:tcBorders>
            <w:shd w:val="clear" w:color="auto" w:fill="auto"/>
            <w:vAlign w:val="center"/>
            <w:hideMark/>
          </w:tcPr>
          <w:p w14:paraId="2C34C07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268,000</w:t>
            </w:r>
          </w:p>
        </w:tc>
        <w:tc>
          <w:tcPr>
            <w:tcW w:w="802" w:type="dxa"/>
            <w:tcBorders>
              <w:top w:val="nil"/>
              <w:left w:val="nil"/>
              <w:bottom w:val="single" w:sz="4" w:space="0" w:color="auto"/>
              <w:right w:val="single" w:sz="4" w:space="0" w:color="auto"/>
            </w:tcBorders>
            <w:shd w:val="clear" w:color="auto" w:fill="auto"/>
            <w:vAlign w:val="center"/>
            <w:hideMark/>
          </w:tcPr>
          <w:p w14:paraId="7EC7DF6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4D36F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E5B1BA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841C21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2DC0E5E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1 092,000</w:t>
            </w:r>
          </w:p>
        </w:tc>
        <w:tc>
          <w:tcPr>
            <w:tcW w:w="823" w:type="dxa"/>
            <w:vMerge/>
            <w:tcBorders>
              <w:top w:val="nil"/>
              <w:left w:val="single" w:sz="4" w:space="0" w:color="auto"/>
              <w:bottom w:val="single" w:sz="4" w:space="0" w:color="000000"/>
              <w:right w:val="single" w:sz="4" w:space="0" w:color="auto"/>
            </w:tcBorders>
            <w:vAlign w:val="center"/>
            <w:hideMark/>
          </w:tcPr>
          <w:p w14:paraId="5C414D39"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8E6DD07"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39AC353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1E81C47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735AC20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7BD2543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100,000</w:t>
            </w:r>
          </w:p>
        </w:tc>
        <w:tc>
          <w:tcPr>
            <w:tcW w:w="8027" w:type="dxa"/>
            <w:gridSpan w:val="10"/>
            <w:tcBorders>
              <w:top w:val="single" w:sz="4" w:space="0" w:color="auto"/>
              <w:left w:val="nil"/>
              <w:bottom w:val="single" w:sz="4" w:space="0" w:color="auto"/>
              <w:right w:val="single" w:sz="4" w:space="0" w:color="000000"/>
            </w:tcBorders>
            <w:shd w:val="clear" w:color="auto" w:fill="auto"/>
            <w:vAlign w:val="center"/>
            <w:hideMark/>
          </w:tcPr>
          <w:p w14:paraId="4EF6B64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69BC717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255,000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7D5A366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255,000</w:t>
            </w:r>
          </w:p>
        </w:tc>
      </w:tr>
      <w:tr w:rsidR="004154AB" w:rsidRPr="004154AB" w14:paraId="47EEBE56"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1BB9F889"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488072F1"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02C652DC"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0D656418"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05BD999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55BA923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7188500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1573D72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18125B6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134821A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140E5B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1B90DE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7356EC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68B8CA1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142DD3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vMerge/>
            <w:tcBorders>
              <w:top w:val="nil"/>
              <w:left w:val="single" w:sz="4" w:space="0" w:color="auto"/>
              <w:bottom w:val="single" w:sz="4" w:space="0" w:color="000000"/>
              <w:right w:val="single" w:sz="4" w:space="0" w:color="auto"/>
            </w:tcBorders>
            <w:vAlign w:val="center"/>
            <w:hideMark/>
          </w:tcPr>
          <w:p w14:paraId="3D06C635"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6BC0A17D"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2D08D657"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47138D10"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4178743"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25ACF720"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77913B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19AB266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55ED0D1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021B223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65FD489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40D5A4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F0D866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24E9E2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B94D51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7C0C48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194046B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vMerge/>
            <w:tcBorders>
              <w:top w:val="nil"/>
              <w:left w:val="single" w:sz="4" w:space="0" w:color="auto"/>
              <w:bottom w:val="single" w:sz="4" w:space="0" w:color="000000"/>
              <w:right w:val="single" w:sz="4" w:space="0" w:color="auto"/>
            </w:tcBorders>
            <w:vAlign w:val="center"/>
            <w:hideMark/>
          </w:tcPr>
          <w:p w14:paraId="51E57B86"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309D7836" w14:textId="77777777" w:rsidTr="00B819FC">
        <w:trPr>
          <w:trHeight w:val="20"/>
        </w:trPr>
        <w:tc>
          <w:tcPr>
            <w:tcW w:w="896" w:type="dxa"/>
            <w:vMerge w:val="restart"/>
            <w:tcBorders>
              <w:top w:val="nil"/>
              <w:left w:val="single" w:sz="4" w:space="0" w:color="auto"/>
              <w:bottom w:val="single" w:sz="4" w:space="0" w:color="000000"/>
              <w:right w:val="single" w:sz="4" w:space="0" w:color="auto"/>
            </w:tcBorders>
            <w:shd w:val="clear" w:color="auto" w:fill="auto"/>
            <w:vAlign w:val="center"/>
            <w:hideMark/>
          </w:tcPr>
          <w:p w14:paraId="5800222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241" w:type="dxa"/>
            <w:vMerge w:val="restart"/>
            <w:tcBorders>
              <w:top w:val="nil"/>
              <w:left w:val="single" w:sz="4" w:space="0" w:color="auto"/>
              <w:bottom w:val="single" w:sz="4" w:space="0" w:color="000000"/>
              <w:right w:val="single" w:sz="4" w:space="0" w:color="auto"/>
            </w:tcBorders>
            <w:shd w:val="clear" w:color="auto" w:fill="auto"/>
            <w:vAlign w:val="center"/>
            <w:hideMark/>
          </w:tcPr>
          <w:p w14:paraId="182A579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986" w:type="dxa"/>
            <w:vMerge w:val="restart"/>
            <w:tcBorders>
              <w:top w:val="nil"/>
              <w:left w:val="single" w:sz="4" w:space="0" w:color="auto"/>
              <w:bottom w:val="single" w:sz="4" w:space="0" w:color="000000"/>
              <w:right w:val="single" w:sz="4" w:space="0" w:color="auto"/>
            </w:tcBorders>
            <w:shd w:val="clear" w:color="auto" w:fill="auto"/>
            <w:vAlign w:val="center"/>
            <w:hideMark/>
          </w:tcPr>
          <w:p w14:paraId="2B6EB1D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41" w:type="dxa"/>
            <w:vMerge w:val="restart"/>
            <w:tcBorders>
              <w:top w:val="nil"/>
              <w:left w:val="single" w:sz="4" w:space="0" w:color="auto"/>
              <w:bottom w:val="single" w:sz="4" w:space="0" w:color="000000"/>
              <w:right w:val="single" w:sz="4" w:space="0" w:color="auto"/>
            </w:tcBorders>
            <w:shd w:val="clear" w:color="auto" w:fill="auto"/>
            <w:vAlign w:val="center"/>
            <w:hideMark/>
          </w:tcPr>
          <w:p w14:paraId="50A86BB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2" w:type="dxa"/>
            <w:tcBorders>
              <w:top w:val="nil"/>
              <w:left w:val="nil"/>
              <w:bottom w:val="nil"/>
              <w:right w:val="nil"/>
            </w:tcBorders>
            <w:shd w:val="clear" w:color="auto" w:fill="auto"/>
            <w:vAlign w:val="center"/>
            <w:hideMark/>
          </w:tcPr>
          <w:p w14:paraId="68399F6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nil"/>
              <w:right w:val="nil"/>
            </w:tcBorders>
            <w:shd w:val="clear" w:color="auto" w:fill="auto"/>
            <w:vAlign w:val="center"/>
            <w:hideMark/>
          </w:tcPr>
          <w:p w14:paraId="05A419C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nil"/>
              <w:right w:val="nil"/>
            </w:tcBorders>
            <w:shd w:val="clear" w:color="auto" w:fill="auto"/>
            <w:vAlign w:val="center"/>
            <w:hideMark/>
          </w:tcPr>
          <w:p w14:paraId="037E342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nil"/>
              <w:right w:val="nil"/>
            </w:tcBorders>
            <w:shd w:val="clear" w:color="auto" w:fill="auto"/>
            <w:vAlign w:val="center"/>
            <w:hideMark/>
          </w:tcPr>
          <w:p w14:paraId="1BA3608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nil"/>
              <w:right w:val="nil"/>
            </w:tcBorders>
            <w:shd w:val="clear" w:color="auto" w:fill="auto"/>
            <w:vAlign w:val="center"/>
            <w:hideMark/>
          </w:tcPr>
          <w:p w14:paraId="65BA38B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nil"/>
              <w:right w:val="nil"/>
            </w:tcBorders>
            <w:shd w:val="clear" w:color="auto" w:fill="auto"/>
            <w:vAlign w:val="center"/>
            <w:hideMark/>
          </w:tcPr>
          <w:p w14:paraId="341F788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nil"/>
              <w:right w:val="nil"/>
            </w:tcBorders>
            <w:shd w:val="clear" w:color="auto" w:fill="auto"/>
            <w:vAlign w:val="center"/>
            <w:hideMark/>
          </w:tcPr>
          <w:p w14:paraId="365F08D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nil"/>
              <w:right w:val="nil"/>
            </w:tcBorders>
            <w:shd w:val="clear" w:color="auto" w:fill="auto"/>
            <w:vAlign w:val="center"/>
            <w:hideMark/>
          </w:tcPr>
          <w:p w14:paraId="76E3E6D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nil"/>
              <w:right w:val="nil"/>
            </w:tcBorders>
            <w:shd w:val="clear" w:color="auto" w:fill="auto"/>
            <w:vAlign w:val="center"/>
            <w:hideMark/>
          </w:tcPr>
          <w:p w14:paraId="201CB1A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nil"/>
              <w:right w:val="single" w:sz="4" w:space="0" w:color="auto"/>
            </w:tcBorders>
            <w:shd w:val="clear" w:color="auto" w:fill="auto"/>
            <w:vAlign w:val="center"/>
            <w:hideMark/>
          </w:tcPr>
          <w:p w14:paraId="07D8602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nil"/>
              <w:right w:val="single" w:sz="4" w:space="0" w:color="auto"/>
            </w:tcBorders>
            <w:shd w:val="clear" w:color="auto" w:fill="auto"/>
            <w:vAlign w:val="center"/>
            <w:hideMark/>
          </w:tcPr>
          <w:p w14:paraId="12EDCE7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23" w:type="dxa"/>
            <w:vMerge w:val="restart"/>
            <w:tcBorders>
              <w:top w:val="nil"/>
              <w:left w:val="single" w:sz="4" w:space="0" w:color="auto"/>
              <w:bottom w:val="single" w:sz="4" w:space="0" w:color="000000"/>
              <w:right w:val="single" w:sz="4" w:space="0" w:color="auto"/>
            </w:tcBorders>
            <w:shd w:val="clear" w:color="auto" w:fill="auto"/>
            <w:vAlign w:val="center"/>
            <w:hideMark/>
          </w:tcPr>
          <w:p w14:paraId="4816E00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r>
      <w:tr w:rsidR="004154AB" w:rsidRPr="004154AB" w14:paraId="06638E00" w14:textId="77777777" w:rsidTr="00B819FC">
        <w:trPr>
          <w:trHeight w:val="20"/>
        </w:trPr>
        <w:tc>
          <w:tcPr>
            <w:tcW w:w="896" w:type="dxa"/>
            <w:vMerge/>
            <w:tcBorders>
              <w:top w:val="nil"/>
              <w:left w:val="single" w:sz="4" w:space="0" w:color="auto"/>
              <w:bottom w:val="single" w:sz="4" w:space="0" w:color="000000"/>
              <w:right w:val="single" w:sz="4" w:space="0" w:color="auto"/>
            </w:tcBorders>
            <w:vAlign w:val="center"/>
            <w:hideMark/>
          </w:tcPr>
          <w:p w14:paraId="24197946"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004E3B1D"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543E825A"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7D1BA716"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8E5F0E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185795C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7319AE2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3B3C387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104DE1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16DC496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1BF86BF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452355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00D4882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477C8D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32617C7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vMerge/>
            <w:tcBorders>
              <w:top w:val="nil"/>
              <w:left w:val="single" w:sz="4" w:space="0" w:color="auto"/>
              <w:bottom w:val="single" w:sz="4" w:space="0" w:color="000000"/>
              <w:right w:val="single" w:sz="4" w:space="0" w:color="auto"/>
            </w:tcBorders>
            <w:vAlign w:val="center"/>
            <w:hideMark/>
          </w:tcPr>
          <w:p w14:paraId="60F08678"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39432C27" w14:textId="77777777" w:rsidTr="004154AB">
        <w:trPr>
          <w:trHeight w:val="230"/>
        </w:trPr>
        <w:tc>
          <w:tcPr>
            <w:tcW w:w="896" w:type="dxa"/>
            <w:vMerge/>
            <w:tcBorders>
              <w:top w:val="nil"/>
              <w:left w:val="single" w:sz="4" w:space="0" w:color="auto"/>
              <w:bottom w:val="single" w:sz="4" w:space="0" w:color="000000"/>
              <w:right w:val="single" w:sz="4" w:space="0" w:color="auto"/>
            </w:tcBorders>
            <w:vAlign w:val="center"/>
            <w:hideMark/>
          </w:tcPr>
          <w:p w14:paraId="344B58C3" w14:textId="77777777" w:rsidR="004154AB" w:rsidRPr="004154AB" w:rsidRDefault="004154AB" w:rsidP="004154AB">
            <w:pPr>
              <w:rPr>
                <w:rFonts w:ascii="Arial" w:eastAsia="Times New Roman" w:hAnsi="Arial" w:cs="Arial"/>
                <w:color w:val="000000"/>
                <w:sz w:val="14"/>
                <w:szCs w:val="14"/>
                <w:lang w:val="cs-CZ" w:eastAsia="cs-CZ"/>
              </w:rPr>
            </w:pPr>
          </w:p>
        </w:tc>
        <w:tc>
          <w:tcPr>
            <w:tcW w:w="3241" w:type="dxa"/>
            <w:vMerge/>
            <w:tcBorders>
              <w:top w:val="nil"/>
              <w:left w:val="single" w:sz="4" w:space="0" w:color="auto"/>
              <w:bottom w:val="single" w:sz="4" w:space="0" w:color="000000"/>
              <w:right w:val="single" w:sz="4" w:space="0" w:color="auto"/>
            </w:tcBorders>
            <w:vAlign w:val="center"/>
            <w:hideMark/>
          </w:tcPr>
          <w:p w14:paraId="4999049C" w14:textId="77777777" w:rsidR="004154AB" w:rsidRPr="004154AB" w:rsidRDefault="004154AB" w:rsidP="004154AB">
            <w:pPr>
              <w:rPr>
                <w:rFonts w:ascii="Arial" w:eastAsia="Times New Roman" w:hAnsi="Arial" w:cs="Arial"/>
                <w:color w:val="000000"/>
                <w:sz w:val="14"/>
                <w:szCs w:val="14"/>
                <w:lang w:val="cs-CZ" w:eastAsia="cs-CZ"/>
              </w:rPr>
            </w:pPr>
          </w:p>
        </w:tc>
        <w:tc>
          <w:tcPr>
            <w:tcW w:w="986" w:type="dxa"/>
            <w:vMerge/>
            <w:tcBorders>
              <w:top w:val="nil"/>
              <w:left w:val="single" w:sz="4" w:space="0" w:color="auto"/>
              <w:bottom w:val="single" w:sz="4" w:space="0" w:color="000000"/>
              <w:right w:val="single" w:sz="4" w:space="0" w:color="auto"/>
            </w:tcBorders>
            <w:vAlign w:val="center"/>
            <w:hideMark/>
          </w:tcPr>
          <w:p w14:paraId="0E52B15D" w14:textId="77777777" w:rsidR="004154AB" w:rsidRPr="004154AB" w:rsidRDefault="004154AB" w:rsidP="004154AB">
            <w:pPr>
              <w:rPr>
                <w:rFonts w:ascii="Arial" w:eastAsia="Times New Roman" w:hAnsi="Arial" w:cs="Arial"/>
                <w:color w:val="000000"/>
                <w:sz w:val="14"/>
                <w:szCs w:val="14"/>
                <w:lang w:val="cs-CZ" w:eastAsia="cs-CZ"/>
              </w:rPr>
            </w:pPr>
          </w:p>
        </w:tc>
        <w:tc>
          <w:tcPr>
            <w:tcW w:w="841" w:type="dxa"/>
            <w:vMerge/>
            <w:tcBorders>
              <w:top w:val="nil"/>
              <w:left w:val="single" w:sz="4" w:space="0" w:color="auto"/>
              <w:bottom w:val="single" w:sz="4" w:space="0" w:color="000000"/>
              <w:right w:val="single" w:sz="4" w:space="0" w:color="auto"/>
            </w:tcBorders>
            <w:vAlign w:val="center"/>
            <w:hideMark/>
          </w:tcPr>
          <w:p w14:paraId="156AE45A" w14:textId="77777777" w:rsidR="004154AB" w:rsidRPr="004154AB" w:rsidRDefault="004154AB" w:rsidP="004154AB">
            <w:pPr>
              <w:rPr>
                <w:rFonts w:ascii="Arial" w:eastAsia="Times New Roman" w:hAnsi="Arial" w:cs="Arial"/>
                <w:color w:val="000000"/>
                <w:sz w:val="14"/>
                <w:szCs w:val="14"/>
                <w:lang w:val="cs-CZ" w:eastAsia="cs-CZ"/>
              </w:rPr>
            </w:pPr>
          </w:p>
        </w:tc>
        <w:tc>
          <w:tcPr>
            <w:tcW w:w="802" w:type="dxa"/>
            <w:tcBorders>
              <w:top w:val="nil"/>
              <w:left w:val="nil"/>
              <w:bottom w:val="single" w:sz="4" w:space="0" w:color="auto"/>
              <w:right w:val="single" w:sz="4" w:space="0" w:color="auto"/>
            </w:tcBorders>
            <w:shd w:val="clear" w:color="auto" w:fill="auto"/>
            <w:vAlign w:val="center"/>
            <w:hideMark/>
          </w:tcPr>
          <w:p w14:paraId="40C700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2D6DE3D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6BCB74A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7747A6B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12D408E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3" w:type="dxa"/>
            <w:tcBorders>
              <w:top w:val="nil"/>
              <w:left w:val="nil"/>
              <w:bottom w:val="single" w:sz="4" w:space="0" w:color="auto"/>
              <w:right w:val="single" w:sz="4" w:space="0" w:color="auto"/>
            </w:tcBorders>
            <w:shd w:val="clear" w:color="auto" w:fill="auto"/>
            <w:vAlign w:val="center"/>
            <w:hideMark/>
          </w:tcPr>
          <w:p w14:paraId="6B66964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59A108F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11E316C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4FEC7DB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2" w:type="dxa"/>
            <w:tcBorders>
              <w:top w:val="nil"/>
              <w:left w:val="nil"/>
              <w:bottom w:val="single" w:sz="4" w:space="0" w:color="auto"/>
              <w:right w:val="single" w:sz="4" w:space="0" w:color="auto"/>
            </w:tcBorders>
            <w:shd w:val="clear" w:color="auto" w:fill="auto"/>
            <w:vAlign w:val="center"/>
            <w:hideMark/>
          </w:tcPr>
          <w:p w14:paraId="3EA0D27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18" w:type="dxa"/>
            <w:tcBorders>
              <w:top w:val="nil"/>
              <w:left w:val="nil"/>
              <w:bottom w:val="single" w:sz="4" w:space="0" w:color="auto"/>
              <w:right w:val="single" w:sz="4" w:space="0" w:color="auto"/>
            </w:tcBorders>
            <w:shd w:val="clear" w:color="auto" w:fill="auto"/>
            <w:vAlign w:val="center"/>
            <w:hideMark/>
          </w:tcPr>
          <w:p w14:paraId="3AB7F7E7" w14:textId="75CA9186"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vMerge/>
            <w:tcBorders>
              <w:top w:val="nil"/>
              <w:left w:val="single" w:sz="4" w:space="0" w:color="auto"/>
              <w:bottom w:val="single" w:sz="4" w:space="0" w:color="000000"/>
              <w:right w:val="single" w:sz="4" w:space="0" w:color="auto"/>
            </w:tcBorders>
            <w:vAlign w:val="center"/>
            <w:hideMark/>
          </w:tcPr>
          <w:p w14:paraId="3EAE2160" w14:textId="77777777" w:rsidR="004154AB" w:rsidRPr="004154AB" w:rsidRDefault="004154AB" w:rsidP="004154AB">
            <w:pPr>
              <w:rPr>
                <w:rFonts w:ascii="Arial" w:eastAsia="Times New Roman" w:hAnsi="Arial" w:cs="Arial"/>
                <w:color w:val="000000"/>
                <w:sz w:val="14"/>
                <w:szCs w:val="14"/>
                <w:lang w:val="cs-CZ" w:eastAsia="cs-CZ"/>
              </w:rPr>
            </w:pPr>
          </w:p>
        </w:tc>
      </w:tr>
    </w:tbl>
    <w:p w14:paraId="5229BD80" w14:textId="77777777" w:rsidR="00E05F8E" w:rsidRPr="002F2BE4" w:rsidRDefault="00E05F8E" w:rsidP="00B329E7">
      <w:pPr>
        <w:ind w:left="113" w:right="108"/>
        <w:jc w:val="both"/>
        <w:rPr>
          <w:rFonts w:ascii="Arial" w:eastAsia="Arial" w:hAnsi="Arial" w:cs="Arial"/>
          <w:color w:val="000000"/>
          <w:sz w:val="20"/>
          <w:lang w:val="cs-CZ"/>
        </w:rPr>
      </w:pPr>
    </w:p>
    <w:p w14:paraId="61B99E96" w14:textId="77777777" w:rsidR="00FD35AB" w:rsidRPr="002F2BE4" w:rsidRDefault="00FD35AB" w:rsidP="00503415">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03.1.49 Trvalé začlenění mladých lidí na trh práce, mimo jiné pomocí “záruky pro mladé lidi”, a to zejména těch, kteří nejsou ve vzdělávání, v zaměstnání nebo v profesní přípravě, včetně těch mladých lidí, kterým hrozí sociální vyloučení, a mladých lidí z marginalizovaných komunit</w:t>
      </w:r>
    </w:p>
    <w:tbl>
      <w:tblPr>
        <w:tblW w:w="15845" w:type="dxa"/>
        <w:tblInd w:w="75" w:type="dxa"/>
        <w:tblCellMar>
          <w:left w:w="70" w:type="dxa"/>
          <w:right w:w="70" w:type="dxa"/>
        </w:tblCellMar>
        <w:tblLook w:val="04A0" w:firstRow="1" w:lastRow="0" w:firstColumn="1" w:lastColumn="0" w:noHBand="0" w:noVBand="1"/>
      </w:tblPr>
      <w:tblGrid>
        <w:gridCol w:w="915"/>
        <w:gridCol w:w="3327"/>
        <w:gridCol w:w="1010"/>
        <w:gridCol w:w="887"/>
        <w:gridCol w:w="785"/>
        <w:gridCol w:w="786"/>
        <w:gridCol w:w="786"/>
        <w:gridCol w:w="786"/>
        <w:gridCol w:w="786"/>
        <w:gridCol w:w="786"/>
        <w:gridCol w:w="786"/>
        <w:gridCol w:w="786"/>
        <w:gridCol w:w="786"/>
        <w:gridCol w:w="786"/>
        <w:gridCol w:w="12"/>
        <w:gridCol w:w="992"/>
        <w:gridCol w:w="7"/>
        <w:gridCol w:w="836"/>
      </w:tblGrid>
      <w:tr w:rsidR="004154AB" w:rsidRPr="004154AB" w14:paraId="05C9F98B" w14:textId="77777777" w:rsidTr="00B819FC">
        <w:trPr>
          <w:trHeight w:val="20"/>
        </w:trPr>
        <w:tc>
          <w:tcPr>
            <w:tcW w:w="9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6E5FF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3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57B5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10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9EAA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EB38D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3BF18BC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3C8BC65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594556F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54262DA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57B1428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4652AC2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6CA3565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51334ED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3863AF9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63553EB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975" w:type="dxa"/>
            <w:gridSpan w:val="2"/>
            <w:tcBorders>
              <w:top w:val="single" w:sz="4" w:space="0" w:color="auto"/>
              <w:left w:val="nil"/>
              <w:bottom w:val="single" w:sz="4" w:space="0" w:color="auto"/>
              <w:right w:val="single" w:sz="4" w:space="0" w:color="auto"/>
            </w:tcBorders>
            <w:shd w:val="clear" w:color="auto" w:fill="auto"/>
            <w:vAlign w:val="center"/>
            <w:hideMark/>
          </w:tcPr>
          <w:p w14:paraId="585448D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4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7BA08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6C8C9A75" w14:textId="77777777" w:rsidTr="00B819FC">
        <w:trPr>
          <w:trHeight w:val="20"/>
        </w:trPr>
        <w:tc>
          <w:tcPr>
            <w:tcW w:w="919" w:type="dxa"/>
            <w:vMerge/>
            <w:tcBorders>
              <w:top w:val="single" w:sz="4" w:space="0" w:color="auto"/>
              <w:left w:val="single" w:sz="4" w:space="0" w:color="auto"/>
              <w:bottom w:val="single" w:sz="4" w:space="0" w:color="auto"/>
              <w:right w:val="single" w:sz="4" w:space="0" w:color="auto"/>
            </w:tcBorders>
            <w:vAlign w:val="center"/>
            <w:hideMark/>
          </w:tcPr>
          <w:p w14:paraId="3076FA33" w14:textId="77777777" w:rsidR="004154AB" w:rsidRPr="004154AB" w:rsidRDefault="004154AB" w:rsidP="004154AB">
            <w:pPr>
              <w:rPr>
                <w:rFonts w:ascii="Arial" w:eastAsia="Times New Roman" w:hAnsi="Arial" w:cs="Arial"/>
                <w:b/>
                <w:bCs/>
                <w:color w:val="000000"/>
                <w:sz w:val="14"/>
                <w:szCs w:val="14"/>
                <w:lang w:val="cs-CZ" w:eastAsia="cs-CZ"/>
              </w:rPr>
            </w:pPr>
          </w:p>
        </w:tc>
        <w:tc>
          <w:tcPr>
            <w:tcW w:w="3338" w:type="dxa"/>
            <w:vMerge/>
            <w:tcBorders>
              <w:top w:val="single" w:sz="4" w:space="0" w:color="auto"/>
              <w:left w:val="single" w:sz="4" w:space="0" w:color="auto"/>
              <w:bottom w:val="single" w:sz="4" w:space="0" w:color="auto"/>
              <w:right w:val="single" w:sz="4" w:space="0" w:color="auto"/>
            </w:tcBorders>
            <w:vAlign w:val="center"/>
            <w:hideMark/>
          </w:tcPr>
          <w:p w14:paraId="5F6952EA" w14:textId="77777777" w:rsidR="004154AB" w:rsidRPr="004154AB" w:rsidRDefault="004154AB" w:rsidP="004154AB">
            <w:pPr>
              <w:rPr>
                <w:rFonts w:ascii="Arial" w:eastAsia="Times New Roman" w:hAnsi="Arial" w:cs="Arial"/>
                <w:b/>
                <w:bCs/>
                <w:color w:val="000000"/>
                <w:sz w:val="14"/>
                <w:szCs w:val="14"/>
                <w:lang w:val="cs-CZ" w:eastAsia="cs-CZ"/>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14:paraId="669EB36C" w14:textId="77777777" w:rsidR="004154AB" w:rsidRPr="004154AB" w:rsidRDefault="004154AB" w:rsidP="004154AB">
            <w:pPr>
              <w:rPr>
                <w:rFonts w:ascii="Arial" w:eastAsia="Times New Roman" w:hAnsi="Arial" w:cs="Arial"/>
                <w:b/>
                <w:bCs/>
                <w:color w:val="000000"/>
                <w:sz w:val="14"/>
                <w:szCs w:val="14"/>
                <w:lang w:val="cs-CZ" w:eastAsia="cs-CZ"/>
              </w:rPr>
            </w:pPr>
          </w:p>
        </w:tc>
        <w:tc>
          <w:tcPr>
            <w:tcW w:w="881" w:type="dxa"/>
            <w:vMerge/>
            <w:tcBorders>
              <w:top w:val="single" w:sz="4" w:space="0" w:color="auto"/>
              <w:left w:val="single" w:sz="4" w:space="0" w:color="auto"/>
              <w:bottom w:val="single" w:sz="4" w:space="0" w:color="000000"/>
              <w:right w:val="single" w:sz="4" w:space="0" w:color="auto"/>
            </w:tcBorders>
            <w:vAlign w:val="center"/>
            <w:hideMark/>
          </w:tcPr>
          <w:p w14:paraId="71561CF5" w14:textId="77777777" w:rsidR="004154AB" w:rsidRPr="004154AB" w:rsidRDefault="004154AB" w:rsidP="004154AB">
            <w:pPr>
              <w:rPr>
                <w:rFonts w:ascii="Arial" w:eastAsia="Times New Roman" w:hAnsi="Arial" w:cs="Arial"/>
                <w:b/>
                <w:bCs/>
                <w:color w:val="000000"/>
                <w:sz w:val="14"/>
                <w:szCs w:val="14"/>
                <w:lang w:val="cs-CZ" w:eastAsia="cs-CZ"/>
              </w:rPr>
            </w:pPr>
          </w:p>
        </w:tc>
        <w:tc>
          <w:tcPr>
            <w:tcW w:w="7877" w:type="dxa"/>
            <w:gridSpan w:val="11"/>
            <w:tcBorders>
              <w:top w:val="single" w:sz="4" w:space="0" w:color="auto"/>
              <w:left w:val="nil"/>
              <w:bottom w:val="single" w:sz="4" w:space="0" w:color="auto"/>
              <w:right w:val="single" w:sz="4" w:space="0" w:color="auto"/>
            </w:tcBorders>
            <w:shd w:val="clear" w:color="auto" w:fill="auto"/>
            <w:vAlign w:val="center"/>
            <w:hideMark/>
          </w:tcPr>
          <w:p w14:paraId="0FA1E45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975" w:type="dxa"/>
            <w:gridSpan w:val="2"/>
            <w:tcBorders>
              <w:top w:val="nil"/>
              <w:left w:val="nil"/>
              <w:bottom w:val="single" w:sz="4" w:space="0" w:color="auto"/>
              <w:right w:val="single" w:sz="4" w:space="0" w:color="auto"/>
            </w:tcBorders>
            <w:shd w:val="clear" w:color="auto" w:fill="auto"/>
            <w:vAlign w:val="center"/>
            <w:hideMark/>
          </w:tcPr>
          <w:p w14:paraId="50C1582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43" w:type="dxa"/>
            <w:vMerge/>
            <w:tcBorders>
              <w:top w:val="single" w:sz="4" w:space="0" w:color="auto"/>
              <w:left w:val="single" w:sz="4" w:space="0" w:color="auto"/>
              <w:bottom w:val="single" w:sz="4" w:space="0" w:color="000000"/>
              <w:right w:val="single" w:sz="4" w:space="0" w:color="auto"/>
            </w:tcBorders>
            <w:vAlign w:val="center"/>
            <w:hideMark/>
          </w:tcPr>
          <w:p w14:paraId="245F0697"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7B009ACB" w14:textId="77777777" w:rsidTr="00B819FC">
        <w:trPr>
          <w:trHeight w:val="20"/>
        </w:trPr>
        <w:tc>
          <w:tcPr>
            <w:tcW w:w="919" w:type="dxa"/>
            <w:vMerge/>
            <w:tcBorders>
              <w:top w:val="single" w:sz="4" w:space="0" w:color="auto"/>
              <w:left w:val="single" w:sz="4" w:space="0" w:color="auto"/>
              <w:bottom w:val="single" w:sz="4" w:space="0" w:color="auto"/>
              <w:right w:val="single" w:sz="4" w:space="0" w:color="auto"/>
            </w:tcBorders>
            <w:vAlign w:val="center"/>
            <w:hideMark/>
          </w:tcPr>
          <w:p w14:paraId="690E5EE8" w14:textId="77777777" w:rsidR="004154AB" w:rsidRPr="004154AB" w:rsidRDefault="004154AB" w:rsidP="004154AB">
            <w:pPr>
              <w:rPr>
                <w:rFonts w:ascii="Arial" w:eastAsia="Times New Roman" w:hAnsi="Arial" w:cs="Arial"/>
                <w:b/>
                <w:bCs/>
                <w:color w:val="000000"/>
                <w:sz w:val="14"/>
                <w:szCs w:val="14"/>
                <w:lang w:val="cs-CZ" w:eastAsia="cs-CZ"/>
              </w:rPr>
            </w:pPr>
          </w:p>
        </w:tc>
        <w:tc>
          <w:tcPr>
            <w:tcW w:w="3338" w:type="dxa"/>
            <w:vMerge/>
            <w:tcBorders>
              <w:top w:val="single" w:sz="4" w:space="0" w:color="auto"/>
              <w:left w:val="single" w:sz="4" w:space="0" w:color="auto"/>
              <w:bottom w:val="single" w:sz="4" w:space="0" w:color="auto"/>
              <w:right w:val="single" w:sz="4" w:space="0" w:color="auto"/>
            </w:tcBorders>
            <w:vAlign w:val="center"/>
            <w:hideMark/>
          </w:tcPr>
          <w:p w14:paraId="675BD367" w14:textId="77777777" w:rsidR="004154AB" w:rsidRPr="004154AB" w:rsidRDefault="004154AB" w:rsidP="004154AB">
            <w:pPr>
              <w:rPr>
                <w:rFonts w:ascii="Arial" w:eastAsia="Times New Roman" w:hAnsi="Arial" w:cs="Arial"/>
                <w:b/>
                <w:bCs/>
                <w:color w:val="000000"/>
                <w:sz w:val="14"/>
                <w:szCs w:val="14"/>
                <w:lang w:val="cs-CZ" w:eastAsia="cs-CZ"/>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14:paraId="48CA108D" w14:textId="77777777" w:rsidR="004154AB" w:rsidRPr="004154AB" w:rsidRDefault="004154AB" w:rsidP="004154AB">
            <w:pPr>
              <w:rPr>
                <w:rFonts w:ascii="Arial" w:eastAsia="Times New Roman" w:hAnsi="Arial" w:cs="Arial"/>
                <w:b/>
                <w:bCs/>
                <w:color w:val="000000"/>
                <w:sz w:val="14"/>
                <w:szCs w:val="14"/>
                <w:lang w:val="cs-CZ" w:eastAsia="cs-CZ"/>
              </w:rPr>
            </w:pPr>
          </w:p>
        </w:tc>
        <w:tc>
          <w:tcPr>
            <w:tcW w:w="881" w:type="dxa"/>
            <w:vMerge/>
            <w:tcBorders>
              <w:top w:val="single" w:sz="4" w:space="0" w:color="auto"/>
              <w:left w:val="single" w:sz="4" w:space="0" w:color="auto"/>
              <w:bottom w:val="single" w:sz="4" w:space="0" w:color="000000"/>
              <w:right w:val="single" w:sz="4" w:space="0" w:color="auto"/>
            </w:tcBorders>
            <w:vAlign w:val="center"/>
            <w:hideMark/>
          </w:tcPr>
          <w:p w14:paraId="0AE9CDEA" w14:textId="77777777" w:rsidR="004154AB" w:rsidRPr="004154AB" w:rsidRDefault="004154AB" w:rsidP="004154AB">
            <w:pPr>
              <w:rPr>
                <w:rFonts w:ascii="Arial" w:eastAsia="Times New Roman" w:hAnsi="Arial" w:cs="Arial"/>
                <w:b/>
                <w:bCs/>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468D319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31B3844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4EE69A9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7FC67EC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7CFAA14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360962A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211B70E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34C5F5A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296EBF7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18B34AD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75" w:type="dxa"/>
            <w:gridSpan w:val="2"/>
            <w:tcBorders>
              <w:top w:val="nil"/>
              <w:left w:val="nil"/>
              <w:bottom w:val="single" w:sz="4" w:space="0" w:color="auto"/>
              <w:right w:val="single" w:sz="4" w:space="0" w:color="auto"/>
            </w:tcBorders>
            <w:shd w:val="clear" w:color="auto" w:fill="auto"/>
            <w:vAlign w:val="center"/>
            <w:hideMark/>
          </w:tcPr>
          <w:p w14:paraId="314AC61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gridSpan w:val="2"/>
            <w:vMerge/>
            <w:tcBorders>
              <w:top w:val="single" w:sz="4" w:space="0" w:color="auto"/>
              <w:left w:val="single" w:sz="4" w:space="0" w:color="auto"/>
              <w:bottom w:val="single" w:sz="4" w:space="0" w:color="000000"/>
              <w:right w:val="single" w:sz="4" w:space="0" w:color="auto"/>
            </w:tcBorders>
            <w:vAlign w:val="center"/>
            <w:hideMark/>
          </w:tcPr>
          <w:p w14:paraId="1C9E2BBC"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0CB8E6E3" w14:textId="77777777" w:rsidTr="00B819FC">
        <w:trPr>
          <w:trHeight w:val="20"/>
        </w:trPr>
        <w:tc>
          <w:tcPr>
            <w:tcW w:w="919" w:type="dxa"/>
            <w:vMerge/>
            <w:tcBorders>
              <w:top w:val="single" w:sz="4" w:space="0" w:color="auto"/>
              <w:left w:val="single" w:sz="4" w:space="0" w:color="auto"/>
              <w:bottom w:val="single" w:sz="4" w:space="0" w:color="auto"/>
              <w:right w:val="single" w:sz="4" w:space="0" w:color="auto"/>
            </w:tcBorders>
            <w:vAlign w:val="center"/>
            <w:hideMark/>
          </w:tcPr>
          <w:p w14:paraId="613F533B" w14:textId="77777777" w:rsidR="004154AB" w:rsidRPr="004154AB" w:rsidRDefault="004154AB" w:rsidP="004154AB">
            <w:pPr>
              <w:rPr>
                <w:rFonts w:ascii="Arial" w:eastAsia="Times New Roman" w:hAnsi="Arial" w:cs="Arial"/>
                <w:b/>
                <w:bCs/>
                <w:color w:val="000000"/>
                <w:sz w:val="14"/>
                <w:szCs w:val="14"/>
                <w:lang w:val="cs-CZ" w:eastAsia="cs-CZ"/>
              </w:rPr>
            </w:pPr>
          </w:p>
        </w:tc>
        <w:tc>
          <w:tcPr>
            <w:tcW w:w="3338" w:type="dxa"/>
            <w:vMerge/>
            <w:tcBorders>
              <w:top w:val="single" w:sz="4" w:space="0" w:color="auto"/>
              <w:left w:val="single" w:sz="4" w:space="0" w:color="auto"/>
              <w:bottom w:val="single" w:sz="4" w:space="0" w:color="auto"/>
              <w:right w:val="single" w:sz="4" w:space="0" w:color="auto"/>
            </w:tcBorders>
            <w:vAlign w:val="center"/>
            <w:hideMark/>
          </w:tcPr>
          <w:p w14:paraId="5568F771" w14:textId="77777777" w:rsidR="004154AB" w:rsidRPr="004154AB" w:rsidRDefault="004154AB" w:rsidP="004154AB">
            <w:pPr>
              <w:rPr>
                <w:rFonts w:ascii="Arial" w:eastAsia="Times New Roman" w:hAnsi="Arial" w:cs="Arial"/>
                <w:b/>
                <w:bCs/>
                <w:color w:val="000000"/>
                <w:sz w:val="14"/>
                <w:szCs w:val="14"/>
                <w:lang w:val="cs-CZ" w:eastAsia="cs-CZ"/>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14:paraId="36E9914E" w14:textId="77777777" w:rsidR="004154AB" w:rsidRPr="004154AB" w:rsidRDefault="004154AB" w:rsidP="004154AB">
            <w:pPr>
              <w:rPr>
                <w:rFonts w:ascii="Arial" w:eastAsia="Times New Roman" w:hAnsi="Arial" w:cs="Arial"/>
                <w:b/>
                <w:bCs/>
                <w:color w:val="000000"/>
                <w:sz w:val="14"/>
                <w:szCs w:val="14"/>
                <w:lang w:val="cs-CZ" w:eastAsia="cs-CZ"/>
              </w:rPr>
            </w:pPr>
          </w:p>
        </w:tc>
        <w:tc>
          <w:tcPr>
            <w:tcW w:w="881" w:type="dxa"/>
            <w:vMerge/>
            <w:tcBorders>
              <w:top w:val="single" w:sz="4" w:space="0" w:color="auto"/>
              <w:left w:val="single" w:sz="4" w:space="0" w:color="auto"/>
              <w:bottom w:val="single" w:sz="4" w:space="0" w:color="000000"/>
              <w:right w:val="single" w:sz="4" w:space="0" w:color="auto"/>
            </w:tcBorders>
            <w:vAlign w:val="center"/>
            <w:hideMark/>
          </w:tcPr>
          <w:p w14:paraId="39781C5A" w14:textId="77777777" w:rsidR="004154AB" w:rsidRPr="004154AB" w:rsidRDefault="004154AB" w:rsidP="004154AB">
            <w:pPr>
              <w:rPr>
                <w:rFonts w:ascii="Arial" w:eastAsia="Times New Roman" w:hAnsi="Arial" w:cs="Arial"/>
                <w:b/>
                <w:bCs/>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4FE4795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0B0F035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5A004EE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58DF475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08C0852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5CC1445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7D67C49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10EF141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3EE30B8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273E0AF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75" w:type="dxa"/>
            <w:gridSpan w:val="2"/>
            <w:tcBorders>
              <w:top w:val="nil"/>
              <w:left w:val="nil"/>
              <w:bottom w:val="single" w:sz="4" w:space="0" w:color="auto"/>
              <w:right w:val="single" w:sz="4" w:space="0" w:color="auto"/>
            </w:tcBorders>
            <w:shd w:val="clear" w:color="auto" w:fill="auto"/>
            <w:vAlign w:val="center"/>
            <w:hideMark/>
          </w:tcPr>
          <w:p w14:paraId="1237862B" w14:textId="26F7CD81"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gridSpan w:val="2"/>
            <w:vMerge/>
            <w:tcBorders>
              <w:top w:val="single" w:sz="4" w:space="0" w:color="auto"/>
              <w:left w:val="single" w:sz="4" w:space="0" w:color="auto"/>
              <w:bottom w:val="single" w:sz="4" w:space="0" w:color="000000"/>
              <w:right w:val="single" w:sz="4" w:space="0" w:color="auto"/>
            </w:tcBorders>
            <w:vAlign w:val="center"/>
            <w:hideMark/>
          </w:tcPr>
          <w:p w14:paraId="7722CA54" w14:textId="77777777" w:rsidR="004154AB" w:rsidRPr="004154AB" w:rsidRDefault="004154AB" w:rsidP="004154AB">
            <w:pPr>
              <w:rPr>
                <w:rFonts w:ascii="Arial" w:eastAsia="Times New Roman" w:hAnsi="Arial" w:cs="Arial"/>
                <w:b/>
                <w:bCs/>
                <w:color w:val="000000"/>
                <w:sz w:val="14"/>
                <w:szCs w:val="14"/>
                <w:lang w:val="cs-CZ" w:eastAsia="cs-CZ"/>
              </w:rPr>
            </w:pPr>
          </w:p>
        </w:tc>
      </w:tr>
    </w:tbl>
    <w:p w14:paraId="00501FBC" w14:textId="60F38FF2" w:rsidR="00E334C0" w:rsidRDefault="00E334C0" w:rsidP="004154AB">
      <w:pPr>
        <w:ind w:right="108"/>
        <w:jc w:val="both"/>
        <w:rPr>
          <w:rFonts w:ascii="Arial" w:eastAsia="Arial" w:hAnsi="Arial" w:cs="Arial"/>
          <w:color w:val="000000"/>
          <w:sz w:val="20"/>
          <w:lang w:val="cs-CZ"/>
        </w:rPr>
      </w:pPr>
    </w:p>
    <w:p w14:paraId="571299B3" w14:textId="77777777" w:rsidR="00FD35AB" w:rsidRDefault="00FD35AB" w:rsidP="00105038">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03.1.51 Rovnost žen a mužů ve všech oblastech, a to i pokud jde o přístup k zaměstnání a kariérní postup, sladění pracovního a soukromého života a podpora stejné odměny za stejnou práci</w:t>
      </w:r>
    </w:p>
    <w:tbl>
      <w:tblPr>
        <w:tblW w:w="15831" w:type="dxa"/>
        <w:tblInd w:w="75" w:type="dxa"/>
        <w:tblCellMar>
          <w:left w:w="70" w:type="dxa"/>
          <w:right w:w="70" w:type="dxa"/>
        </w:tblCellMar>
        <w:tblLook w:val="04A0" w:firstRow="1" w:lastRow="0" w:firstColumn="1" w:lastColumn="0" w:noHBand="0" w:noVBand="1"/>
      </w:tblPr>
      <w:tblGrid>
        <w:gridCol w:w="940"/>
        <w:gridCol w:w="2920"/>
        <w:gridCol w:w="926"/>
        <w:gridCol w:w="892"/>
        <w:gridCol w:w="829"/>
        <w:gridCol w:w="829"/>
        <w:gridCol w:w="830"/>
        <w:gridCol w:w="830"/>
        <w:gridCol w:w="830"/>
        <w:gridCol w:w="830"/>
        <w:gridCol w:w="830"/>
        <w:gridCol w:w="830"/>
        <w:gridCol w:w="830"/>
        <w:gridCol w:w="831"/>
        <w:gridCol w:w="9"/>
        <w:gridCol w:w="1000"/>
        <w:gridCol w:w="9"/>
        <w:gridCol w:w="836"/>
      </w:tblGrid>
      <w:tr w:rsidR="00B819FC" w:rsidRPr="004154AB" w14:paraId="191EF263" w14:textId="77777777" w:rsidTr="00B819FC">
        <w:trPr>
          <w:trHeight w:val="20"/>
          <w:tblHeader/>
        </w:trPr>
        <w:tc>
          <w:tcPr>
            <w:tcW w:w="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2E9B3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29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060EF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78B5C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E1846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07A154B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533B962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2FFCD77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1E30D5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4E84321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4081F0D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5400940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353BFEC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59A8F1A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414B6EB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05E2E3D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4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4B203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4E5B1E85" w14:textId="77777777" w:rsidTr="00B819FC">
        <w:trPr>
          <w:trHeight w:val="20"/>
          <w:tblHeader/>
        </w:trPr>
        <w:tc>
          <w:tcPr>
            <w:tcW w:w="938" w:type="dxa"/>
            <w:vMerge/>
            <w:tcBorders>
              <w:top w:val="single" w:sz="4" w:space="0" w:color="auto"/>
              <w:left w:val="single" w:sz="4" w:space="0" w:color="auto"/>
              <w:bottom w:val="single" w:sz="4" w:space="0" w:color="auto"/>
              <w:right w:val="single" w:sz="4" w:space="0" w:color="auto"/>
            </w:tcBorders>
            <w:vAlign w:val="center"/>
            <w:hideMark/>
          </w:tcPr>
          <w:p w14:paraId="534579BC" w14:textId="77777777" w:rsidR="004154AB" w:rsidRPr="004154AB" w:rsidRDefault="004154AB" w:rsidP="004154AB">
            <w:pPr>
              <w:rPr>
                <w:rFonts w:ascii="Arial" w:eastAsia="Times New Roman" w:hAnsi="Arial" w:cs="Arial"/>
                <w:b/>
                <w:bCs/>
                <w:color w:val="000000"/>
                <w:sz w:val="14"/>
                <w:szCs w:val="14"/>
                <w:lang w:val="cs-CZ" w:eastAsia="cs-CZ"/>
              </w:rPr>
            </w:pPr>
          </w:p>
        </w:tc>
        <w:tc>
          <w:tcPr>
            <w:tcW w:w="2917" w:type="dxa"/>
            <w:vMerge/>
            <w:tcBorders>
              <w:top w:val="single" w:sz="4" w:space="0" w:color="auto"/>
              <w:left w:val="single" w:sz="4" w:space="0" w:color="auto"/>
              <w:bottom w:val="single" w:sz="4" w:space="0" w:color="auto"/>
              <w:right w:val="single" w:sz="4" w:space="0" w:color="auto"/>
            </w:tcBorders>
            <w:vAlign w:val="center"/>
            <w:hideMark/>
          </w:tcPr>
          <w:p w14:paraId="2B5BFCDC" w14:textId="77777777" w:rsidR="004154AB" w:rsidRPr="004154AB" w:rsidRDefault="004154AB" w:rsidP="004154AB">
            <w:pPr>
              <w:rPr>
                <w:rFonts w:ascii="Arial" w:eastAsia="Times New Roman" w:hAnsi="Arial" w:cs="Arial"/>
                <w:b/>
                <w:bCs/>
                <w:color w:val="000000"/>
                <w:sz w:val="14"/>
                <w:szCs w:val="14"/>
                <w:lang w:val="cs-CZ" w:eastAsia="cs-CZ"/>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03005C6B" w14:textId="77777777" w:rsidR="004154AB" w:rsidRPr="004154AB" w:rsidRDefault="004154AB" w:rsidP="004154AB">
            <w:pPr>
              <w:rPr>
                <w:rFonts w:ascii="Arial" w:eastAsia="Times New Roman" w:hAnsi="Arial" w:cs="Arial"/>
                <w:b/>
                <w:bCs/>
                <w:color w:val="000000"/>
                <w:sz w:val="14"/>
                <w:szCs w:val="14"/>
                <w:lang w:val="cs-CZ" w:eastAsia="cs-CZ"/>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14:paraId="3FE615D7" w14:textId="77777777" w:rsidR="004154AB" w:rsidRPr="004154AB" w:rsidRDefault="004154AB" w:rsidP="004154AB">
            <w:pPr>
              <w:rPr>
                <w:rFonts w:ascii="Arial" w:eastAsia="Times New Roman" w:hAnsi="Arial" w:cs="Arial"/>
                <w:b/>
                <w:bCs/>
                <w:color w:val="000000"/>
                <w:sz w:val="14"/>
                <w:szCs w:val="14"/>
                <w:lang w:val="cs-CZ" w:eastAsia="cs-CZ"/>
              </w:rPr>
            </w:pPr>
          </w:p>
        </w:tc>
        <w:tc>
          <w:tcPr>
            <w:tcW w:w="8308" w:type="dxa"/>
            <w:gridSpan w:val="11"/>
            <w:tcBorders>
              <w:top w:val="single" w:sz="4" w:space="0" w:color="auto"/>
              <w:left w:val="nil"/>
              <w:bottom w:val="single" w:sz="4" w:space="0" w:color="auto"/>
              <w:right w:val="single" w:sz="4" w:space="0" w:color="auto"/>
            </w:tcBorders>
            <w:shd w:val="clear" w:color="auto" w:fill="auto"/>
            <w:vAlign w:val="center"/>
            <w:hideMark/>
          </w:tcPr>
          <w:p w14:paraId="78E0AFF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1008" w:type="dxa"/>
            <w:gridSpan w:val="2"/>
            <w:tcBorders>
              <w:top w:val="nil"/>
              <w:left w:val="nil"/>
              <w:bottom w:val="single" w:sz="4" w:space="0" w:color="auto"/>
              <w:right w:val="single" w:sz="4" w:space="0" w:color="auto"/>
            </w:tcBorders>
            <w:shd w:val="clear" w:color="auto" w:fill="auto"/>
            <w:vAlign w:val="center"/>
            <w:hideMark/>
          </w:tcPr>
          <w:p w14:paraId="5ECADBC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45" w:type="dxa"/>
            <w:vMerge/>
            <w:tcBorders>
              <w:top w:val="single" w:sz="4" w:space="0" w:color="auto"/>
              <w:left w:val="single" w:sz="4" w:space="0" w:color="auto"/>
              <w:bottom w:val="single" w:sz="4" w:space="0" w:color="000000"/>
              <w:right w:val="single" w:sz="4" w:space="0" w:color="auto"/>
            </w:tcBorders>
            <w:vAlign w:val="center"/>
            <w:hideMark/>
          </w:tcPr>
          <w:p w14:paraId="275DA3A1" w14:textId="77777777" w:rsidR="004154AB" w:rsidRPr="004154AB" w:rsidRDefault="004154AB" w:rsidP="004154AB">
            <w:pPr>
              <w:rPr>
                <w:rFonts w:ascii="Arial" w:eastAsia="Times New Roman" w:hAnsi="Arial" w:cs="Arial"/>
                <w:b/>
                <w:bCs/>
                <w:color w:val="000000"/>
                <w:sz w:val="14"/>
                <w:szCs w:val="14"/>
                <w:lang w:val="cs-CZ" w:eastAsia="cs-CZ"/>
              </w:rPr>
            </w:pPr>
          </w:p>
        </w:tc>
      </w:tr>
      <w:tr w:rsidR="00B819FC" w:rsidRPr="004154AB" w14:paraId="0CB06832" w14:textId="77777777" w:rsidTr="00B819FC">
        <w:trPr>
          <w:trHeight w:val="20"/>
          <w:tblHeader/>
        </w:trPr>
        <w:tc>
          <w:tcPr>
            <w:tcW w:w="938" w:type="dxa"/>
            <w:vMerge/>
            <w:tcBorders>
              <w:top w:val="single" w:sz="4" w:space="0" w:color="auto"/>
              <w:left w:val="single" w:sz="4" w:space="0" w:color="auto"/>
              <w:bottom w:val="single" w:sz="4" w:space="0" w:color="auto"/>
              <w:right w:val="single" w:sz="4" w:space="0" w:color="auto"/>
            </w:tcBorders>
            <w:vAlign w:val="center"/>
            <w:hideMark/>
          </w:tcPr>
          <w:p w14:paraId="18AEB5A7" w14:textId="77777777" w:rsidR="004154AB" w:rsidRPr="004154AB" w:rsidRDefault="004154AB" w:rsidP="004154AB">
            <w:pPr>
              <w:rPr>
                <w:rFonts w:ascii="Arial" w:eastAsia="Times New Roman" w:hAnsi="Arial" w:cs="Arial"/>
                <w:b/>
                <w:bCs/>
                <w:color w:val="000000"/>
                <w:sz w:val="14"/>
                <w:szCs w:val="14"/>
                <w:lang w:val="cs-CZ" w:eastAsia="cs-CZ"/>
              </w:rPr>
            </w:pPr>
          </w:p>
        </w:tc>
        <w:tc>
          <w:tcPr>
            <w:tcW w:w="2917" w:type="dxa"/>
            <w:vMerge/>
            <w:tcBorders>
              <w:top w:val="single" w:sz="4" w:space="0" w:color="auto"/>
              <w:left w:val="single" w:sz="4" w:space="0" w:color="auto"/>
              <w:bottom w:val="single" w:sz="4" w:space="0" w:color="auto"/>
              <w:right w:val="single" w:sz="4" w:space="0" w:color="auto"/>
            </w:tcBorders>
            <w:vAlign w:val="center"/>
            <w:hideMark/>
          </w:tcPr>
          <w:p w14:paraId="017B7946" w14:textId="77777777" w:rsidR="004154AB" w:rsidRPr="004154AB" w:rsidRDefault="004154AB" w:rsidP="004154AB">
            <w:pPr>
              <w:rPr>
                <w:rFonts w:ascii="Arial" w:eastAsia="Times New Roman" w:hAnsi="Arial" w:cs="Arial"/>
                <w:b/>
                <w:bCs/>
                <w:color w:val="000000"/>
                <w:sz w:val="14"/>
                <w:szCs w:val="14"/>
                <w:lang w:val="cs-CZ" w:eastAsia="cs-CZ"/>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78E82F58" w14:textId="77777777" w:rsidR="004154AB" w:rsidRPr="004154AB" w:rsidRDefault="004154AB" w:rsidP="004154AB">
            <w:pPr>
              <w:rPr>
                <w:rFonts w:ascii="Arial" w:eastAsia="Times New Roman" w:hAnsi="Arial" w:cs="Arial"/>
                <w:b/>
                <w:bCs/>
                <w:color w:val="000000"/>
                <w:sz w:val="14"/>
                <w:szCs w:val="14"/>
                <w:lang w:val="cs-CZ" w:eastAsia="cs-CZ"/>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14:paraId="7E6D36A8" w14:textId="77777777" w:rsidR="004154AB" w:rsidRPr="004154AB" w:rsidRDefault="004154AB" w:rsidP="004154AB">
            <w:pPr>
              <w:rPr>
                <w:rFonts w:ascii="Arial" w:eastAsia="Times New Roman" w:hAnsi="Arial" w:cs="Arial"/>
                <w:b/>
                <w:bCs/>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3ED6C1C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29" w:type="dxa"/>
            <w:tcBorders>
              <w:top w:val="nil"/>
              <w:left w:val="nil"/>
              <w:bottom w:val="single" w:sz="4" w:space="0" w:color="auto"/>
              <w:right w:val="single" w:sz="4" w:space="0" w:color="auto"/>
            </w:tcBorders>
            <w:shd w:val="clear" w:color="auto" w:fill="auto"/>
            <w:vAlign w:val="center"/>
            <w:hideMark/>
          </w:tcPr>
          <w:p w14:paraId="4FD55ED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30" w:type="dxa"/>
            <w:tcBorders>
              <w:top w:val="nil"/>
              <w:left w:val="nil"/>
              <w:bottom w:val="single" w:sz="4" w:space="0" w:color="auto"/>
              <w:right w:val="single" w:sz="4" w:space="0" w:color="auto"/>
            </w:tcBorders>
            <w:shd w:val="clear" w:color="auto" w:fill="auto"/>
            <w:vAlign w:val="center"/>
            <w:hideMark/>
          </w:tcPr>
          <w:p w14:paraId="47A42CA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30" w:type="dxa"/>
            <w:tcBorders>
              <w:top w:val="nil"/>
              <w:left w:val="nil"/>
              <w:bottom w:val="single" w:sz="4" w:space="0" w:color="auto"/>
              <w:right w:val="single" w:sz="4" w:space="0" w:color="auto"/>
            </w:tcBorders>
            <w:shd w:val="clear" w:color="auto" w:fill="auto"/>
            <w:vAlign w:val="center"/>
            <w:hideMark/>
          </w:tcPr>
          <w:p w14:paraId="0051041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30" w:type="dxa"/>
            <w:tcBorders>
              <w:top w:val="nil"/>
              <w:left w:val="nil"/>
              <w:bottom w:val="single" w:sz="4" w:space="0" w:color="auto"/>
              <w:right w:val="single" w:sz="4" w:space="0" w:color="auto"/>
            </w:tcBorders>
            <w:shd w:val="clear" w:color="auto" w:fill="auto"/>
            <w:vAlign w:val="center"/>
            <w:hideMark/>
          </w:tcPr>
          <w:p w14:paraId="3F17AE6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30" w:type="dxa"/>
            <w:tcBorders>
              <w:top w:val="nil"/>
              <w:left w:val="nil"/>
              <w:bottom w:val="single" w:sz="4" w:space="0" w:color="auto"/>
              <w:right w:val="single" w:sz="4" w:space="0" w:color="auto"/>
            </w:tcBorders>
            <w:shd w:val="clear" w:color="auto" w:fill="auto"/>
            <w:vAlign w:val="center"/>
            <w:hideMark/>
          </w:tcPr>
          <w:p w14:paraId="0A8A14B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30" w:type="dxa"/>
            <w:tcBorders>
              <w:top w:val="nil"/>
              <w:left w:val="nil"/>
              <w:bottom w:val="single" w:sz="4" w:space="0" w:color="auto"/>
              <w:right w:val="single" w:sz="4" w:space="0" w:color="auto"/>
            </w:tcBorders>
            <w:shd w:val="clear" w:color="auto" w:fill="auto"/>
            <w:vAlign w:val="center"/>
            <w:hideMark/>
          </w:tcPr>
          <w:p w14:paraId="6E495EE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30" w:type="dxa"/>
            <w:tcBorders>
              <w:top w:val="nil"/>
              <w:left w:val="nil"/>
              <w:bottom w:val="single" w:sz="4" w:space="0" w:color="auto"/>
              <w:right w:val="single" w:sz="4" w:space="0" w:color="auto"/>
            </w:tcBorders>
            <w:shd w:val="clear" w:color="auto" w:fill="auto"/>
            <w:vAlign w:val="center"/>
            <w:hideMark/>
          </w:tcPr>
          <w:p w14:paraId="0FCBE85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30" w:type="dxa"/>
            <w:tcBorders>
              <w:top w:val="nil"/>
              <w:left w:val="nil"/>
              <w:bottom w:val="single" w:sz="4" w:space="0" w:color="auto"/>
              <w:right w:val="single" w:sz="4" w:space="0" w:color="auto"/>
            </w:tcBorders>
            <w:shd w:val="clear" w:color="auto" w:fill="auto"/>
            <w:vAlign w:val="center"/>
            <w:hideMark/>
          </w:tcPr>
          <w:p w14:paraId="1C9D32A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31" w:type="dxa"/>
            <w:tcBorders>
              <w:top w:val="nil"/>
              <w:left w:val="nil"/>
              <w:bottom w:val="single" w:sz="4" w:space="0" w:color="auto"/>
              <w:right w:val="single" w:sz="4" w:space="0" w:color="auto"/>
            </w:tcBorders>
            <w:shd w:val="clear" w:color="auto" w:fill="auto"/>
            <w:vAlign w:val="center"/>
            <w:hideMark/>
          </w:tcPr>
          <w:p w14:paraId="55AC79A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1008" w:type="dxa"/>
            <w:gridSpan w:val="2"/>
            <w:tcBorders>
              <w:top w:val="nil"/>
              <w:left w:val="nil"/>
              <w:bottom w:val="single" w:sz="4" w:space="0" w:color="auto"/>
              <w:right w:val="single" w:sz="4" w:space="0" w:color="auto"/>
            </w:tcBorders>
            <w:shd w:val="clear" w:color="auto" w:fill="auto"/>
            <w:vAlign w:val="center"/>
            <w:hideMark/>
          </w:tcPr>
          <w:p w14:paraId="54C488E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5" w:type="dxa"/>
            <w:gridSpan w:val="2"/>
            <w:vMerge/>
            <w:tcBorders>
              <w:top w:val="single" w:sz="4" w:space="0" w:color="auto"/>
              <w:left w:val="single" w:sz="4" w:space="0" w:color="auto"/>
              <w:bottom w:val="single" w:sz="4" w:space="0" w:color="000000"/>
              <w:right w:val="single" w:sz="4" w:space="0" w:color="auto"/>
            </w:tcBorders>
            <w:vAlign w:val="center"/>
            <w:hideMark/>
          </w:tcPr>
          <w:p w14:paraId="12C4384C" w14:textId="77777777" w:rsidR="004154AB" w:rsidRPr="004154AB" w:rsidRDefault="004154AB" w:rsidP="004154AB">
            <w:pPr>
              <w:rPr>
                <w:rFonts w:ascii="Arial" w:eastAsia="Times New Roman" w:hAnsi="Arial" w:cs="Arial"/>
                <w:b/>
                <w:bCs/>
                <w:color w:val="000000"/>
                <w:sz w:val="14"/>
                <w:szCs w:val="14"/>
                <w:lang w:val="cs-CZ" w:eastAsia="cs-CZ"/>
              </w:rPr>
            </w:pPr>
          </w:p>
        </w:tc>
      </w:tr>
      <w:tr w:rsidR="00B819FC" w:rsidRPr="004154AB" w14:paraId="0004B6E4" w14:textId="77777777" w:rsidTr="00B819FC">
        <w:trPr>
          <w:trHeight w:val="20"/>
        </w:trPr>
        <w:tc>
          <w:tcPr>
            <w:tcW w:w="938" w:type="dxa"/>
            <w:vMerge/>
            <w:tcBorders>
              <w:top w:val="single" w:sz="4" w:space="0" w:color="auto"/>
              <w:left w:val="single" w:sz="4" w:space="0" w:color="auto"/>
              <w:bottom w:val="single" w:sz="4" w:space="0" w:color="auto"/>
              <w:right w:val="single" w:sz="4" w:space="0" w:color="auto"/>
            </w:tcBorders>
            <w:vAlign w:val="center"/>
            <w:hideMark/>
          </w:tcPr>
          <w:p w14:paraId="6699FC8F" w14:textId="77777777" w:rsidR="004154AB" w:rsidRPr="004154AB" w:rsidRDefault="004154AB" w:rsidP="004154AB">
            <w:pPr>
              <w:rPr>
                <w:rFonts w:ascii="Arial" w:eastAsia="Times New Roman" w:hAnsi="Arial" w:cs="Arial"/>
                <w:b/>
                <w:bCs/>
                <w:color w:val="000000"/>
                <w:sz w:val="14"/>
                <w:szCs w:val="14"/>
                <w:lang w:val="cs-CZ" w:eastAsia="cs-CZ"/>
              </w:rPr>
            </w:pPr>
          </w:p>
        </w:tc>
        <w:tc>
          <w:tcPr>
            <w:tcW w:w="2917" w:type="dxa"/>
            <w:vMerge/>
            <w:tcBorders>
              <w:top w:val="single" w:sz="4" w:space="0" w:color="auto"/>
              <w:left w:val="single" w:sz="4" w:space="0" w:color="auto"/>
              <w:bottom w:val="single" w:sz="4" w:space="0" w:color="auto"/>
              <w:right w:val="single" w:sz="4" w:space="0" w:color="auto"/>
            </w:tcBorders>
            <w:vAlign w:val="center"/>
            <w:hideMark/>
          </w:tcPr>
          <w:p w14:paraId="3C7AF535" w14:textId="77777777" w:rsidR="004154AB" w:rsidRPr="004154AB" w:rsidRDefault="004154AB" w:rsidP="004154AB">
            <w:pPr>
              <w:rPr>
                <w:rFonts w:ascii="Arial" w:eastAsia="Times New Roman" w:hAnsi="Arial" w:cs="Arial"/>
                <w:b/>
                <w:bCs/>
                <w:color w:val="000000"/>
                <w:sz w:val="14"/>
                <w:szCs w:val="14"/>
                <w:lang w:val="cs-CZ" w:eastAsia="cs-CZ"/>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541DC460" w14:textId="77777777" w:rsidR="004154AB" w:rsidRPr="004154AB" w:rsidRDefault="004154AB" w:rsidP="004154AB">
            <w:pPr>
              <w:rPr>
                <w:rFonts w:ascii="Arial" w:eastAsia="Times New Roman" w:hAnsi="Arial" w:cs="Arial"/>
                <w:b/>
                <w:bCs/>
                <w:color w:val="000000"/>
                <w:sz w:val="14"/>
                <w:szCs w:val="14"/>
                <w:lang w:val="cs-CZ" w:eastAsia="cs-CZ"/>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14:paraId="150373B7" w14:textId="77777777" w:rsidR="004154AB" w:rsidRPr="004154AB" w:rsidRDefault="004154AB" w:rsidP="004154AB">
            <w:pPr>
              <w:rPr>
                <w:rFonts w:ascii="Arial" w:eastAsia="Times New Roman" w:hAnsi="Arial" w:cs="Arial"/>
                <w:b/>
                <w:bCs/>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407AE8F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29" w:type="dxa"/>
            <w:tcBorders>
              <w:top w:val="nil"/>
              <w:left w:val="nil"/>
              <w:bottom w:val="single" w:sz="4" w:space="0" w:color="auto"/>
              <w:right w:val="single" w:sz="4" w:space="0" w:color="auto"/>
            </w:tcBorders>
            <w:shd w:val="clear" w:color="auto" w:fill="auto"/>
            <w:vAlign w:val="center"/>
            <w:hideMark/>
          </w:tcPr>
          <w:p w14:paraId="4648B32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30" w:type="dxa"/>
            <w:tcBorders>
              <w:top w:val="nil"/>
              <w:left w:val="nil"/>
              <w:bottom w:val="single" w:sz="4" w:space="0" w:color="auto"/>
              <w:right w:val="single" w:sz="4" w:space="0" w:color="auto"/>
            </w:tcBorders>
            <w:shd w:val="clear" w:color="auto" w:fill="auto"/>
            <w:vAlign w:val="center"/>
            <w:hideMark/>
          </w:tcPr>
          <w:p w14:paraId="6E0EEF4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30" w:type="dxa"/>
            <w:tcBorders>
              <w:top w:val="nil"/>
              <w:left w:val="nil"/>
              <w:bottom w:val="single" w:sz="4" w:space="0" w:color="auto"/>
              <w:right w:val="single" w:sz="4" w:space="0" w:color="auto"/>
            </w:tcBorders>
            <w:shd w:val="clear" w:color="auto" w:fill="auto"/>
            <w:vAlign w:val="center"/>
            <w:hideMark/>
          </w:tcPr>
          <w:p w14:paraId="4DFE9BD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30" w:type="dxa"/>
            <w:tcBorders>
              <w:top w:val="nil"/>
              <w:left w:val="nil"/>
              <w:bottom w:val="single" w:sz="4" w:space="0" w:color="auto"/>
              <w:right w:val="single" w:sz="4" w:space="0" w:color="auto"/>
            </w:tcBorders>
            <w:shd w:val="clear" w:color="auto" w:fill="auto"/>
            <w:vAlign w:val="center"/>
            <w:hideMark/>
          </w:tcPr>
          <w:p w14:paraId="3BAE26C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30" w:type="dxa"/>
            <w:tcBorders>
              <w:top w:val="nil"/>
              <w:left w:val="nil"/>
              <w:bottom w:val="single" w:sz="4" w:space="0" w:color="auto"/>
              <w:right w:val="single" w:sz="4" w:space="0" w:color="auto"/>
            </w:tcBorders>
            <w:shd w:val="clear" w:color="auto" w:fill="auto"/>
            <w:vAlign w:val="center"/>
            <w:hideMark/>
          </w:tcPr>
          <w:p w14:paraId="2311A02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30" w:type="dxa"/>
            <w:tcBorders>
              <w:top w:val="nil"/>
              <w:left w:val="nil"/>
              <w:bottom w:val="single" w:sz="4" w:space="0" w:color="auto"/>
              <w:right w:val="single" w:sz="4" w:space="0" w:color="auto"/>
            </w:tcBorders>
            <w:shd w:val="clear" w:color="auto" w:fill="auto"/>
            <w:vAlign w:val="center"/>
            <w:hideMark/>
          </w:tcPr>
          <w:p w14:paraId="763A543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30" w:type="dxa"/>
            <w:tcBorders>
              <w:top w:val="nil"/>
              <w:left w:val="nil"/>
              <w:bottom w:val="single" w:sz="4" w:space="0" w:color="auto"/>
              <w:right w:val="single" w:sz="4" w:space="0" w:color="auto"/>
            </w:tcBorders>
            <w:shd w:val="clear" w:color="auto" w:fill="auto"/>
            <w:vAlign w:val="center"/>
            <w:hideMark/>
          </w:tcPr>
          <w:p w14:paraId="36BE47A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30" w:type="dxa"/>
            <w:tcBorders>
              <w:top w:val="nil"/>
              <w:left w:val="nil"/>
              <w:bottom w:val="single" w:sz="4" w:space="0" w:color="auto"/>
              <w:right w:val="single" w:sz="4" w:space="0" w:color="auto"/>
            </w:tcBorders>
            <w:shd w:val="clear" w:color="auto" w:fill="auto"/>
            <w:vAlign w:val="center"/>
            <w:hideMark/>
          </w:tcPr>
          <w:p w14:paraId="3CCED06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31" w:type="dxa"/>
            <w:tcBorders>
              <w:top w:val="nil"/>
              <w:left w:val="nil"/>
              <w:bottom w:val="single" w:sz="4" w:space="0" w:color="auto"/>
              <w:right w:val="single" w:sz="4" w:space="0" w:color="auto"/>
            </w:tcBorders>
            <w:shd w:val="clear" w:color="auto" w:fill="auto"/>
            <w:vAlign w:val="center"/>
            <w:hideMark/>
          </w:tcPr>
          <w:p w14:paraId="651E660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1008" w:type="dxa"/>
            <w:gridSpan w:val="2"/>
            <w:tcBorders>
              <w:top w:val="nil"/>
              <w:left w:val="nil"/>
              <w:bottom w:val="single" w:sz="4" w:space="0" w:color="auto"/>
              <w:right w:val="single" w:sz="4" w:space="0" w:color="auto"/>
            </w:tcBorders>
            <w:shd w:val="clear" w:color="auto" w:fill="auto"/>
            <w:vAlign w:val="center"/>
            <w:hideMark/>
          </w:tcPr>
          <w:p w14:paraId="5A3DB7A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5" w:type="dxa"/>
            <w:gridSpan w:val="2"/>
            <w:vMerge/>
            <w:tcBorders>
              <w:top w:val="single" w:sz="4" w:space="0" w:color="auto"/>
              <w:left w:val="single" w:sz="4" w:space="0" w:color="auto"/>
              <w:bottom w:val="single" w:sz="4" w:space="0" w:color="000000"/>
              <w:right w:val="single" w:sz="4" w:space="0" w:color="auto"/>
            </w:tcBorders>
            <w:vAlign w:val="center"/>
            <w:hideMark/>
          </w:tcPr>
          <w:p w14:paraId="0CBB1441" w14:textId="77777777" w:rsidR="004154AB" w:rsidRPr="004154AB" w:rsidRDefault="004154AB" w:rsidP="004154AB">
            <w:pPr>
              <w:rPr>
                <w:rFonts w:ascii="Arial" w:eastAsia="Times New Roman" w:hAnsi="Arial" w:cs="Arial"/>
                <w:b/>
                <w:bCs/>
                <w:color w:val="000000"/>
                <w:sz w:val="14"/>
                <w:szCs w:val="14"/>
                <w:lang w:val="cs-CZ" w:eastAsia="cs-CZ"/>
              </w:rPr>
            </w:pPr>
          </w:p>
        </w:tc>
      </w:tr>
      <w:tr w:rsidR="00B819FC" w:rsidRPr="004154AB" w14:paraId="3BDC70FD" w14:textId="77777777" w:rsidTr="00B819FC">
        <w:trPr>
          <w:trHeight w:val="20"/>
        </w:trPr>
        <w:tc>
          <w:tcPr>
            <w:tcW w:w="938" w:type="dxa"/>
            <w:vMerge w:val="restart"/>
            <w:tcBorders>
              <w:top w:val="nil"/>
              <w:left w:val="single" w:sz="4" w:space="0" w:color="auto"/>
              <w:bottom w:val="single" w:sz="4" w:space="0" w:color="000000"/>
              <w:right w:val="single" w:sz="4" w:space="0" w:color="auto"/>
            </w:tcBorders>
            <w:shd w:val="clear" w:color="auto" w:fill="auto"/>
            <w:vAlign w:val="center"/>
            <w:hideMark/>
          </w:tcPr>
          <w:p w14:paraId="4FE901E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2917" w:type="dxa"/>
            <w:vMerge w:val="restart"/>
            <w:tcBorders>
              <w:top w:val="nil"/>
              <w:left w:val="single" w:sz="4" w:space="0" w:color="auto"/>
              <w:bottom w:val="single" w:sz="4" w:space="0" w:color="000000"/>
              <w:right w:val="single" w:sz="4" w:space="0" w:color="auto"/>
            </w:tcBorders>
            <w:shd w:val="clear" w:color="auto" w:fill="auto"/>
            <w:vAlign w:val="center"/>
            <w:hideMark/>
          </w:tcPr>
          <w:p w14:paraId="38FBA44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924" w:type="dxa"/>
            <w:vMerge w:val="restart"/>
            <w:tcBorders>
              <w:top w:val="nil"/>
              <w:left w:val="single" w:sz="4" w:space="0" w:color="auto"/>
              <w:bottom w:val="single" w:sz="4" w:space="0" w:color="000000"/>
              <w:right w:val="single" w:sz="4" w:space="0" w:color="auto"/>
            </w:tcBorders>
            <w:shd w:val="clear" w:color="auto" w:fill="auto"/>
            <w:vAlign w:val="center"/>
            <w:hideMark/>
          </w:tcPr>
          <w:p w14:paraId="28DB4FC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91" w:type="dxa"/>
            <w:vMerge w:val="restart"/>
            <w:tcBorders>
              <w:top w:val="nil"/>
              <w:left w:val="single" w:sz="4" w:space="0" w:color="auto"/>
              <w:bottom w:val="single" w:sz="4" w:space="0" w:color="000000"/>
              <w:right w:val="single" w:sz="4" w:space="0" w:color="auto"/>
            </w:tcBorders>
            <w:shd w:val="clear" w:color="auto" w:fill="auto"/>
            <w:vAlign w:val="center"/>
            <w:hideMark/>
          </w:tcPr>
          <w:p w14:paraId="0090606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115,000</w:t>
            </w:r>
          </w:p>
        </w:tc>
        <w:tc>
          <w:tcPr>
            <w:tcW w:w="829" w:type="dxa"/>
            <w:tcBorders>
              <w:top w:val="nil"/>
              <w:left w:val="nil"/>
              <w:bottom w:val="nil"/>
              <w:right w:val="nil"/>
            </w:tcBorders>
            <w:shd w:val="clear" w:color="auto" w:fill="auto"/>
            <w:vAlign w:val="center"/>
            <w:hideMark/>
          </w:tcPr>
          <w:p w14:paraId="3DCF4AD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nil"/>
              <w:right w:val="nil"/>
            </w:tcBorders>
            <w:shd w:val="clear" w:color="auto" w:fill="auto"/>
            <w:vAlign w:val="center"/>
            <w:hideMark/>
          </w:tcPr>
          <w:p w14:paraId="547660B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C69062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441EC0F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6ADCBA2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0DEA43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684EAC6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D3967E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0E54CDE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nil"/>
              <w:right w:val="single" w:sz="4" w:space="0" w:color="auto"/>
            </w:tcBorders>
            <w:shd w:val="clear" w:color="auto" w:fill="auto"/>
            <w:vAlign w:val="center"/>
            <w:hideMark/>
          </w:tcPr>
          <w:p w14:paraId="666B285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nil"/>
              <w:right w:val="single" w:sz="4" w:space="0" w:color="auto"/>
            </w:tcBorders>
            <w:shd w:val="clear" w:color="auto" w:fill="auto"/>
            <w:vAlign w:val="center"/>
            <w:hideMark/>
          </w:tcPr>
          <w:p w14:paraId="37F6CE1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669,000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124D55A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581,739</w:t>
            </w:r>
          </w:p>
        </w:tc>
      </w:tr>
      <w:tr w:rsidR="00B819FC" w:rsidRPr="004154AB" w14:paraId="714CA6CF"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12E77B05"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556731E0"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72F14E04"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2E4AE205"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09CDA95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31E557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465C8ED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67E1C1E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5AD879E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3DCA967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FFA7E5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67CD8AC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5352A0F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23F6941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459C77E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1EB06CDA"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5C23E3FF"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24A83535"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640DFC35"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079161D0"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6F6212E5"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207BCD1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48777C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2ADF5F0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564E95D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FD75FA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247E526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D2B279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B9B536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0DA838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single" w:sz="4" w:space="0" w:color="auto"/>
              <w:right w:val="single" w:sz="4" w:space="0" w:color="auto"/>
            </w:tcBorders>
            <w:shd w:val="clear" w:color="auto" w:fill="auto"/>
            <w:vAlign w:val="center"/>
            <w:hideMark/>
          </w:tcPr>
          <w:p w14:paraId="49F5DE3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single" w:sz="4" w:space="0" w:color="auto"/>
              <w:right w:val="single" w:sz="4" w:space="0" w:color="auto"/>
            </w:tcBorders>
            <w:shd w:val="clear" w:color="auto" w:fill="auto"/>
            <w:vAlign w:val="center"/>
            <w:hideMark/>
          </w:tcPr>
          <w:p w14:paraId="7859BE1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25DE4C5A"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5B6C366D" w14:textId="77777777" w:rsidTr="00B819FC">
        <w:trPr>
          <w:trHeight w:val="20"/>
        </w:trPr>
        <w:tc>
          <w:tcPr>
            <w:tcW w:w="938" w:type="dxa"/>
            <w:vMerge w:val="restart"/>
            <w:tcBorders>
              <w:top w:val="nil"/>
              <w:left w:val="single" w:sz="4" w:space="0" w:color="auto"/>
              <w:bottom w:val="single" w:sz="4" w:space="0" w:color="000000"/>
              <w:right w:val="single" w:sz="4" w:space="0" w:color="auto"/>
            </w:tcBorders>
            <w:shd w:val="clear" w:color="auto" w:fill="auto"/>
            <w:vAlign w:val="center"/>
            <w:hideMark/>
          </w:tcPr>
          <w:p w14:paraId="67EE9C8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2917" w:type="dxa"/>
            <w:vMerge w:val="restart"/>
            <w:tcBorders>
              <w:top w:val="nil"/>
              <w:left w:val="single" w:sz="4" w:space="0" w:color="auto"/>
              <w:bottom w:val="single" w:sz="4" w:space="0" w:color="000000"/>
              <w:right w:val="single" w:sz="4" w:space="0" w:color="auto"/>
            </w:tcBorders>
            <w:shd w:val="clear" w:color="auto" w:fill="auto"/>
            <w:vAlign w:val="center"/>
            <w:hideMark/>
          </w:tcPr>
          <w:p w14:paraId="47F7E0A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924" w:type="dxa"/>
            <w:vMerge w:val="restart"/>
            <w:tcBorders>
              <w:top w:val="nil"/>
              <w:left w:val="single" w:sz="4" w:space="0" w:color="auto"/>
              <w:bottom w:val="single" w:sz="4" w:space="0" w:color="000000"/>
              <w:right w:val="single" w:sz="4" w:space="0" w:color="auto"/>
            </w:tcBorders>
            <w:shd w:val="clear" w:color="auto" w:fill="auto"/>
            <w:vAlign w:val="center"/>
            <w:hideMark/>
          </w:tcPr>
          <w:p w14:paraId="0B7238F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91" w:type="dxa"/>
            <w:vMerge w:val="restart"/>
            <w:tcBorders>
              <w:top w:val="nil"/>
              <w:left w:val="single" w:sz="4" w:space="0" w:color="auto"/>
              <w:bottom w:val="single" w:sz="4" w:space="0" w:color="000000"/>
              <w:right w:val="single" w:sz="4" w:space="0" w:color="auto"/>
            </w:tcBorders>
            <w:shd w:val="clear" w:color="auto" w:fill="auto"/>
            <w:vAlign w:val="center"/>
            <w:hideMark/>
          </w:tcPr>
          <w:p w14:paraId="37FF39F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15,000</w:t>
            </w:r>
          </w:p>
        </w:tc>
        <w:tc>
          <w:tcPr>
            <w:tcW w:w="829" w:type="dxa"/>
            <w:tcBorders>
              <w:top w:val="nil"/>
              <w:left w:val="nil"/>
              <w:bottom w:val="nil"/>
              <w:right w:val="nil"/>
            </w:tcBorders>
            <w:shd w:val="clear" w:color="auto" w:fill="auto"/>
            <w:vAlign w:val="center"/>
            <w:hideMark/>
          </w:tcPr>
          <w:p w14:paraId="555F65F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nil"/>
              <w:right w:val="nil"/>
            </w:tcBorders>
            <w:shd w:val="clear" w:color="auto" w:fill="auto"/>
            <w:vAlign w:val="center"/>
            <w:hideMark/>
          </w:tcPr>
          <w:p w14:paraId="47D869A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45A4E9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784BFC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ABF255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02085CD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15DE5C9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0E93582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45A91F8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nil"/>
              <w:right w:val="single" w:sz="4" w:space="0" w:color="auto"/>
            </w:tcBorders>
            <w:shd w:val="clear" w:color="auto" w:fill="auto"/>
            <w:vAlign w:val="center"/>
            <w:hideMark/>
          </w:tcPr>
          <w:p w14:paraId="042BCF6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nil"/>
              <w:right w:val="single" w:sz="4" w:space="0" w:color="auto"/>
            </w:tcBorders>
            <w:shd w:val="clear" w:color="auto" w:fill="auto"/>
            <w:vAlign w:val="center"/>
            <w:hideMark/>
          </w:tcPr>
          <w:p w14:paraId="1FC01C8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669,000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81226E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4 460,000</w:t>
            </w:r>
          </w:p>
        </w:tc>
      </w:tr>
      <w:tr w:rsidR="00B819FC" w:rsidRPr="004154AB" w14:paraId="35F2B921"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6170D5C1"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40C52501"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662973AC"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5F47854B"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55D1791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601F684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2FF1695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5B62920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6F8A1B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204ACD2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0AC758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2325B6A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8DBF8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29CFD78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258CA1C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1F26FE33"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1FAA29F2"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3BB4EF38"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274A1515"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60178305"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010A4018"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0149941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7EC1FE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7344042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36013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67CA8D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609281D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6F8D006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0F5673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029B97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single" w:sz="4" w:space="0" w:color="auto"/>
              <w:right w:val="single" w:sz="4" w:space="0" w:color="auto"/>
            </w:tcBorders>
            <w:shd w:val="clear" w:color="auto" w:fill="auto"/>
            <w:vAlign w:val="center"/>
            <w:hideMark/>
          </w:tcPr>
          <w:p w14:paraId="261B7A6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single" w:sz="4" w:space="0" w:color="auto"/>
              <w:right w:val="single" w:sz="4" w:space="0" w:color="auto"/>
            </w:tcBorders>
            <w:shd w:val="clear" w:color="auto" w:fill="auto"/>
            <w:vAlign w:val="center"/>
            <w:hideMark/>
          </w:tcPr>
          <w:p w14:paraId="073471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01E3EA8F"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6395A849" w14:textId="77777777" w:rsidTr="00B819FC">
        <w:trPr>
          <w:trHeight w:val="20"/>
        </w:trPr>
        <w:tc>
          <w:tcPr>
            <w:tcW w:w="938" w:type="dxa"/>
            <w:vMerge w:val="restart"/>
            <w:tcBorders>
              <w:top w:val="nil"/>
              <w:left w:val="single" w:sz="4" w:space="0" w:color="auto"/>
              <w:bottom w:val="single" w:sz="4" w:space="0" w:color="000000"/>
              <w:right w:val="single" w:sz="4" w:space="0" w:color="auto"/>
            </w:tcBorders>
            <w:shd w:val="clear" w:color="auto" w:fill="auto"/>
            <w:vAlign w:val="center"/>
            <w:hideMark/>
          </w:tcPr>
          <w:p w14:paraId="5E17F30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2917" w:type="dxa"/>
            <w:vMerge w:val="restart"/>
            <w:tcBorders>
              <w:top w:val="nil"/>
              <w:left w:val="single" w:sz="4" w:space="0" w:color="auto"/>
              <w:bottom w:val="single" w:sz="4" w:space="0" w:color="000000"/>
              <w:right w:val="single" w:sz="4" w:space="0" w:color="auto"/>
            </w:tcBorders>
            <w:shd w:val="clear" w:color="auto" w:fill="auto"/>
            <w:vAlign w:val="center"/>
            <w:hideMark/>
          </w:tcPr>
          <w:p w14:paraId="57D2E9F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924" w:type="dxa"/>
            <w:vMerge w:val="restart"/>
            <w:tcBorders>
              <w:top w:val="nil"/>
              <w:left w:val="single" w:sz="4" w:space="0" w:color="auto"/>
              <w:bottom w:val="single" w:sz="4" w:space="0" w:color="000000"/>
              <w:right w:val="single" w:sz="4" w:space="0" w:color="auto"/>
            </w:tcBorders>
            <w:shd w:val="clear" w:color="auto" w:fill="auto"/>
            <w:vAlign w:val="center"/>
            <w:hideMark/>
          </w:tcPr>
          <w:p w14:paraId="5165CEA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91" w:type="dxa"/>
            <w:vMerge w:val="restart"/>
            <w:tcBorders>
              <w:top w:val="nil"/>
              <w:left w:val="single" w:sz="4" w:space="0" w:color="auto"/>
              <w:bottom w:val="single" w:sz="4" w:space="0" w:color="000000"/>
              <w:right w:val="single" w:sz="4" w:space="0" w:color="auto"/>
            </w:tcBorders>
            <w:shd w:val="clear" w:color="auto" w:fill="auto"/>
            <w:vAlign w:val="center"/>
            <w:hideMark/>
          </w:tcPr>
          <w:p w14:paraId="49B6433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79,000</w:t>
            </w:r>
          </w:p>
        </w:tc>
        <w:tc>
          <w:tcPr>
            <w:tcW w:w="829" w:type="dxa"/>
            <w:tcBorders>
              <w:top w:val="nil"/>
              <w:left w:val="nil"/>
              <w:bottom w:val="nil"/>
              <w:right w:val="nil"/>
            </w:tcBorders>
            <w:shd w:val="clear" w:color="auto" w:fill="auto"/>
            <w:vAlign w:val="center"/>
            <w:hideMark/>
          </w:tcPr>
          <w:p w14:paraId="703DB80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nil"/>
              <w:right w:val="nil"/>
            </w:tcBorders>
            <w:shd w:val="clear" w:color="auto" w:fill="auto"/>
            <w:vAlign w:val="center"/>
            <w:hideMark/>
          </w:tcPr>
          <w:p w14:paraId="0AC9A19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7449B90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4B4B6BA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76E9FB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9F12CF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14567CD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4FEE7D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21015D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nil"/>
              <w:right w:val="single" w:sz="4" w:space="0" w:color="auto"/>
            </w:tcBorders>
            <w:shd w:val="clear" w:color="auto" w:fill="auto"/>
            <w:vAlign w:val="center"/>
            <w:hideMark/>
          </w:tcPr>
          <w:p w14:paraId="4E23B06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nil"/>
              <w:right w:val="single" w:sz="4" w:space="0" w:color="auto"/>
            </w:tcBorders>
            <w:shd w:val="clear" w:color="auto" w:fill="auto"/>
            <w:vAlign w:val="center"/>
            <w:hideMark/>
          </w:tcPr>
          <w:p w14:paraId="4A342A1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1 127,000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E3F0AF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1 426,582</w:t>
            </w:r>
          </w:p>
        </w:tc>
      </w:tr>
      <w:tr w:rsidR="00B819FC" w:rsidRPr="004154AB" w14:paraId="015CBF6F"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7F65D594"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00BF7F89"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4D8C6C7B"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1F2A8FFD"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3EE2B20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19D49D9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0CADBA8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FD910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455DC13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38C9ADA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2C17974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2012DD0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0EB525E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567C3E7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7775983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755CBA1C"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648491B1"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5E28B128"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5A212F56"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4621D972"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1B9FD723"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5E0D22B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38F8DD5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E50CBF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CADAFC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6E3C3D9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814298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58898E6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02A1E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5AD6721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single" w:sz="4" w:space="0" w:color="auto"/>
              <w:right w:val="single" w:sz="4" w:space="0" w:color="auto"/>
            </w:tcBorders>
            <w:shd w:val="clear" w:color="auto" w:fill="auto"/>
            <w:vAlign w:val="center"/>
            <w:hideMark/>
          </w:tcPr>
          <w:p w14:paraId="6FE46A3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single" w:sz="4" w:space="0" w:color="auto"/>
              <w:right w:val="single" w:sz="4" w:space="0" w:color="auto"/>
            </w:tcBorders>
            <w:shd w:val="clear" w:color="auto" w:fill="auto"/>
            <w:vAlign w:val="center"/>
            <w:hideMark/>
          </w:tcPr>
          <w:p w14:paraId="28CCD71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55637B78"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5336DB80" w14:textId="77777777" w:rsidTr="00B819FC">
        <w:trPr>
          <w:trHeight w:val="20"/>
        </w:trPr>
        <w:tc>
          <w:tcPr>
            <w:tcW w:w="938" w:type="dxa"/>
            <w:vMerge w:val="restart"/>
            <w:tcBorders>
              <w:top w:val="nil"/>
              <w:left w:val="single" w:sz="4" w:space="0" w:color="auto"/>
              <w:bottom w:val="single" w:sz="4" w:space="0" w:color="000000"/>
              <w:right w:val="single" w:sz="4" w:space="0" w:color="auto"/>
            </w:tcBorders>
            <w:shd w:val="clear" w:color="auto" w:fill="auto"/>
            <w:vAlign w:val="center"/>
            <w:hideMark/>
          </w:tcPr>
          <w:p w14:paraId="4CD6311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2917" w:type="dxa"/>
            <w:vMerge w:val="restart"/>
            <w:tcBorders>
              <w:top w:val="nil"/>
              <w:left w:val="single" w:sz="4" w:space="0" w:color="auto"/>
              <w:bottom w:val="single" w:sz="4" w:space="0" w:color="000000"/>
              <w:right w:val="single" w:sz="4" w:space="0" w:color="auto"/>
            </w:tcBorders>
            <w:shd w:val="clear" w:color="auto" w:fill="auto"/>
            <w:vAlign w:val="center"/>
            <w:hideMark/>
          </w:tcPr>
          <w:p w14:paraId="5026B1A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924" w:type="dxa"/>
            <w:vMerge w:val="restart"/>
            <w:tcBorders>
              <w:top w:val="nil"/>
              <w:left w:val="single" w:sz="4" w:space="0" w:color="auto"/>
              <w:bottom w:val="single" w:sz="4" w:space="0" w:color="000000"/>
              <w:right w:val="single" w:sz="4" w:space="0" w:color="auto"/>
            </w:tcBorders>
            <w:shd w:val="clear" w:color="auto" w:fill="auto"/>
            <w:vAlign w:val="center"/>
            <w:hideMark/>
          </w:tcPr>
          <w:p w14:paraId="777AFDA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91" w:type="dxa"/>
            <w:vMerge w:val="restart"/>
            <w:tcBorders>
              <w:top w:val="nil"/>
              <w:left w:val="single" w:sz="4" w:space="0" w:color="auto"/>
              <w:bottom w:val="single" w:sz="4" w:space="0" w:color="000000"/>
              <w:right w:val="single" w:sz="4" w:space="0" w:color="auto"/>
            </w:tcBorders>
            <w:shd w:val="clear" w:color="auto" w:fill="auto"/>
            <w:vAlign w:val="center"/>
            <w:hideMark/>
          </w:tcPr>
          <w:p w14:paraId="4461FEA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11,000</w:t>
            </w:r>
          </w:p>
        </w:tc>
        <w:tc>
          <w:tcPr>
            <w:tcW w:w="829" w:type="dxa"/>
            <w:tcBorders>
              <w:top w:val="nil"/>
              <w:left w:val="nil"/>
              <w:bottom w:val="nil"/>
              <w:right w:val="nil"/>
            </w:tcBorders>
            <w:shd w:val="clear" w:color="auto" w:fill="auto"/>
            <w:vAlign w:val="center"/>
            <w:hideMark/>
          </w:tcPr>
          <w:p w14:paraId="7E72563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nil"/>
              <w:right w:val="nil"/>
            </w:tcBorders>
            <w:shd w:val="clear" w:color="auto" w:fill="auto"/>
            <w:vAlign w:val="center"/>
            <w:hideMark/>
          </w:tcPr>
          <w:p w14:paraId="0362026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6203DB0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48F7583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3FF1AC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7CB423D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5D06C4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47D723B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382966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nil"/>
              <w:right w:val="single" w:sz="4" w:space="0" w:color="auto"/>
            </w:tcBorders>
            <w:shd w:val="clear" w:color="auto" w:fill="auto"/>
            <w:vAlign w:val="center"/>
            <w:hideMark/>
          </w:tcPr>
          <w:p w14:paraId="63D09C3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nil"/>
              <w:right w:val="single" w:sz="4" w:space="0" w:color="auto"/>
            </w:tcBorders>
            <w:shd w:val="clear" w:color="auto" w:fill="auto"/>
            <w:vAlign w:val="center"/>
            <w:hideMark/>
          </w:tcPr>
          <w:p w14:paraId="55070AE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140,000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A394C7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1 272,727</w:t>
            </w:r>
          </w:p>
        </w:tc>
      </w:tr>
      <w:tr w:rsidR="00B819FC" w:rsidRPr="004154AB" w14:paraId="085449AA"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7A8FA3C6"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738AE0CE"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31DF4509"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5D682A08"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002164D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1C26C0E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5C3699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04B6778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671486A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97EA43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2A6F7D6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22A5F3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E946E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1F70EDD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4A61264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0C071F9C"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027F262C"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249AB5C2"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5E3B9364"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2E923AD9"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3AE8504D"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7D5D800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07054F2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71BA777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984EF9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BE816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1B5D68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27F3881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44B93AD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1132B7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single" w:sz="4" w:space="0" w:color="auto"/>
              <w:right w:val="single" w:sz="4" w:space="0" w:color="auto"/>
            </w:tcBorders>
            <w:shd w:val="clear" w:color="auto" w:fill="auto"/>
            <w:vAlign w:val="center"/>
            <w:hideMark/>
          </w:tcPr>
          <w:p w14:paraId="27763FA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single" w:sz="4" w:space="0" w:color="auto"/>
              <w:right w:val="single" w:sz="4" w:space="0" w:color="auto"/>
            </w:tcBorders>
            <w:shd w:val="clear" w:color="auto" w:fill="auto"/>
            <w:vAlign w:val="center"/>
            <w:hideMark/>
          </w:tcPr>
          <w:p w14:paraId="7E74CCF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61E7539A"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7C0E8C2E" w14:textId="77777777" w:rsidTr="00B819FC">
        <w:trPr>
          <w:trHeight w:val="20"/>
        </w:trPr>
        <w:tc>
          <w:tcPr>
            <w:tcW w:w="938" w:type="dxa"/>
            <w:vMerge w:val="restart"/>
            <w:tcBorders>
              <w:top w:val="nil"/>
              <w:left w:val="single" w:sz="4" w:space="0" w:color="auto"/>
              <w:bottom w:val="single" w:sz="4" w:space="0" w:color="000000"/>
              <w:right w:val="single" w:sz="4" w:space="0" w:color="auto"/>
            </w:tcBorders>
            <w:shd w:val="clear" w:color="auto" w:fill="auto"/>
            <w:vAlign w:val="center"/>
            <w:hideMark/>
          </w:tcPr>
          <w:p w14:paraId="62E816B0"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62100/CO21</w:t>
            </w:r>
          </w:p>
        </w:tc>
        <w:tc>
          <w:tcPr>
            <w:tcW w:w="2917" w:type="dxa"/>
            <w:vMerge w:val="restart"/>
            <w:tcBorders>
              <w:top w:val="nil"/>
              <w:left w:val="single" w:sz="4" w:space="0" w:color="auto"/>
              <w:bottom w:val="single" w:sz="4" w:space="0" w:color="000000"/>
              <w:right w:val="single" w:sz="4" w:space="0" w:color="auto"/>
            </w:tcBorders>
            <w:shd w:val="clear" w:color="auto" w:fill="auto"/>
            <w:vAlign w:val="center"/>
            <w:hideMark/>
          </w:tcPr>
          <w:p w14:paraId="7CBB3A5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udržitelnou zaměstnanost žen a udržitelný postup žen v zaměstnání</w:t>
            </w:r>
          </w:p>
        </w:tc>
        <w:tc>
          <w:tcPr>
            <w:tcW w:w="924" w:type="dxa"/>
            <w:vMerge w:val="restart"/>
            <w:tcBorders>
              <w:top w:val="nil"/>
              <w:left w:val="single" w:sz="4" w:space="0" w:color="auto"/>
              <w:bottom w:val="single" w:sz="4" w:space="0" w:color="000000"/>
              <w:right w:val="single" w:sz="4" w:space="0" w:color="auto"/>
            </w:tcBorders>
            <w:shd w:val="clear" w:color="auto" w:fill="auto"/>
            <w:vAlign w:val="center"/>
            <w:hideMark/>
          </w:tcPr>
          <w:p w14:paraId="35B9719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91" w:type="dxa"/>
            <w:vMerge w:val="restart"/>
            <w:tcBorders>
              <w:top w:val="nil"/>
              <w:left w:val="single" w:sz="4" w:space="0" w:color="auto"/>
              <w:bottom w:val="single" w:sz="4" w:space="0" w:color="000000"/>
              <w:right w:val="single" w:sz="4" w:space="0" w:color="auto"/>
            </w:tcBorders>
            <w:shd w:val="clear" w:color="auto" w:fill="auto"/>
            <w:vAlign w:val="center"/>
            <w:hideMark/>
          </w:tcPr>
          <w:p w14:paraId="2646CBC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361,000</w:t>
            </w:r>
          </w:p>
        </w:tc>
        <w:tc>
          <w:tcPr>
            <w:tcW w:w="829" w:type="dxa"/>
            <w:tcBorders>
              <w:top w:val="nil"/>
              <w:left w:val="nil"/>
              <w:bottom w:val="nil"/>
              <w:right w:val="nil"/>
            </w:tcBorders>
            <w:shd w:val="clear" w:color="auto" w:fill="auto"/>
            <w:vAlign w:val="center"/>
            <w:hideMark/>
          </w:tcPr>
          <w:p w14:paraId="05044DB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nil"/>
              <w:right w:val="nil"/>
            </w:tcBorders>
            <w:shd w:val="clear" w:color="auto" w:fill="auto"/>
            <w:vAlign w:val="center"/>
            <w:hideMark/>
          </w:tcPr>
          <w:p w14:paraId="11251BD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7AA358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7D4C39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785FD37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0F3F654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0E1C21F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684EDE4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4B2782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nil"/>
              <w:right w:val="single" w:sz="4" w:space="0" w:color="auto"/>
            </w:tcBorders>
            <w:shd w:val="clear" w:color="auto" w:fill="auto"/>
            <w:vAlign w:val="center"/>
            <w:hideMark/>
          </w:tcPr>
          <w:p w14:paraId="3DB83DA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nil"/>
              <w:right w:val="single" w:sz="4" w:space="0" w:color="auto"/>
            </w:tcBorders>
            <w:shd w:val="clear" w:color="auto" w:fill="auto"/>
            <w:vAlign w:val="center"/>
            <w:hideMark/>
          </w:tcPr>
          <w:p w14:paraId="6021B5B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1 625,000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845E27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450,139</w:t>
            </w:r>
          </w:p>
        </w:tc>
      </w:tr>
      <w:tr w:rsidR="00B819FC" w:rsidRPr="004154AB" w14:paraId="08E759A8"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5524B872"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7CC4D171"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25A3C8B3"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17573D31"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08D3433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2BC55FB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4DF653D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DFC115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4A31F81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A07814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0CF6F1A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8A19FD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6B7E8EF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7140789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5160373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73330F85"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4B452327"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2E672AB8"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46DEA085"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65C0F9B0"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3737B9F1"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6FE526B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450A53D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83ECBD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5C1F29E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296AC1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5954411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052410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E94DD4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6FF956F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single" w:sz="4" w:space="0" w:color="auto"/>
              <w:right w:val="single" w:sz="4" w:space="0" w:color="auto"/>
            </w:tcBorders>
            <w:shd w:val="clear" w:color="auto" w:fill="auto"/>
            <w:vAlign w:val="center"/>
            <w:hideMark/>
          </w:tcPr>
          <w:p w14:paraId="4B8B073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single" w:sz="4" w:space="0" w:color="auto"/>
              <w:right w:val="single" w:sz="4" w:space="0" w:color="auto"/>
            </w:tcBorders>
            <w:shd w:val="clear" w:color="auto" w:fill="auto"/>
            <w:vAlign w:val="center"/>
            <w:hideMark/>
          </w:tcPr>
          <w:p w14:paraId="2FA0CAF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4697DEA4"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4DD76B33" w14:textId="77777777" w:rsidTr="00B819FC">
        <w:trPr>
          <w:trHeight w:val="20"/>
        </w:trPr>
        <w:tc>
          <w:tcPr>
            <w:tcW w:w="938" w:type="dxa"/>
            <w:vMerge w:val="restart"/>
            <w:tcBorders>
              <w:top w:val="nil"/>
              <w:left w:val="single" w:sz="4" w:space="0" w:color="auto"/>
              <w:bottom w:val="single" w:sz="4" w:space="0" w:color="000000"/>
              <w:right w:val="single" w:sz="4" w:space="0" w:color="auto"/>
            </w:tcBorders>
            <w:shd w:val="clear" w:color="auto" w:fill="auto"/>
            <w:vAlign w:val="center"/>
            <w:hideMark/>
          </w:tcPr>
          <w:p w14:paraId="3662666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62100/CO21</w:t>
            </w:r>
          </w:p>
        </w:tc>
        <w:tc>
          <w:tcPr>
            <w:tcW w:w="2917" w:type="dxa"/>
            <w:vMerge w:val="restart"/>
            <w:tcBorders>
              <w:top w:val="nil"/>
              <w:left w:val="single" w:sz="4" w:space="0" w:color="auto"/>
              <w:bottom w:val="single" w:sz="4" w:space="0" w:color="000000"/>
              <w:right w:val="single" w:sz="4" w:space="0" w:color="auto"/>
            </w:tcBorders>
            <w:shd w:val="clear" w:color="auto" w:fill="auto"/>
            <w:vAlign w:val="center"/>
            <w:hideMark/>
          </w:tcPr>
          <w:p w14:paraId="77FEA7E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udržitelnou zaměstnanost žen a udržitelný postup žen v zaměstnání</w:t>
            </w:r>
          </w:p>
        </w:tc>
        <w:tc>
          <w:tcPr>
            <w:tcW w:w="924" w:type="dxa"/>
            <w:vMerge w:val="restart"/>
            <w:tcBorders>
              <w:top w:val="nil"/>
              <w:left w:val="single" w:sz="4" w:space="0" w:color="auto"/>
              <w:bottom w:val="single" w:sz="4" w:space="0" w:color="000000"/>
              <w:right w:val="single" w:sz="4" w:space="0" w:color="auto"/>
            </w:tcBorders>
            <w:shd w:val="clear" w:color="auto" w:fill="auto"/>
            <w:vAlign w:val="center"/>
            <w:hideMark/>
          </w:tcPr>
          <w:p w14:paraId="7F7CFF4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91" w:type="dxa"/>
            <w:vMerge w:val="restart"/>
            <w:tcBorders>
              <w:top w:val="nil"/>
              <w:left w:val="single" w:sz="4" w:space="0" w:color="auto"/>
              <w:bottom w:val="single" w:sz="4" w:space="0" w:color="000000"/>
              <w:right w:val="single" w:sz="4" w:space="0" w:color="auto"/>
            </w:tcBorders>
            <w:shd w:val="clear" w:color="auto" w:fill="auto"/>
            <w:vAlign w:val="center"/>
            <w:hideMark/>
          </w:tcPr>
          <w:p w14:paraId="7959E1B0"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49,000</w:t>
            </w:r>
          </w:p>
        </w:tc>
        <w:tc>
          <w:tcPr>
            <w:tcW w:w="829" w:type="dxa"/>
            <w:tcBorders>
              <w:top w:val="nil"/>
              <w:left w:val="nil"/>
              <w:bottom w:val="nil"/>
              <w:right w:val="nil"/>
            </w:tcBorders>
            <w:shd w:val="clear" w:color="auto" w:fill="auto"/>
            <w:vAlign w:val="center"/>
            <w:hideMark/>
          </w:tcPr>
          <w:p w14:paraId="0834253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nil"/>
              <w:right w:val="nil"/>
            </w:tcBorders>
            <w:shd w:val="clear" w:color="auto" w:fill="auto"/>
            <w:vAlign w:val="center"/>
            <w:hideMark/>
          </w:tcPr>
          <w:p w14:paraId="538531D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7D68E3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D1A2D1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040C12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F3E709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972745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16E6613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1F2C172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nil"/>
              <w:right w:val="single" w:sz="4" w:space="0" w:color="auto"/>
            </w:tcBorders>
            <w:shd w:val="clear" w:color="auto" w:fill="auto"/>
            <w:vAlign w:val="center"/>
            <w:hideMark/>
          </w:tcPr>
          <w:p w14:paraId="7981186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nil"/>
              <w:right w:val="single" w:sz="4" w:space="0" w:color="auto"/>
            </w:tcBorders>
            <w:shd w:val="clear" w:color="auto" w:fill="auto"/>
            <w:vAlign w:val="center"/>
            <w:hideMark/>
          </w:tcPr>
          <w:p w14:paraId="6891C3B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226,000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B0F1CF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461,224</w:t>
            </w:r>
          </w:p>
        </w:tc>
      </w:tr>
      <w:tr w:rsidR="00B819FC" w:rsidRPr="004154AB" w14:paraId="79DACC7C"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5C386F33"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7C0ED20A"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5F9CB3A8"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19A50EC6"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6C3474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33580AA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539D7B7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5B96530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30FD1D3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956E51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59F142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2D4AE3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042CB84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42A6EB3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1899776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528600D5"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485AFD3A"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59E39A78"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0BA9DD51"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0E9C193C"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1580DE1A"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0BD553F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1203711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29156B7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35C7DF3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4FCA080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14A3F63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7128D8B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470DFA2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7E42B4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single" w:sz="4" w:space="0" w:color="auto"/>
              <w:right w:val="single" w:sz="4" w:space="0" w:color="auto"/>
            </w:tcBorders>
            <w:shd w:val="clear" w:color="auto" w:fill="auto"/>
            <w:vAlign w:val="center"/>
            <w:hideMark/>
          </w:tcPr>
          <w:p w14:paraId="60047F5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single" w:sz="4" w:space="0" w:color="auto"/>
              <w:right w:val="single" w:sz="4" w:space="0" w:color="auto"/>
            </w:tcBorders>
            <w:shd w:val="clear" w:color="auto" w:fill="auto"/>
            <w:vAlign w:val="center"/>
            <w:hideMark/>
          </w:tcPr>
          <w:p w14:paraId="27973A4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6FA281D0"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08AD7201" w14:textId="77777777" w:rsidTr="00B819FC">
        <w:trPr>
          <w:trHeight w:val="20"/>
        </w:trPr>
        <w:tc>
          <w:tcPr>
            <w:tcW w:w="938" w:type="dxa"/>
            <w:vMerge w:val="restart"/>
            <w:tcBorders>
              <w:top w:val="nil"/>
              <w:left w:val="single" w:sz="4" w:space="0" w:color="auto"/>
              <w:bottom w:val="single" w:sz="4" w:space="0" w:color="000000"/>
              <w:right w:val="single" w:sz="4" w:space="0" w:color="auto"/>
            </w:tcBorders>
            <w:shd w:val="clear" w:color="auto" w:fill="auto"/>
            <w:vAlign w:val="center"/>
            <w:hideMark/>
          </w:tcPr>
          <w:p w14:paraId="65B16CD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2917" w:type="dxa"/>
            <w:vMerge w:val="restart"/>
            <w:tcBorders>
              <w:top w:val="nil"/>
              <w:left w:val="single" w:sz="4" w:space="0" w:color="auto"/>
              <w:bottom w:val="single" w:sz="4" w:space="0" w:color="000000"/>
              <w:right w:val="single" w:sz="4" w:space="0" w:color="auto"/>
            </w:tcBorders>
            <w:shd w:val="clear" w:color="auto" w:fill="auto"/>
            <w:vAlign w:val="center"/>
            <w:hideMark/>
          </w:tcPr>
          <w:p w14:paraId="62AA4F7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924" w:type="dxa"/>
            <w:vMerge w:val="restart"/>
            <w:tcBorders>
              <w:top w:val="nil"/>
              <w:left w:val="single" w:sz="4" w:space="0" w:color="auto"/>
              <w:bottom w:val="single" w:sz="4" w:space="0" w:color="000000"/>
              <w:right w:val="single" w:sz="4" w:space="0" w:color="auto"/>
            </w:tcBorders>
            <w:shd w:val="clear" w:color="auto" w:fill="auto"/>
            <w:vAlign w:val="center"/>
            <w:hideMark/>
          </w:tcPr>
          <w:p w14:paraId="3AB7B21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91" w:type="dxa"/>
            <w:vMerge w:val="restart"/>
            <w:tcBorders>
              <w:top w:val="nil"/>
              <w:left w:val="single" w:sz="4" w:space="0" w:color="auto"/>
              <w:bottom w:val="single" w:sz="4" w:space="0" w:color="000000"/>
              <w:right w:val="single" w:sz="4" w:space="0" w:color="auto"/>
            </w:tcBorders>
            <w:shd w:val="clear" w:color="auto" w:fill="auto"/>
            <w:vAlign w:val="center"/>
            <w:hideMark/>
          </w:tcPr>
          <w:p w14:paraId="3438141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53,000</w:t>
            </w:r>
          </w:p>
        </w:tc>
        <w:tc>
          <w:tcPr>
            <w:tcW w:w="829" w:type="dxa"/>
            <w:tcBorders>
              <w:top w:val="nil"/>
              <w:left w:val="nil"/>
              <w:bottom w:val="nil"/>
              <w:right w:val="nil"/>
            </w:tcBorders>
            <w:shd w:val="clear" w:color="auto" w:fill="auto"/>
            <w:vAlign w:val="center"/>
            <w:hideMark/>
          </w:tcPr>
          <w:p w14:paraId="66679A3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nil"/>
              <w:right w:val="nil"/>
            </w:tcBorders>
            <w:shd w:val="clear" w:color="auto" w:fill="auto"/>
            <w:vAlign w:val="center"/>
            <w:hideMark/>
          </w:tcPr>
          <w:p w14:paraId="2F94CE8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7AC31B7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A0217C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D55E11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2A9F07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5C7C259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1BB939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41A9B8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nil"/>
              <w:right w:val="single" w:sz="4" w:space="0" w:color="auto"/>
            </w:tcBorders>
            <w:shd w:val="clear" w:color="auto" w:fill="auto"/>
            <w:vAlign w:val="center"/>
            <w:hideMark/>
          </w:tcPr>
          <w:p w14:paraId="7BCCFA9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nil"/>
              <w:right w:val="single" w:sz="4" w:space="0" w:color="auto"/>
            </w:tcBorders>
            <w:shd w:val="clear" w:color="auto" w:fill="auto"/>
            <w:vAlign w:val="center"/>
            <w:hideMark/>
          </w:tcPr>
          <w:p w14:paraId="01B6FC7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40,000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400AB0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75,472</w:t>
            </w:r>
          </w:p>
        </w:tc>
      </w:tr>
      <w:tr w:rsidR="00B819FC" w:rsidRPr="004154AB" w14:paraId="7283E5E0"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00FB47AA"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42F8FA2F"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64A2A41B"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4E7E8C9B"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67E4E6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5362448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BEC8F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3D3C419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4BAC9B0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37C3B08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6958479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ABE70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6F55F0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3E4AB8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5396D78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5CD856B9"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4920DC23"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4916A714"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051488E7"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7FD4C933"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2137AE14"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701DF52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4853BD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4F8F39E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44AD38F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446F6B1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016B576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0E03BC7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406108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658581D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single" w:sz="4" w:space="0" w:color="auto"/>
              <w:right w:val="single" w:sz="4" w:space="0" w:color="auto"/>
            </w:tcBorders>
            <w:shd w:val="clear" w:color="auto" w:fill="auto"/>
            <w:vAlign w:val="center"/>
            <w:hideMark/>
          </w:tcPr>
          <w:p w14:paraId="4DD39C8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single" w:sz="4" w:space="0" w:color="auto"/>
              <w:right w:val="single" w:sz="4" w:space="0" w:color="auto"/>
            </w:tcBorders>
            <w:shd w:val="clear" w:color="auto" w:fill="auto"/>
            <w:vAlign w:val="center"/>
            <w:hideMark/>
          </w:tcPr>
          <w:p w14:paraId="4A29BF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3EB5378C"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3438B12C" w14:textId="77777777" w:rsidTr="00B819FC">
        <w:trPr>
          <w:trHeight w:val="20"/>
        </w:trPr>
        <w:tc>
          <w:tcPr>
            <w:tcW w:w="938" w:type="dxa"/>
            <w:vMerge w:val="restart"/>
            <w:tcBorders>
              <w:top w:val="nil"/>
              <w:left w:val="single" w:sz="4" w:space="0" w:color="auto"/>
              <w:bottom w:val="single" w:sz="4" w:space="0" w:color="000000"/>
              <w:right w:val="single" w:sz="4" w:space="0" w:color="auto"/>
            </w:tcBorders>
            <w:shd w:val="clear" w:color="auto" w:fill="auto"/>
            <w:vAlign w:val="center"/>
            <w:hideMark/>
          </w:tcPr>
          <w:p w14:paraId="0CAA023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2917" w:type="dxa"/>
            <w:vMerge w:val="restart"/>
            <w:tcBorders>
              <w:top w:val="nil"/>
              <w:left w:val="single" w:sz="4" w:space="0" w:color="auto"/>
              <w:bottom w:val="single" w:sz="4" w:space="0" w:color="000000"/>
              <w:right w:val="single" w:sz="4" w:space="0" w:color="auto"/>
            </w:tcBorders>
            <w:shd w:val="clear" w:color="auto" w:fill="auto"/>
            <w:vAlign w:val="center"/>
            <w:hideMark/>
          </w:tcPr>
          <w:p w14:paraId="7124714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924" w:type="dxa"/>
            <w:vMerge w:val="restart"/>
            <w:tcBorders>
              <w:top w:val="nil"/>
              <w:left w:val="single" w:sz="4" w:space="0" w:color="auto"/>
              <w:bottom w:val="single" w:sz="4" w:space="0" w:color="000000"/>
              <w:right w:val="single" w:sz="4" w:space="0" w:color="auto"/>
            </w:tcBorders>
            <w:shd w:val="clear" w:color="auto" w:fill="auto"/>
            <w:vAlign w:val="center"/>
            <w:hideMark/>
          </w:tcPr>
          <w:p w14:paraId="1E1A23C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91" w:type="dxa"/>
            <w:vMerge w:val="restart"/>
            <w:tcBorders>
              <w:top w:val="nil"/>
              <w:left w:val="single" w:sz="4" w:space="0" w:color="auto"/>
              <w:bottom w:val="single" w:sz="4" w:space="0" w:color="000000"/>
              <w:right w:val="single" w:sz="4" w:space="0" w:color="auto"/>
            </w:tcBorders>
            <w:shd w:val="clear" w:color="auto" w:fill="auto"/>
            <w:vAlign w:val="center"/>
            <w:hideMark/>
          </w:tcPr>
          <w:p w14:paraId="6BDA8C3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7,000</w:t>
            </w:r>
          </w:p>
        </w:tc>
        <w:tc>
          <w:tcPr>
            <w:tcW w:w="829" w:type="dxa"/>
            <w:tcBorders>
              <w:top w:val="nil"/>
              <w:left w:val="nil"/>
              <w:bottom w:val="nil"/>
              <w:right w:val="nil"/>
            </w:tcBorders>
            <w:shd w:val="clear" w:color="auto" w:fill="auto"/>
            <w:vAlign w:val="center"/>
            <w:hideMark/>
          </w:tcPr>
          <w:p w14:paraId="3A42D3E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nil"/>
              <w:right w:val="nil"/>
            </w:tcBorders>
            <w:shd w:val="clear" w:color="auto" w:fill="auto"/>
            <w:vAlign w:val="center"/>
            <w:hideMark/>
          </w:tcPr>
          <w:p w14:paraId="30C92E4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101F57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332F0F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4452C43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363E4A5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0EB60B8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78E5D8F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nil"/>
              <w:right w:val="nil"/>
            </w:tcBorders>
            <w:shd w:val="clear" w:color="auto" w:fill="auto"/>
            <w:vAlign w:val="center"/>
            <w:hideMark/>
          </w:tcPr>
          <w:p w14:paraId="24C082A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nil"/>
              <w:right w:val="single" w:sz="4" w:space="0" w:color="auto"/>
            </w:tcBorders>
            <w:shd w:val="clear" w:color="auto" w:fill="auto"/>
            <w:vAlign w:val="center"/>
            <w:hideMark/>
          </w:tcPr>
          <w:p w14:paraId="0860DFC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nil"/>
              <w:right w:val="single" w:sz="4" w:space="0" w:color="auto"/>
            </w:tcBorders>
            <w:shd w:val="clear" w:color="auto" w:fill="auto"/>
            <w:vAlign w:val="center"/>
            <w:hideMark/>
          </w:tcPr>
          <w:p w14:paraId="0775244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3FE0CA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100,000</w:t>
            </w:r>
          </w:p>
        </w:tc>
      </w:tr>
      <w:tr w:rsidR="00B819FC" w:rsidRPr="004154AB" w14:paraId="3C21EA14"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7DF1AF89"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3BE810B5"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50D5C5FF"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3419A419"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56B9327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19D1E1D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23D1AA1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3D76AB3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0C9330A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05BF329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303B6B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1085AD1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734D91E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01E27F1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single" w:sz="4" w:space="0" w:color="auto"/>
              <w:left w:val="nil"/>
              <w:bottom w:val="single" w:sz="4" w:space="0" w:color="auto"/>
              <w:right w:val="single" w:sz="4" w:space="0" w:color="auto"/>
            </w:tcBorders>
            <w:shd w:val="clear" w:color="auto" w:fill="auto"/>
            <w:vAlign w:val="center"/>
            <w:hideMark/>
          </w:tcPr>
          <w:p w14:paraId="6932761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4FE916F1"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7CFE932D" w14:textId="77777777" w:rsidTr="00B819FC">
        <w:trPr>
          <w:trHeight w:val="20"/>
        </w:trPr>
        <w:tc>
          <w:tcPr>
            <w:tcW w:w="938" w:type="dxa"/>
            <w:vMerge/>
            <w:tcBorders>
              <w:top w:val="nil"/>
              <w:left w:val="single" w:sz="4" w:space="0" w:color="auto"/>
              <w:bottom w:val="single" w:sz="4" w:space="0" w:color="000000"/>
              <w:right w:val="single" w:sz="4" w:space="0" w:color="auto"/>
            </w:tcBorders>
            <w:vAlign w:val="center"/>
            <w:hideMark/>
          </w:tcPr>
          <w:p w14:paraId="7C1DC286" w14:textId="77777777" w:rsidR="004154AB" w:rsidRPr="004154AB" w:rsidRDefault="004154AB" w:rsidP="004154AB">
            <w:pPr>
              <w:rPr>
                <w:rFonts w:ascii="Arial" w:eastAsia="Times New Roman" w:hAnsi="Arial" w:cs="Arial"/>
                <w:color w:val="000000"/>
                <w:sz w:val="14"/>
                <w:szCs w:val="14"/>
                <w:lang w:val="cs-CZ" w:eastAsia="cs-CZ"/>
              </w:rPr>
            </w:pPr>
          </w:p>
        </w:tc>
        <w:tc>
          <w:tcPr>
            <w:tcW w:w="2917" w:type="dxa"/>
            <w:vMerge/>
            <w:tcBorders>
              <w:top w:val="nil"/>
              <w:left w:val="single" w:sz="4" w:space="0" w:color="auto"/>
              <w:bottom w:val="single" w:sz="4" w:space="0" w:color="000000"/>
              <w:right w:val="single" w:sz="4" w:space="0" w:color="auto"/>
            </w:tcBorders>
            <w:vAlign w:val="center"/>
            <w:hideMark/>
          </w:tcPr>
          <w:p w14:paraId="1CBC96E7" w14:textId="77777777" w:rsidR="004154AB" w:rsidRPr="004154AB" w:rsidRDefault="004154AB" w:rsidP="004154AB">
            <w:pPr>
              <w:rPr>
                <w:rFonts w:ascii="Arial" w:eastAsia="Times New Roman" w:hAnsi="Arial" w:cs="Arial"/>
                <w:color w:val="000000"/>
                <w:sz w:val="14"/>
                <w:szCs w:val="14"/>
                <w:lang w:val="cs-CZ" w:eastAsia="cs-CZ"/>
              </w:rPr>
            </w:pPr>
          </w:p>
        </w:tc>
        <w:tc>
          <w:tcPr>
            <w:tcW w:w="924" w:type="dxa"/>
            <w:vMerge/>
            <w:tcBorders>
              <w:top w:val="nil"/>
              <w:left w:val="single" w:sz="4" w:space="0" w:color="auto"/>
              <w:bottom w:val="single" w:sz="4" w:space="0" w:color="000000"/>
              <w:right w:val="single" w:sz="4" w:space="0" w:color="auto"/>
            </w:tcBorders>
            <w:vAlign w:val="center"/>
            <w:hideMark/>
          </w:tcPr>
          <w:p w14:paraId="09F5D817" w14:textId="77777777" w:rsidR="004154AB" w:rsidRPr="004154AB" w:rsidRDefault="004154AB" w:rsidP="004154AB">
            <w:pPr>
              <w:rPr>
                <w:rFonts w:ascii="Arial" w:eastAsia="Times New Roman" w:hAnsi="Arial" w:cs="Arial"/>
                <w:color w:val="000000"/>
                <w:sz w:val="14"/>
                <w:szCs w:val="14"/>
                <w:lang w:val="cs-CZ" w:eastAsia="cs-CZ"/>
              </w:rPr>
            </w:pPr>
          </w:p>
        </w:tc>
        <w:tc>
          <w:tcPr>
            <w:tcW w:w="891" w:type="dxa"/>
            <w:vMerge/>
            <w:tcBorders>
              <w:top w:val="nil"/>
              <w:left w:val="single" w:sz="4" w:space="0" w:color="auto"/>
              <w:bottom w:val="single" w:sz="4" w:space="0" w:color="000000"/>
              <w:right w:val="single" w:sz="4" w:space="0" w:color="auto"/>
            </w:tcBorders>
            <w:vAlign w:val="center"/>
            <w:hideMark/>
          </w:tcPr>
          <w:p w14:paraId="376F985D"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tcBorders>
              <w:top w:val="nil"/>
              <w:left w:val="nil"/>
              <w:bottom w:val="single" w:sz="4" w:space="0" w:color="auto"/>
              <w:right w:val="single" w:sz="4" w:space="0" w:color="auto"/>
            </w:tcBorders>
            <w:shd w:val="clear" w:color="auto" w:fill="auto"/>
            <w:vAlign w:val="center"/>
            <w:hideMark/>
          </w:tcPr>
          <w:p w14:paraId="4F34EF7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9" w:type="dxa"/>
            <w:tcBorders>
              <w:top w:val="nil"/>
              <w:left w:val="nil"/>
              <w:bottom w:val="single" w:sz="4" w:space="0" w:color="auto"/>
              <w:right w:val="single" w:sz="4" w:space="0" w:color="auto"/>
            </w:tcBorders>
            <w:shd w:val="clear" w:color="auto" w:fill="auto"/>
            <w:vAlign w:val="center"/>
            <w:hideMark/>
          </w:tcPr>
          <w:p w14:paraId="3CD4881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4075D9F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043772A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5E366B0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68B4B6C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77D48B7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2FF838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0" w:type="dxa"/>
            <w:tcBorders>
              <w:top w:val="nil"/>
              <w:left w:val="nil"/>
              <w:bottom w:val="single" w:sz="4" w:space="0" w:color="auto"/>
              <w:right w:val="single" w:sz="4" w:space="0" w:color="auto"/>
            </w:tcBorders>
            <w:shd w:val="clear" w:color="auto" w:fill="auto"/>
            <w:vAlign w:val="center"/>
            <w:hideMark/>
          </w:tcPr>
          <w:p w14:paraId="608E8F1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31" w:type="dxa"/>
            <w:tcBorders>
              <w:top w:val="nil"/>
              <w:left w:val="nil"/>
              <w:bottom w:val="single" w:sz="4" w:space="0" w:color="auto"/>
              <w:right w:val="single" w:sz="4" w:space="0" w:color="auto"/>
            </w:tcBorders>
            <w:shd w:val="clear" w:color="auto" w:fill="auto"/>
            <w:vAlign w:val="center"/>
            <w:hideMark/>
          </w:tcPr>
          <w:p w14:paraId="5815947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08" w:type="dxa"/>
            <w:gridSpan w:val="2"/>
            <w:tcBorders>
              <w:top w:val="nil"/>
              <w:left w:val="nil"/>
              <w:bottom w:val="single" w:sz="4" w:space="0" w:color="auto"/>
              <w:right w:val="single" w:sz="4" w:space="0" w:color="auto"/>
            </w:tcBorders>
            <w:shd w:val="clear" w:color="auto" w:fill="auto"/>
            <w:vAlign w:val="center"/>
            <w:hideMark/>
          </w:tcPr>
          <w:p w14:paraId="4EEE85C2" w14:textId="67DCA0D0"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2F8E311B" w14:textId="77777777" w:rsidR="004154AB" w:rsidRPr="004154AB" w:rsidRDefault="004154AB" w:rsidP="004154AB">
            <w:pPr>
              <w:rPr>
                <w:rFonts w:ascii="Arial" w:eastAsia="Times New Roman" w:hAnsi="Arial" w:cs="Arial"/>
                <w:color w:val="000000"/>
                <w:sz w:val="14"/>
                <w:szCs w:val="14"/>
                <w:lang w:val="cs-CZ" w:eastAsia="cs-CZ"/>
              </w:rPr>
            </w:pPr>
          </w:p>
        </w:tc>
      </w:tr>
    </w:tbl>
    <w:p w14:paraId="5B858B3E" w14:textId="77777777" w:rsidR="00E05F8E" w:rsidRPr="002F2BE4" w:rsidRDefault="00E05F8E" w:rsidP="004154AB">
      <w:pPr>
        <w:ind w:left="113" w:right="108"/>
        <w:jc w:val="both"/>
        <w:rPr>
          <w:rFonts w:ascii="Arial" w:eastAsia="Arial" w:hAnsi="Arial" w:cs="Arial"/>
          <w:color w:val="000000"/>
          <w:sz w:val="20"/>
          <w:lang w:val="cs-CZ"/>
        </w:rPr>
      </w:pPr>
    </w:p>
    <w:p w14:paraId="712D7FA4" w14:textId="5FB4BDDD" w:rsidR="00FD35AB" w:rsidRDefault="00FD35AB" w:rsidP="004154AB">
      <w:pPr>
        <w:keepNext/>
        <w:ind w:left="113" w:right="108"/>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03.1.52 Pomoc pracovníkům, podnikům a podnikatelům přizpůsobovat se změnám</w:t>
      </w:r>
    </w:p>
    <w:tbl>
      <w:tblPr>
        <w:tblW w:w="15762" w:type="dxa"/>
        <w:tblInd w:w="75" w:type="dxa"/>
        <w:tblCellMar>
          <w:left w:w="70" w:type="dxa"/>
          <w:right w:w="70" w:type="dxa"/>
        </w:tblCellMar>
        <w:tblLook w:val="04A0" w:firstRow="1" w:lastRow="0" w:firstColumn="1" w:lastColumn="0" w:noHBand="0" w:noVBand="1"/>
      </w:tblPr>
      <w:tblGrid>
        <w:gridCol w:w="935"/>
        <w:gridCol w:w="3276"/>
        <w:gridCol w:w="1010"/>
        <w:gridCol w:w="888"/>
        <w:gridCol w:w="779"/>
        <w:gridCol w:w="779"/>
        <w:gridCol w:w="779"/>
        <w:gridCol w:w="784"/>
        <w:gridCol w:w="784"/>
        <w:gridCol w:w="784"/>
        <w:gridCol w:w="778"/>
        <w:gridCol w:w="778"/>
        <w:gridCol w:w="778"/>
        <w:gridCol w:w="781"/>
        <w:gridCol w:w="1004"/>
        <w:gridCol w:w="845"/>
      </w:tblGrid>
      <w:tr w:rsidR="004154AB" w:rsidRPr="004154AB" w14:paraId="77381417" w14:textId="77777777" w:rsidTr="00B819FC">
        <w:trPr>
          <w:trHeight w:val="20"/>
          <w:tblHeader/>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58901F" w14:textId="77777777" w:rsidR="004154AB" w:rsidRPr="004154AB" w:rsidRDefault="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3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DBDB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84081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3863A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3853E81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05FAAB5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7C8B25C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1353DF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72967A7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11E4928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08D70B8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3CE13D5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27FBE90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787" w:type="dxa"/>
            <w:tcBorders>
              <w:top w:val="single" w:sz="4" w:space="0" w:color="auto"/>
              <w:left w:val="nil"/>
              <w:bottom w:val="single" w:sz="4" w:space="0" w:color="auto"/>
              <w:right w:val="single" w:sz="4" w:space="0" w:color="auto"/>
            </w:tcBorders>
            <w:shd w:val="clear" w:color="auto" w:fill="auto"/>
            <w:vAlign w:val="center"/>
            <w:hideMark/>
          </w:tcPr>
          <w:p w14:paraId="0627C65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943" w:type="dxa"/>
            <w:tcBorders>
              <w:top w:val="single" w:sz="4" w:space="0" w:color="auto"/>
              <w:left w:val="nil"/>
              <w:bottom w:val="single" w:sz="4" w:space="0" w:color="auto"/>
              <w:right w:val="single" w:sz="4" w:space="0" w:color="auto"/>
            </w:tcBorders>
            <w:shd w:val="clear" w:color="auto" w:fill="auto"/>
            <w:vAlign w:val="center"/>
            <w:hideMark/>
          </w:tcPr>
          <w:p w14:paraId="3EF13A7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5DDEC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43475B84" w14:textId="77777777" w:rsidTr="00B819FC">
        <w:trPr>
          <w:trHeight w:val="20"/>
          <w:tblHeader/>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D679F1B" w14:textId="77777777" w:rsidR="004154AB" w:rsidRPr="004154AB" w:rsidRDefault="004154AB" w:rsidP="004154AB">
            <w:pPr>
              <w:rPr>
                <w:rFonts w:ascii="Arial" w:eastAsia="Times New Roman" w:hAnsi="Arial" w:cs="Arial"/>
                <w:b/>
                <w:bCs/>
                <w:color w:val="000000"/>
                <w:sz w:val="14"/>
                <w:szCs w:val="14"/>
                <w:lang w:val="cs-CZ" w:eastAsia="cs-CZ"/>
              </w:rPr>
            </w:pPr>
          </w:p>
        </w:tc>
        <w:tc>
          <w:tcPr>
            <w:tcW w:w="3332" w:type="dxa"/>
            <w:vMerge/>
            <w:tcBorders>
              <w:top w:val="single" w:sz="4" w:space="0" w:color="auto"/>
              <w:left w:val="single" w:sz="4" w:space="0" w:color="auto"/>
              <w:bottom w:val="single" w:sz="4" w:space="0" w:color="auto"/>
              <w:right w:val="single" w:sz="4" w:space="0" w:color="auto"/>
            </w:tcBorders>
            <w:vAlign w:val="center"/>
            <w:hideMark/>
          </w:tcPr>
          <w:p w14:paraId="4B4FA640" w14:textId="77777777" w:rsidR="004154AB" w:rsidRPr="004154AB" w:rsidRDefault="004154AB" w:rsidP="004154AB">
            <w:pPr>
              <w:rPr>
                <w:rFonts w:ascii="Arial" w:eastAsia="Times New Roman" w:hAnsi="Arial" w:cs="Arial"/>
                <w:b/>
                <w:bCs/>
                <w:color w:val="000000"/>
                <w:sz w:val="14"/>
                <w:szCs w:val="14"/>
                <w:lang w:val="cs-CZ" w:eastAsia="cs-CZ"/>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14:paraId="49A9BE1D" w14:textId="77777777" w:rsidR="004154AB" w:rsidRPr="004154AB" w:rsidRDefault="004154AB" w:rsidP="004154AB">
            <w:pPr>
              <w:rPr>
                <w:rFonts w:ascii="Arial" w:eastAsia="Times New Roman" w:hAnsi="Arial" w:cs="Arial"/>
                <w:b/>
                <w:bCs/>
                <w:color w:val="000000"/>
                <w:sz w:val="14"/>
                <w:szCs w:val="14"/>
                <w:lang w:val="cs-CZ" w:eastAsia="cs-CZ"/>
              </w:rPr>
            </w:pPr>
          </w:p>
        </w:tc>
        <w:tc>
          <w:tcPr>
            <w:tcW w:w="833" w:type="dxa"/>
            <w:vMerge/>
            <w:tcBorders>
              <w:top w:val="single" w:sz="4" w:space="0" w:color="auto"/>
              <w:left w:val="single" w:sz="4" w:space="0" w:color="auto"/>
              <w:bottom w:val="single" w:sz="4" w:space="0" w:color="000000"/>
              <w:right w:val="single" w:sz="4" w:space="0" w:color="auto"/>
            </w:tcBorders>
            <w:vAlign w:val="center"/>
            <w:hideMark/>
          </w:tcPr>
          <w:p w14:paraId="0FEF48B6" w14:textId="77777777" w:rsidR="004154AB" w:rsidRPr="004154AB" w:rsidRDefault="004154AB" w:rsidP="004154AB">
            <w:pPr>
              <w:rPr>
                <w:rFonts w:ascii="Arial" w:eastAsia="Times New Roman" w:hAnsi="Arial" w:cs="Arial"/>
                <w:b/>
                <w:bCs/>
                <w:color w:val="000000"/>
                <w:sz w:val="14"/>
                <w:szCs w:val="14"/>
                <w:lang w:val="cs-CZ" w:eastAsia="cs-CZ"/>
              </w:rPr>
            </w:pPr>
          </w:p>
        </w:tc>
        <w:tc>
          <w:tcPr>
            <w:tcW w:w="7876" w:type="dxa"/>
            <w:gridSpan w:val="10"/>
            <w:tcBorders>
              <w:top w:val="single" w:sz="4" w:space="0" w:color="auto"/>
              <w:left w:val="nil"/>
              <w:bottom w:val="single" w:sz="4" w:space="0" w:color="auto"/>
              <w:right w:val="single" w:sz="4" w:space="0" w:color="auto"/>
            </w:tcBorders>
            <w:shd w:val="clear" w:color="auto" w:fill="auto"/>
            <w:vAlign w:val="center"/>
            <w:hideMark/>
          </w:tcPr>
          <w:p w14:paraId="69C5305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943" w:type="dxa"/>
            <w:tcBorders>
              <w:top w:val="nil"/>
              <w:left w:val="nil"/>
              <w:bottom w:val="single" w:sz="4" w:space="0" w:color="auto"/>
              <w:right w:val="single" w:sz="4" w:space="0" w:color="auto"/>
            </w:tcBorders>
            <w:shd w:val="clear" w:color="auto" w:fill="auto"/>
            <w:vAlign w:val="center"/>
            <w:hideMark/>
          </w:tcPr>
          <w:p w14:paraId="4CDCDC6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45" w:type="dxa"/>
            <w:vMerge/>
            <w:tcBorders>
              <w:top w:val="single" w:sz="4" w:space="0" w:color="auto"/>
              <w:left w:val="single" w:sz="4" w:space="0" w:color="auto"/>
              <w:bottom w:val="single" w:sz="4" w:space="0" w:color="000000"/>
              <w:right w:val="single" w:sz="4" w:space="0" w:color="auto"/>
            </w:tcBorders>
            <w:vAlign w:val="center"/>
            <w:hideMark/>
          </w:tcPr>
          <w:p w14:paraId="5000A1AD"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2859029C" w14:textId="77777777" w:rsidTr="00B819FC">
        <w:trPr>
          <w:trHeight w:val="20"/>
          <w:tblHeader/>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238E9F7C" w14:textId="77777777" w:rsidR="004154AB" w:rsidRPr="004154AB" w:rsidRDefault="004154AB" w:rsidP="004154AB">
            <w:pPr>
              <w:rPr>
                <w:rFonts w:ascii="Arial" w:eastAsia="Times New Roman" w:hAnsi="Arial" w:cs="Arial"/>
                <w:b/>
                <w:bCs/>
                <w:color w:val="000000"/>
                <w:sz w:val="14"/>
                <w:szCs w:val="14"/>
                <w:lang w:val="cs-CZ" w:eastAsia="cs-CZ"/>
              </w:rPr>
            </w:pPr>
          </w:p>
        </w:tc>
        <w:tc>
          <w:tcPr>
            <w:tcW w:w="3332" w:type="dxa"/>
            <w:vMerge/>
            <w:tcBorders>
              <w:top w:val="single" w:sz="4" w:space="0" w:color="auto"/>
              <w:left w:val="single" w:sz="4" w:space="0" w:color="auto"/>
              <w:bottom w:val="single" w:sz="4" w:space="0" w:color="auto"/>
              <w:right w:val="single" w:sz="4" w:space="0" w:color="auto"/>
            </w:tcBorders>
            <w:vAlign w:val="center"/>
            <w:hideMark/>
          </w:tcPr>
          <w:p w14:paraId="31892B4B" w14:textId="77777777" w:rsidR="004154AB" w:rsidRPr="004154AB" w:rsidRDefault="004154AB" w:rsidP="004154AB">
            <w:pPr>
              <w:rPr>
                <w:rFonts w:ascii="Arial" w:eastAsia="Times New Roman" w:hAnsi="Arial" w:cs="Arial"/>
                <w:b/>
                <w:bCs/>
                <w:color w:val="000000"/>
                <w:sz w:val="14"/>
                <w:szCs w:val="14"/>
                <w:lang w:val="cs-CZ" w:eastAsia="cs-CZ"/>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14:paraId="764EAE84" w14:textId="77777777" w:rsidR="004154AB" w:rsidRPr="004154AB" w:rsidRDefault="004154AB" w:rsidP="004154AB">
            <w:pPr>
              <w:rPr>
                <w:rFonts w:ascii="Arial" w:eastAsia="Times New Roman" w:hAnsi="Arial" w:cs="Arial"/>
                <w:b/>
                <w:bCs/>
                <w:color w:val="000000"/>
                <w:sz w:val="14"/>
                <w:szCs w:val="14"/>
                <w:lang w:val="cs-CZ" w:eastAsia="cs-CZ"/>
              </w:rPr>
            </w:pPr>
          </w:p>
        </w:tc>
        <w:tc>
          <w:tcPr>
            <w:tcW w:w="833" w:type="dxa"/>
            <w:vMerge/>
            <w:tcBorders>
              <w:top w:val="single" w:sz="4" w:space="0" w:color="auto"/>
              <w:left w:val="single" w:sz="4" w:space="0" w:color="auto"/>
              <w:bottom w:val="single" w:sz="4" w:space="0" w:color="000000"/>
              <w:right w:val="single" w:sz="4" w:space="0" w:color="auto"/>
            </w:tcBorders>
            <w:vAlign w:val="center"/>
            <w:hideMark/>
          </w:tcPr>
          <w:p w14:paraId="4389E8BA" w14:textId="77777777" w:rsidR="004154AB" w:rsidRPr="004154AB" w:rsidRDefault="004154AB" w:rsidP="004154AB">
            <w:pPr>
              <w:rPr>
                <w:rFonts w:ascii="Arial" w:eastAsia="Times New Roman" w:hAnsi="Arial" w:cs="Arial"/>
                <w:b/>
                <w:bCs/>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1CB1FB4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7301356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106B424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7DDA9A1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4656980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03135AE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1893FEC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00A1F97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60EC9E5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7" w:type="dxa"/>
            <w:tcBorders>
              <w:top w:val="nil"/>
              <w:left w:val="nil"/>
              <w:bottom w:val="single" w:sz="4" w:space="0" w:color="auto"/>
              <w:right w:val="single" w:sz="4" w:space="0" w:color="auto"/>
            </w:tcBorders>
            <w:shd w:val="clear" w:color="auto" w:fill="auto"/>
            <w:vAlign w:val="center"/>
            <w:hideMark/>
          </w:tcPr>
          <w:p w14:paraId="7083C52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43" w:type="dxa"/>
            <w:tcBorders>
              <w:top w:val="nil"/>
              <w:left w:val="nil"/>
              <w:bottom w:val="single" w:sz="4" w:space="0" w:color="auto"/>
              <w:right w:val="single" w:sz="4" w:space="0" w:color="auto"/>
            </w:tcBorders>
            <w:shd w:val="clear" w:color="auto" w:fill="auto"/>
            <w:vAlign w:val="center"/>
            <w:hideMark/>
          </w:tcPr>
          <w:p w14:paraId="0A2F420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5" w:type="dxa"/>
            <w:vMerge/>
            <w:tcBorders>
              <w:top w:val="single" w:sz="4" w:space="0" w:color="auto"/>
              <w:left w:val="single" w:sz="4" w:space="0" w:color="auto"/>
              <w:bottom w:val="single" w:sz="4" w:space="0" w:color="000000"/>
              <w:right w:val="single" w:sz="4" w:space="0" w:color="auto"/>
            </w:tcBorders>
            <w:vAlign w:val="center"/>
            <w:hideMark/>
          </w:tcPr>
          <w:p w14:paraId="5205173B"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143F844E" w14:textId="77777777" w:rsidTr="00B819FC">
        <w:trPr>
          <w:trHeight w:val="20"/>
          <w:tblHeader/>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79C5DBC8" w14:textId="77777777" w:rsidR="004154AB" w:rsidRPr="004154AB" w:rsidRDefault="004154AB" w:rsidP="004154AB">
            <w:pPr>
              <w:rPr>
                <w:rFonts w:ascii="Arial" w:eastAsia="Times New Roman" w:hAnsi="Arial" w:cs="Arial"/>
                <w:b/>
                <w:bCs/>
                <w:color w:val="000000"/>
                <w:sz w:val="14"/>
                <w:szCs w:val="14"/>
                <w:lang w:val="cs-CZ" w:eastAsia="cs-CZ"/>
              </w:rPr>
            </w:pPr>
          </w:p>
        </w:tc>
        <w:tc>
          <w:tcPr>
            <w:tcW w:w="3332" w:type="dxa"/>
            <w:vMerge/>
            <w:tcBorders>
              <w:top w:val="single" w:sz="4" w:space="0" w:color="auto"/>
              <w:left w:val="single" w:sz="4" w:space="0" w:color="auto"/>
              <w:bottom w:val="single" w:sz="4" w:space="0" w:color="auto"/>
              <w:right w:val="single" w:sz="4" w:space="0" w:color="auto"/>
            </w:tcBorders>
            <w:vAlign w:val="center"/>
            <w:hideMark/>
          </w:tcPr>
          <w:p w14:paraId="368D81F1" w14:textId="77777777" w:rsidR="004154AB" w:rsidRPr="004154AB" w:rsidRDefault="004154AB" w:rsidP="004154AB">
            <w:pPr>
              <w:rPr>
                <w:rFonts w:ascii="Arial" w:eastAsia="Times New Roman" w:hAnsi="Arial" w:cs="Arial"/>
                <w:b/>
                <w:bCs/>
                <w:color w:val="000000"/>
                <w:sz w:val="14"/>
                <w:szCs w:val="14"/>
                <w:lang w:val="cs-CZ" w:eastAsia="cs-CZ"/>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14:paraId="6DBEBECF" w14:textId="77777777" w:rsidR="004154AB" w:rsidRPr="004154AB" w:rsidRDefault="004154AB" w:rsidP="004154AB">
            <w:pPr>
              <w:rPr>
                <w:rFonts w:ascii="Arial" w:eastAsia="Times New Roman" w:hAnsi="Arial" w:cs="Arial"/>
                <w:b/>
                <w:bCs/>
                <w:color w:val="000000"/>
                <w:sz w:val="14"/>
                <w:szCs w:val="14"/>
                <w:lang w:val="cs-CZ" w:eastAsia="cs-CZ"/>
              </w:rPr>
            </w:pPr>
          </w:p>
        </w:tc>
        <w:tc>
          <w:tcPr>
            <w:tcW w:w="833" w:type="dxa"/>
            <w:vMerge/>
            <w:tcBorders>
              <w:top w:val="single" w:sz="4" w:space="0" w:color="auto"/>
              <w:left w:val="single" w:sz="4" w:space="0" w:color="auto"/>
              <w:bottom w:val="single" w:sz="4" w:space="0" w:color="000000"/>
              <w:right w:val="single" w:sz="4" w:space="0" w:color="auto"/>
            </w:tcBorders>
            <w:vAlign w:val="center"/>
            <w:hideMark/>
          </w:tcPr>
          <w:p w14:paraId="49AAF73F" w14:textId="77777777" w:rsidR="004154AB" w:rsidRPr="004154AB" w:rsidRDefault="004154AB" w:rsidP="004154AB">
            <w:pPr>
              <w:rPr>
                <w:rFonts w:ascii="Arial" w:eastAsia="Times New Roman" w:hAnsi="Arial" w:cs="Arial"/>
                <w:b/>
                <w:bCs/>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3EDC030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196D06E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06AE79D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6E8560E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0DE4884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134C71A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76B091B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6ED3245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35254DF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7" w:type="dxa"/>
            <w:tcBorders>
              <w:top w:val="nil"/>
              <w:left w:val="nil"/>
              <w:bottom w:val="single" w:sz="4" w:space="0" w:color="auto"/>
              <w:right w:val="single" w:sz="4" w:space="0" w:color="auto"/>
            </w:tcBorders>
            <w:shd w:val="clear" w:color="auto" w:fill="auto"/>
            <w:vAlign w:val="center"/>
            <w:hideMark/>
          </w:tcPr>
          <w:p w14:paraId="732C86B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43" w:type="dxa"/>
            <w:tcBorders>
              <w:top w:val="nil"/>
              <w:left w:val="nil"/>
              <w:bottom w:val="single" w:sz="4" w:space="0" w:color="auto"/>
              <w:right w:val="single" w:sz="4" w:space="0" w:color="auto"/>
            </w:tcBorders>
            <w:shd w:val="clear" w:color="auto" w:fill="auto"/>
            <w:vAlign w:val="center"/>
            <w:hideMark/>
          </w:tcPr>
          <w:p w14:paraId="0E383A9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5" w:type="dxa"/>
            <w:vMerge/>
            <w:tcBorders>
              <w:top w:val="single" w:sz="4" w:space="0" w:color="auto"/>
              <w:left w:val="single" w:sz="4" w:space="0" w:color="auto"/>
              <w:bottom w:val="single" w:sz="4" w:space="0" w:color="000000"/>
              <w:right w:val="single" w:sz="4" w:space="0" w:color="auto"/>
            </w:tcBorders>
            <w:vAlign w:val="center"/>
            <w:hideMark/>
          </w:tcPr>
          <w:p w14:paraId="1E2BE010"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565E703E" w14:textId="77777777" w:rsidTr="00B819FC">
        <w:trPr>
          <w:trHeight w:val="20"/>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14:paraId="63C36A8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3332" w:type="dxa"/>
            <w:vMerge w:val="restart"/>
            <w:tcBorders>
              <w:top w:val="nil"/>
              <w:left w:val="single" w:sz="4" w:space="0" w:color="auto"/>
              <w:bottom w:val="single" w:sz="4" w:space="0" w:color="000000"/>
              <w:right w:val="single" w:sz="4" w:space="0" w:color="auto"/>
            </w:tcBorders>
            <w:shd w:val="clear" w:color="auto" w:fill="auto"/>
            <w:vAlign w:val="center"/>
            <w:hideMark/>
          </w:tcPr>
          <w:p w14:paraId="5ADB37E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1013" w:type="dxa"/>
            <w:vMerge w:val="restart"/>
            <w:tcBorders>
              <w:top w:val="nil"/>
              <w:left w:val="single" w:sz="4" w:space="0" w:color="auto"/>
              <w:bottom w:val="single" w:sz="4" w:space="0" w:color="000000"/>
              <w:right w:val="single" w:sz="4" w:space="0" w:color="auto"/>
            </w:tcBorders>
            <w:shd w:val="clear" w:color="auto" w:fill="auto"/>
            <w:vAlign w:val="center"/>
            <w:hideMark/>
          </w:tcPr>
          <w:p w14:paraId="26FC77D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33" w:type="dxa"/>
            <w:vMerge w:val="restart"/>
            <w:tcBorders>
              <w:top w:val="nil"/>
              <w:left w:val="single" w:sz="4" w:space="0" w:color="auto"/>
              <w:bottom w:val="single" w:sz="4" w:space="0" w:color="000000"/>
              <w:right w:val="single" w:sz="4" w:space="0" w:color="auto"/>
            </w:tcBorders>
            <w:shd w:val="clear" w:color="auto" w:fill="auto"/>
            <w:vAlign w:val="center"/>
            <w:hideMark/>
          </w:tcPr>
          <w:p w14:paraId="3E8EC55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370,000</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14:paraId="063601C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nil"/>
              <w:right w:val="single" w:sz="4" w:space="0" w:color="auto"/>
            </w:tcBorders>
            <w:shd w:val="clear" w:color="auto" w:fill="auto"/>
            <w:vAlign w:val="center"/>
            <w:hideMark/>
          </w:tcPr>
          <w:p w14:paraId="60EE572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1 007,000</w:t>
            </w:r>
          </w:p>
        </w:tc>
        <w:tc>
          <w:tcPr>
            <w:tcW w:w="845" w:type="dxa"/>
            <w:vMerge w:val="restart"/>
            <w:tcBorders>
              <w:top w:val="nil"/>
              <w:left w:val="single" w:sz="4" w:space="0" w:color="auto"/>
              <w:bottom w:val="single" w:sz="4" w:space="0" w:color="000000"/>
              <w:right w:val="single" w:sz="4" w:space="0" w:color="auto"/>
            </w:tcBorders>
            <w:shd w:val="clear" w:color="auto" w:fill="auto"/>
            <w:vAlign w:val="center"/>
            <w:hideMark/>
          </w:tcPr>
          <w:p w14:paraId="3293422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272,162</w:t>
            </w:r>
          </w:p>
        </w:tc>
      </w:tr>
      <w:tr w:rsidR="004154AB" w:rsidRPr="004154AB" w14:paraId="30C2953E"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0004E7B3"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57396417"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4FC1AAAF"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53BDEB97"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3803EEE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09F0CEB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7637F2B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B66357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B1DBC8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3ED60D3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34C4C06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7B15303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76E6914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06613E8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14:paraId="5BA83E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vMerge/>
            <w:tcBorders>
              <w:top w:val="nil"/>
              <w:left w:val="single" w:sz="4" w:space="0" w:color="auto"/>
              <w:bottom w:val="single" w:sz="4" w:space="0" w:color="000000"/>
              <w:right w:val="single" w:sz="4" w:space="0" w:color="auto"/>
            </w:tcBorders>
            <w:vAlign w:val="center"/>
            <w:hideMark/>
          </w:tcPr>
          <w:p w14:paraId="606F815C"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4B1DB4C"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33E437CD"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553D89DD"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34DECDAF"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628589B7"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380114D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1C892A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551E825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0E7C4DF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1C7628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691AD90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60516D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C4B325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7BD813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2B69FC1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single" w:sz="4" w:space="0" w:color="auto"/>
              <w:right w:val="single" w:sz="4" w:space="0" w:color="auto"/>
            </w:tcBorders>
            <w:shd w:val="clear" w:color="auto" w:fill="auto"/>
            <w:vAlign w:val="center"/>
            <w:hideMark/>
          </w:tcPr>
          <w:p w14:paraId="1BF8ED5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vMerge/>
            <w:tcBorders>
              <w:top w:val="nil"/>
              <w:left w:val="single" w:sz="4" w:space="0" w:color="auto"/>
              <w:bottom w:val="single" w:sz="4" w:space="0" w:color="000000"/>
              <w:right w:val="single" w:sz="4" w:space="0" w:color="auto"/>
            </w:tcBorders>
            <w:vAlign w:val="center"/>
            <w:hideMark/>
          </w:tcPr>
          <w:p w14:paraId="37B5635E"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1D91BBFC" w14:textId="77777777" w:rsidTr="00B819FC">
        <w:trPr>
          <w:trHeight w:val="20"/>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14:paraId="7636DDC1"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3332" w:type="dxa"/>
            <w:vMerge w:val="restart"/>
            <w:tcBorders>
              <w:top w:val="nil"/>
              <w:left w:val="single" w:sz="4" w:space="0" w:color="auto"/>
              <w:bottom w:val="single" w:sz="4" w:space="0" w:color="000000"/>
              <w:right w:val="single" w:sz="4" w:space="0" w:color="auto"/>
            </w:tcBorders>
            <w:shd w:val="clear" w:color="auto" w:fill="auto"/>
            <w:vAlign w:val="center"/>
            <w:hideMark/>
          </w:tcPr>
          <w:p w14:paraId="31E62B9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1013" w:type="dxa"/>
            <w:vMerge w:val="restart"/>
            <w:tcBorders>
              <w:top w:val="nil"/>
              <w:left w:val="single" w:sz="4" w:space="0" w:color="auto"/>
              <w:bottom w:val="single" w:sz="4" w:space="0" w:color="000000"/>
              <w:right w:val="single" w:sz="4" w:space="0" w:color="auto"/>
            </w:tcBorders>
            <w:shd w:val="clear" w:color="auto" w:fill="auto"/>
            <w:vAlign w:val="center"/>
            <w:hideMark/>
          </w:tcPr>
          <w:p w14:paraId="662286F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33" w:type="dxa"/>
            <w:vMerge w:val="restart"/>
            <w:tcBorders>
              <w:top w:val="nil"/>
              <w:left w:val="single" w:sz="4" w:space="0" w:color="auto"/>
              <w:bottom w:val="single" w:sz="4" w:space="0" w:color="000000"/>
              <w:right w:val="single" w:sz="4" w:space="0" w:color="auto"/>
            </w:tcBorders>
            <w:shd w:val="clear" w:color="auto" w:fill="auto"/>
            <w:vAlign w:val="center"/>
            <w:hideMark/>
          </w:tcPr>
          <w:p w14:paraId="55A1508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14:paraId="289C3DB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nil"/>
              <w:right w:val="single" w:sz="4" w:space="0" w:color="auto"/>
            </w:tcBorders>
            <w:shd w:val="clear" w:color="auto" w:fill="auto"/>
            <w:vAlign w:val="center"/>
            <w:hideMark/>
          </w:tcPr>
          <w:p w14:paraId="0CF85F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1 007,000</w:t>
            </w:r>
          </w:p>
        </w:tc>
        <w:tc>
          <w:tcPr>
            <w:tcW w:w="845" w:type="dxa"/>
            <w:vMerge w:val="restart"/>
            <w:tcBorders>
              <w:top w:val="nil"/>
              <w:left w:val="single" w:sz="4" w:space="0" w:color="auto"/>
              <w:bottom w:val="single" w:sz="4" w:space="0" w:color="000000"/>
              <w:right w:val="single" w:sz="4" w:space="0" w:color="auto"/>
            </w:tcBorders>
            <w:shd w:val="clear" w:color="auto" w:fill="auto"/>
            <w:vAlign w:val="center"/>
            <w:hideMark/>
          </w:tcPr>
          <w:p w14:paraId="2F63AA8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r>
      <w:tr w:rsidR="004154AB" w:rsidRPr="004154AB" w14:paraId="22748E35"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7AE57C33"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50DA9F92"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6E28855E"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2391657B"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1BEEDCC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35978D0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12098F1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13C27D5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274FE16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3E8701F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5C640B0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05079CE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101C0F5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1F8504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14:paraId="4D0C527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vMerge/>
            <w:tcBorders>
              <w:top w:val="nil"/>
              <w:left w:val="single" w:sz="4" w:space="0" w:color="auto"/>
              <w:bottom w:val="single" w:sz="4" w:space="0" w:color="000000"/>
              <w:right w:val="single" w:sz="4" w:space="0" w:color="auto"/>
            </w:tcBorders>
            <w:vAlign w:val="center"/>
            <w:hideMark/>
          </w:tcPr>
          <w:p w14:paraId="6CC37BE2"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71AAF123"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6C803987"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0E2BEBAE"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45FD1A99"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19F235C1"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7C04DC3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61821A0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572D60C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02E66AC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C9B9F9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9459C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5E87350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040A7D8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217F57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2D4E811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single" w:sz="4" w:space="0" w:color="auto"/>
              <w:right w:val="single" w:sz="4" w:space="0" w:color="auto"/>
            </w:tcBorders>
            <w:shd w:val="clear" w:color="auto" w:fill="auto"/>
            <w:vAlign w:val="center"/>
            <w:hideMark/>
          </w:tcPr>
          <w:p w14:paraId="37BAD9B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vMerge/>
            <w:tcBorders>
              <w:top w:val="nil"/>
              <w:left w:val="single" w:sz="4" w:space="0" w:color="auto"/>
              <w:bottom w:val="single" w:sz="4" w:space="0" w:color="000000"/>
              <w:right w:val="single" w:sz="4" w:space="0" w:color="auto"/>
            </w:tcBorders>
            <w:vAlign w:val="center"/>
            <w:hideMark/>
          </w:tcPr>
          <w:p w14:paraId="163E5E0E"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177682FC" w14:textId="77777777" w:rsidTr="00B819FC">
        <w:trPr>
          <w:trHeight w:val="20"/>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14:paraId="45F1B271"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60700/CO07</w:t>
            </w:r>
          </w:p>
        </w:tc>
        <w:tc>
          <w:tcPr>
            <w:tcW w:w="3332" w:type="dxa"/>
            <w:vMerge w:val="restart"/>
            <w:tcBorders>
              <w:top w:val="nil"/>
              <w:left w:val="single" w:sz="4" w:space="0" w:color="auto"/>
              <w:bottom w:val="single" w:sz="4" w:space="0" w:color="000000"/>
              <w:right w:val="single" w:sz="4" w:space="0" w:color="auto"/>
            </w:tcBorders>
            <w:shd w:val="clear" w:color="auto" w:fill="auto"/>
            <w:vAlign w:val="center"/>
            <w:hideMark/>
          </w:tcPr>
          <w:p w14:paraId="6457741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účastníci ve věku nad 54 let</w:t>
            </w:r>
          </w:p>
        </w:tc>
        <w:tc>
          <w:tcPr>
            <w:tcW w:w="1013" w:type="dxa"/>
            <w:vMerge w:val="restart"/>
            <w:tcBorders>
              <w:top w:val="nil"/>
              <w:left w:val="single" w:sz="4" w:space="0" w:color="auto"/>
              <w:bottom w:val="single" w:sz="4" w:space="0" w:color="000000"/>
              <w:right w:val="single" w:sz="4" w:space="0" w:color="auto"/>
            </w:tcBorders>
            <w:shd w:val="clear" w:color="auto" w:fill="auto"/>
            <w:vAlign w:val="center"/>
            <w:hideMark/>
          </w:tcPr>
          <w:p w14:paraId="0A0D646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33" w:type="dxa"/>
            <w:vMerge w:val="restart"/>
            <w:tcBorders>
              <w:top w:val="nil"/>
              <w:left w:val="single" w:sz="4" w:space="0" w:color="auto"/>
              <w:bottom w:val="single" w:sz="4" w:space="0" w:color="000000"/>
              <w:right w:val="single" w:sz="4" w:space="0" w:color="auto"/>
            </w:tcBorders>
            <w:shd w:val="clear" w:color="auto" w:fill="auto"/>
            <w:vAlign w:val="center"/>
            <w:hideMark/>
          </w:tcPr>
          <w:p w14:paraId="3ED2B424"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21 385,000</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14:paraId="34559D4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nil"/>
              <w:right w:val="single" w:sz="4" w:space="0" w:color="auto"/>
            </w:tcBorders>
            <w:shd w:val="clear" w:color="auto" w:fill="auto"/>
            <w:vAlign w:val="center"/>
            <w:hideMark/>
          </w:tcPr>
          <w:p w14:paraId="53804CB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7 959,000</w:t>
            </w:r>
          </w:p>
        </w:tc>
        <w:tc>
          <w:tcPr>
            <w:tcW w:w="845" w:type="dxa"/>
            <w:vMerge w:val="restart"/>
            <w:tcBorders>
              <w:top w:val="nil"/>
              <w:left w:val="single" w:sz="4" w:space="0" w:color="auto"/>
              <w:bottom w:val="single" w:sz="4" w:space="0" w:color="000000"/>
              <w:right w:val="single" w:sz="4" w:space="0" w:color="auto"/>
            </w:tcBorders>
            <w:shd w:val="clear" w:color="auto" w:fill="auto"/>
            <w:vAlign w:val="center"/>
            <w:hideMark/>
          </w:tcPr>
          <w:p w14:paraId="7C0CF09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37,218</w:t>
            </w:r>
          </w:p>
        </w:tc>
      </w:tr>
      <w:tr w:rsidR="004154AB" w:rsidRPr="004154AB" w14:paraId="3B94C26C"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388BC4F4"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650FA273"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23D7FF81"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3071B6A8"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157906C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787" w:type="dxa"/>
            <w:tcBorders>
              <w:top w:val="nil"/>
              <w:left w:val="nil"/>
              <w:bottom w:val="single" w:sz="4" w:space="0" w:color="auto"/>
              <w:right w:val="single" w:sz="4" w:space="0" w:color="auto"/>
            </w:tcBorders>
            <w:shd w:val="clear" w:color="auto" w:fill="auto"/>
            <w:vAlign w:val="center"/>
            <w:hideMark/>
          </w:tcPr>
          <w:p w14:paraId="5F04C4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787" w:type="dxa"/>
            <w:tcBorders>
              <w:top w:val="nil"/>
              <w:left w:val="nil"/>
              <w:bottom w:val="single" w:sz="4" w:space="0" w:color="auto"/>
              <w:right w:val="single" w:sz="4" w:space="0" w:color="auto"/>
            </w:tcBorders>
            <w:shd w:val="clear" w:color="auto" w:fill="auto"/>
            <w:vAlign w:val="center"/>
            <w:hideMark/>
          </w:tcPr>
          <w:p w14:paraId="54F9DAE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788" w:type="dxa"/>
            <w:tcBorders>
              <w:top w:val="nil"/>
              <w:left w:val="nil"/>
              <w:bottom w:val="single" w:sz="4" w:space="0" w:color="auto"/>
              <w:right w:val="single" w:sz="4" w:space="0" w:color="auto"/>
            </w:tcBorders>
            <w:shd w:val="clear" w:color="auto" w:fill="auto"/>
            <w:vAlign w:val="center"/>
            <w:hideMark/>
          </w:tcPr>
          <w:p w14:paraId="10503A7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578,000</w:t>
            </w:r>
          </w:p>
        </w:tc>
        <w:tc>
          <w:tcPr>
            <w:tcW w:w="788" w:type="dxa"/>
            <w:tcBorders>
              <w:top w:val="nil"/>
              <w:left w:val="nil"/>
              <w:bottom w:val="single" w:sz="4" w:space="0" w:color="auto"/>
              <w:right w:val="single" w:sz="4" w:space="0" w:color="auto"/>
            </w:tcBorders>
            <w:shd w:val="clear" w:color="auto" w:fill="auto"/>
            <w:vAlign w:val="center"/>
            <w:hideMark/>
          </w:tcPr>
          <w:p w14:paraId="70DEEF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3 232,000</w:t>
            </w:r>
          </w:p>
        </w:tc>
        <w:tc>
          <w:tcPr>
            <w:tcW w:w="788" w:type="dxa"/>
            <w:tcBorders>
              <w:top w:val="nil"/>
              <w:left w:val="nil"/>
              <w:bottom w:val="single" w:sz="4" w:space="0" w:color="auto"/>
              <w:right w:val="single" w:sz="4" w:space="0" w:color="auto"/>
            </w:tcBorders>
            <w:shd w:val="clear" w:color="auto" w:fill="auto"/>
            <w:vAlign w:val="center"/>
            <w:hideMark/>
          </w:tcPr>
          <w:p w14:paraId="3393CB1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1 498,000</w:t>
            </w:r>
          </w:p>
        </w:tc>
        <w:tc>
          <w:tcPr>
            <w:tcW w:w="787" w:type="dxa"/>
            <w:tcBorders>
              <w:top w:val="nil"/>
              <w:left w:val="nil"/>
              <w:bottom w:val="single" w:sz="4" w:space="0" w:color="auto"/>
              <w:right w:val="single" w:sz="4" w:space="0" w:color="auto"/>
            </w:tcBorders>
            <w:shd w:val="clear" w:color="auto" w:fill="auto"/>
            <w:vAlign w:val="center"/>
            <w:hideMark/>
          </w:tcPr>
          <w:p w14:paraId="47E213E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723799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36FD41F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2CD7A67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14:paraId="681952D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5 308,000</w:t>
            </w:r>
          </w:p>
        </w:tc>
        <w:tc>
          <w:tcPr>
            <w:tcW w:w="845" w:type="dxa"/>
            <w:vMerge/>
            <w:tcBorders>
              <w:top w:val="nil"/>
              <w:left w:val="single" w:sz="4" w:space="0" w:color="auto"/>
              <w:bottom w:val="single" w:sz="4" w:space="0" w:color="000000"/>
              <w:right w:val="single" w:sz="4" w:space="0" w:color="auto"/>
            </w:tcBorders>
            <w:vAlign w:val="center"/>
            <w:hideMark/>
          </w:tcPr>
          <w:p w14:paraId="2E8B930A"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67E862AE"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54F37044"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1A26C20A"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5BEEAB3C"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6E2C0013"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290BCC9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787" w:type="dxa"/>
            <w:tcBorders>
              <w:top w:val="nil"/>
              <w:left w:val="nil"/>
              <w:bottom w:val="single" w:sz="4" w:space="0" w:color="auto"/>
              <w:right w:val="single" w:sz="4" w:space="0" w:color="auto"/>
            </w:tcBorders>
            <w:shd w:val="clear" w:color="auto" w:fill="auto"/>
            <w:vAlign w:val="center"/>
            <w:hideMark/>
          </w:tcPr>
          <w:p w14:paraId="44B4A81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787" w:type="dxa"/>
            <w:tcBorders>
              <w:top w:val="nil"/>
              <w:left w:val="nil"/>
              <w:bottom w:val="single" w:sz="4" w:space="0" w:color="auto"/>
              <w:right w:val="single" w:sz="4" w:space="0" w:color="auto"/>
            </w:tcBorders>
            <w:shd w:val="clear" w:color="auto" w:fill="auto"/>
            <w:vAlign w:val="center"/>
            <w:hideMark/>
          </w:tcPr>
          <w:p w14:paraId="61A0DE5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788" w:type="dxa"/>
            <w:tcBorders>
              <w:top w:val="nil"/>
              <w:left w:val="nil"/>
              <w:bottom w:val="single" w:sz="4" w:space="0" w:color="auto"/>
              <w:right w:val="single" w:sz="4" w:space="0" w:color="auto"/>
            </w:tcBorders>
            <w:shd w:val="clear" w:color="auto" w:fill="auto"/>
            <w:vAlign w:val="center"/>
            <w:hideMark/>
          </w:tcPr>
          <w:p w14:paraId="737E3F4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440,000</w:t>
            </w:r>
          </w:p>
        </w:tc>
        <w:tc>
          <w:tcPr>
            <w:tcW w:w="788" w:type="dxa"/>
            <w:tcBorders>
              <w:top w:val="nil"/>
              <w:left w:val="nil"/>
              <w:bottom w:val="single" w:sz="4" w:space="0" w:color="auto"/>
              <w:right w:val="single" w:sz="4" w:space="0" w:color="auto"/>
            </w:tcBorders>
            <w:shd w:val="clear" w:color="auto" w:fill="auto"/>
            <w:vAlign w:val="center"/>
            <w:hideMark/>
          </w:tcPr>
          <w:p w14:paraId="4D4DEC1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1 576,000</w:t>
            </w:r>
          </w:p>
        </w:tc>
        <w:tc>
          <w:tcPr>
            <w:tcW w:w="788" w:type="dxa"/>
            <w:tcBorders>
              <w:top w:val="nil"/>
              <w:left w:val="nil"/>
              <w:bottom w:val="single" w:sz="4" w:space="0" w:color="auto"/>
              <w:right w:val="single" w:sz="4" w:space="0" w:color="auto"/>
            </w:tcBorders>
            <w:shd w:val="clear" w:color="auto" w:fill="auto"/>
            <w:vAlign w:val="center"/>
            <w:hideMark/>
          </w:tcPr>
          <w:p w14:paraId="416821A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635,000</w:t>
            </w:r>
          </w:p>
        </w:tc>
        <w:tc>
          <w:tcPr>
            <w:tcW w:w="787" w:type="dxa"/>
            <w:tcBorders>
              <w:top w:val="nil"/>
              <w:left w:val="nil"/>
              <w:bottom w:val="single" w:sz="4" w:space="0" w:color="auto"/>
              <w:right w:val="single" w:sz="4" w:space="0" w:color="auto"/>
            </w:tcBorders>
            <w:shd w:val="clear" w:color="auto" w:fill="auto"/>
            <w:vAlign w:val="center"/>
            <w:hideMark/>
          </w:tcPr>
          <w:p w14:paraId="52DED21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92E837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18762E2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08D5FB7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single" w:sz="4" w:space="0" w:color="auto"/>
              <w:right w:val="single" w:sz="4" w:space="0" w:color="auto"/>
            </w:tcBorders>
            <w:shd w:val="clear" w:color="auto" w:fill="auto"/>
            <w:vAlign w:val="center"/>
            <w:hideMark/>
          </w:tcPr>
          <w:p w14:paraId="141CE7E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2 651,000</w:t>
            </w:r>
          </w:p>
        </w:tc>
        <w:tc>
          <w:tcPr>
            <w:tcW w:w="845" w:type="dxa"/>
            <w:vMerge/>
            <w:tcBorders>
              <w:top w:val="nil"/>
              <w:left w:val="single" w:sz="4" w:space="0" w:color="auto"/>
              <w:bottom w:val="single" w:sz="4" w:space="0" w:color="000000"/>
              <w:right w:val="single" w:sz="4" w:space="0" w:color="auto"/>
            </w:tcBorders>
            <w:vAlign w:val="center"/>
            <w:hideMark/>
          </w:tcPr>
          <w:p w14:paraId="33F8B945"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B3C0206" w14:textId="77777777" w:rsidTr="00B819FC">
        <w:trPr>
          <w:trHeight w:val="20"/>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14:paraId="591EAC8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332" w:type="dxa"/>
            <w:vMerge w:val="restart"/>
            <w:tcBorders>
              <w:top w:val="nil"/>
              <w:left w:val="single" w:sz="4" w:space="0" w:color="auto"/>
              <w:bottom w:val="single" w:sz="4" w:space="0" w:color="000000"/>
              <w:right w:val="single" w:sz="4" w:space="0" w:color="auto"/>
            </w:tcBorders>
            <w:shd w:val="clear" w:color="auto" w:fill="auto"/>
            <w:vAlign w:val="center"/>
            <w:hideMark/>
          </w:tcPr>
          <w:p w14:paraId="08CD0EB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1013" w:type="dxa"/>
            <w:vMerge w:val="restart"/>
            <w:tcBorders>
              <w:top w:val="nil"/>
              <w:left w:val="single" w:sz="4" w:space="0" w:color="auto"/>
              <w:bottom w:val="single" w:sz="4" w:space="0" w:color="000000"/>
              <w:right w:val="single" w:sz="4" w:space="0" w:color="auto"/>
            </w:tcBorders>
            <w:shd w:val="clear" w:color="auto" w:fill="auto"/>
            <w:vAlign w:val="center"/>
            <w:hideMark/>
          </w:tcPr>
          <w:p w14:paraId="3DBB006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33" w:type="dxa"/>
            <w:vMerge w:val="restart"/>
            <w:tcBorders>
              <w:top w:val="nil"/>
              <w:left w:val="single" w:sz="4" w:space="0" w:color="auto"/>
              <w:bottom w:val="single" w:sz="4" w:space="0" w:color="000000"/>
              <w:right w:val="single" w:sz="4" w:space="0" w:color="auto"/>
            </w:tcBorders>
            <w:shd w:val="clear" w:color="auto" w:fill="auto"/>
            <w:vAlign w:val="center"/>
            <w:hideMark/>
          </w:tcPr>
          <w:p w14:paraId="4A0BAC3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17,000</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14:paraId="3CDB6FC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nil"/>
              <w:right w:val="single" w:sz="4" w:space="0" w:color="auto"/>
            </w:tcBorders>
            <w:shd w:val="clear" w:color="auto" w:fill="auto"/>
            <w:vAlign w:val="center"/>
            <w:hideMark/>
          </w:tcPr>
          <w:p w14:paraId="495D354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82,000</w:t>
            </w:r>
          </w:p>
        </w:tc>
        <w:tc>
          <w:tcPr>
            <w:tcW w:w="845" w:type="dxa"/>
            <w:vMerge w:val="restart"/>
            <w:tcBorders>
              <w:top w:val="nil"/>
              <w:left w:val="single" w:sz="4" w:space="0" w:color="auto"/>
              <w:bottom w:val="single" w:sz="4" w:space="0" w:color="000000"/>
              <w:right w:val="single" w:sz="4" w:space="0" w:color="auto"/>
            </w:tcBorders>
            <w:shd w:val="clear" w:color="auto" w:fill="auto"/>
            <w:vAlign w:val="center"/>
            <w:hideMark/>
          </w:tcPr>
          <w:p w14:paraId="17D115B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482,353</w:t>
            </w:r>
          </w:p>
        </w:tc>
      </w:tr>
      <w:tr w:rsidR="004154AB" w:rsidRPr="004154AB" w14:paraId="7D941118"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58267E83"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57D05BBA"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6F5BDD3D"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324351DD"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5BA869E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66F4460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42F0C0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BEC423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11B4957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7D5CDA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03EF24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9E094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79ED09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32B5D3B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14:paraId="0488655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vMerge/>
            <w:tcBorders>
              <w:top w:val="nil"/>
              <w:left w:val="single" w:sz="4" w:space="0" w:color="auto"/>
              <w:bottom w:val="single" w:sz="4" w:space="0" w:color="000000"/>
              <w:right w:val="single" w:sz="4" w:space="0" w:color="auto"/>
            </w:tcBorders>
            <w:vAlign w:val="center"/>
            <w:hideMark/>
          </w:tcPr>
          <w:p w14:paraId="7FA52547"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39F1FCC6"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3460D31C"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018FA9B9"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7F6EDBCB"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5AF306C9"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385845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2D60E35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78FE976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A046FD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7426D6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4A6B14E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090CD24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BEBE6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33E84E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72273E9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single" w:sz="4" w:space="0" w:color="auto"/>
              <w:right w:val="single" w:sz="4" w:space="0" w:color="auto"/>
            </w:tcBorders>
            <w:shd w:val="clear" w:color="auto" w:fill="auto"/>
            <w:vAlign w:val="center"/>
            <w:hideMark/>
          </w:tcPr>
          <w:p w14:paraId="6698344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vMerge/>
            <w:tcBorders>
              <w:top w:val="nil"/>
              <w:left w:val="single" w:sz="4" w:space="0" w:color="auto"/>
              <w:bottom w:val="single" w:sz="4" w:space="0" w:color="000000"/>
              <w:right w:val="single" w:sz="4" w:space="0" w:color="auto"/>
            </w:tcBorders>
            <w:vAlign w:val="center"/>
            <w:hideMark/>
          </w:tcPr>
          <w:p w14:paraId="781ADF35"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5A2D1C9D" w14:textId="77777777" w:rsidTr="00B819FC">
        <w:trPr>
          <w:trHeight w:val="20"/>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14:paraId="137B0FF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332" w:type="dxa"/>
            <w:vMerge w:val="restart"/>
            <w:tcBorders>
              <w:top w:val="nil"/>
              <w:left w:val="single" w:sz="4" w:space="0" w:color="auto"/>
              <w:bottom w:val="single" w:sz="4" w:space="0" w:color="000000"/>
              <w:right w:val="single" w:sz="4" w:space="0" w:color="auto"/>
            </w:tcBorders>
            <w:shd w:val="clear" w:color="auto" w:fill="auto"/>
            <w:vAlign w:val="center"/>
            <w:hideMark/>
          </w:tcPr>
          <w:p w14:paraId="7320875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1013" w:type="dxa"/>
            <w:vMerge w:val="restart"/>
            <w:tcBorders>
              <w:top w:val="nil"/>
              <w:left w:val="single" w:sz="4" w:space="0" w:color="auto"/>
              <w:bottom w:val="single" w:sz="4" w:space="0" w:color="000000"/>
              <w:right w:val="single" w:sz="4" w:space="0" w:color="auto"/>
            </w:tcBorders>
            <w:shd w:val="clear" w:color="auto" w:fill="auto"/>
            <w:vAlign w:val="center"/>
            <w:hideMark/>
          </w:tcPr>
          <w:p w14:paraId="41F5042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33" w:type="dxa"/>
            <w:vMerge w:val="restart"/>
            <w:tcBorders>
              <w:top w:val="nil"/>
              <w:left w:val="single" w:sz="4" w:space="0" w:color="auto"/>
              <w:bottom w:val="single" w:sz="4" w:space="0" w:color="000000"/>
              <w:right w:val="single" w:sz="4" w:space="0" w:color="auto"/>
            </w:tcBorders>
            <w:shd w:val="clear" w:color="auto" w:fill="auto"/>
            <w:vAlign w:val="center"/>
            <w:hideMark/>
          </w:tcPr>
          <w:p w14:paraId="6FADF7A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2,000</w:t>
            </w:r>
          </w:p>
        </w:tc>
        <w:tc>
          <w:tcPr>
            <w:tcW w:w="7876" w:type="dxa"/>
            <w:gridSpan w:val="10"/>
            <w:tcBorders>
              <w:top w:val="single" w:sz="4" w:space="0" w:color="auto"/>
              <w:left w:val="nil"/>
              <w:bottom w:val="single" w:sz="4" w:space="0" w:color="auto"/>
              <w:right w:val="single" w:sz="4" w:space="0" w:color="000000"/>
            </w:tcBorders>
            <w:shd w:val="clear" w:color="auto" w:fill="auto"/>
            <w:vAlign w:val="center"/>
            <w:hideMark/>
          </w:tcPr>
          <w:p w14:paraId="0002C28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nil"/>
              <w:right w:val="single" w:sz="4" w:space="0" w:color="auto"/>
            </w:tcBorders>
            <w:shd w:val="clear" w:color="auto" w:fill="auto"/>
            <w:vAlign w:val="center"/>
            <w:hideMark/>
          </w:tcPr>
          <w:p w14:paraId="04EE388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3,000</w:t>
            </w:r>
          </w:p>
        </w:tc>
        <w:tc>
          <w:tcPr>
            <w:tcW w:w="845" w:type="dxa"/>
            <w:vMerge w:val="restart"/>
            <w:tcBorders>
              <w:top w:val="nil"/>
              <w:left w:val="single" w:sz="4" w:space="0" w:color="auto"/>
              <w:bottom w:val="single" w:sz="4" w:space="0" w:color="000000"/>
              <w:right w:val="single" w:sz="4" w:space="0" w:color="auto"/>
            </w:tcBorders>
            <w:shd w:val="clear" w:color="auto" w:fill="auto"/>
            <w:vAlign w:val="center"/>
            <w:hideMark/>
          </w:tcPr>
          <w:p w14:paraId="41FB20F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150,000</w:t>
            </w:r>
          </w:p>
        </w:tc>
      </w:tr>
      <w:tr w:rsidR="004154AB" w:rsidRPr="004154AB" w14:paraId="46A985EA"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0FAF9532"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5DFB50B1"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0D53729E"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5560C27B"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7C11D38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52ECE2F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64CD1B5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2B9EB61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02BD6AC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37B5170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394121C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12B92BD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64D427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39F2D96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14:paraId="348A463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vMerge/>
            <w:tcBorders>
              <w:top w:val="nil"/>
              <w:left w:val="single" w:sz="4" w:space="0" w:color="auto"/>
              <w:bottom w:val="single" w:sz="4" w:space="0" w:color="000000"/>
              <w:right w:val="single" w:sz="4" w:space="0" w:color="auto"/>
            </w:tcBorders>
            <w:vAlign w:val="center"/>
            <w:hideMark/>
          </w:tcPr>
          <w:p w14:paraId="37B5707F"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23DCA33" w14:textId="77777777" w:rsidTr="00B819FC">
        <w:trPr>
          <w:trHeight w:val="20"/>
        </w:trPr>
        <w:tc>
          <w:tcPr>
            <w:tcW w:w="920" w:type="dxa"/>
            <w:vMerge/>
            <w:tcBorders>
              <w:top w:val="nil"/>
              <w:left w:val="single" w:sz="4" w:space="0" w:color="auto"/>
              <w:bottom w:val="single" w:sz="4" w:space="0" w:color="000000"/>
              <w:right w:val="single" w:sz="4" w:space="0" w:color="auto"/>
            </w:tcBorders>
            <w:vAlign w:val="center"/>
            <w:hideMark/>
          </w:tcPr>
          <w:p w14:paraId="70832A50" w14:textId="77777777" w:rsidR="004154AB" w:rsidRPr="004154AB" w:rsidRDefault="004154AB" w:rsidP="004154AB">
            <w:pPr>
              <w:rPr>
                <w:rFonts w:ascii="Arial" w:eastAsia="Times New Roman" w:hAnsi="Arial" w:cs="Arial"/>
                <w:color w:val="000000"/>
                <w:sz w:val="14"/>
                <w:szCs w:val="14"/>
                <w:lang w:val="cs-CZ" w:eastAsia="cs-CZ"/>
              </w:rPr>
            </w:pPr>
          </w:p>
        </w:tc>
        <w:tc>
          <w:tcPr>
            <w:tcW w:w="3332" w:type="dxa"/>
            <w:vMerge/>
            <w:tcBorders>
              <w:top w:val="nil"/>
              <w:left w:val="single" w:sz="4" w:space="0" w:color="auto"/>
              <w:bottom w:val="single" w:sz="4" w:space="0" w:color="000000"/>
              <w:right w:val="single" w:sz="4" w:space="0" w:color="auto"/>
            </w:tcBorders>
            <w:vAlign w:val="center"/>
            <w:hideMark/>
          </w:tcPr>
          <w:p w14:paraId="72FB23C3" w14:textId="77777777" w:rsidR="004154AB" w:rsidRPr="004154AB" w:rsidRDefault="004154AB" w:rsidP="004154AB">
            <w:pPr>
              <w:rPr>
                <w:rFonts w:ascii="Arial" w:eastAsia="Times New Roman" w:hAnsi="Arial" w:cs="Arial"/>
                <w:color w:val="000000"/>
                <w:sz w:val="14"/>
                <w:szCs w:val="14"/>
                <w:lang w:val="cs-CZ" w:eastAsia="cs-CZ"/>
              </w:rPr>
            </w:pPr>
          </w:p>
        </w:tc>
        <w:tc>
          <w:tcPr>
            <w:tcW w:w="1013" w:type="dxa"/>
            <w:vMerge/>
            <w:tcBorders>
              <w:top w:val="nil"/>
              <w:left w:val="single" w:sz="4" w:space="0" w:color="auto"/>
              <w:bottom w:val="single" w:sz="4" w:space="0" w:color="000000"/>
              <w:right w:val="single" w:sz="4" w:space="0" w:color="auto"/>
            </w:tcBorders>
            <w:vAlign w:val="center"/>
            <w:hideMark/>
          </w:tcPr>
          <w:p w14:paraId="2797F4D7" w14:textId="77777777" w:rsidR="004154AB" w:rsidRPr="004154AB" w:rsidRDefault="004154AB" w:rsidP="004154AB">
            <w:pPr>
              <w:rPr>
                <w:rFonts w:ascii="Arial" w:eastAsia="Times New Roman" w:hAnsi="Arial" w:cs="Arial"/>
                <w:color w:val="000000"/>
                <w:sz w:val="14"/>
                <w:szCs w:val="14"/>
                <w:lang w:val="cs-CZ" w:eastAsia="cs-CZ"/>
              </w:rPr>
            </w:pPr>
          </w:p>
        </w:tc>
        <w:tc>
          <w:tcPr>
            <w:tcW w:w="833" w:type="dxa"/>
            <w:vMerge/>
            <w:tcBorders>
              <w:top w:val="nil"/>
              <w:left w:val="single" w:sz="4" w:space="0" w:color="auto"/>
              <w:bottom w:val="single" w:sz="4" w:space="0" w:color="000000"/>
              <w:right w:val="single" w:sz="4" w:space="0" w:color="auto"/>
            </w:tcBorders>
            <w:vAlign w:val="center"/>
            <w:hideMark/>
          </w:tcPr>
          <w:p w14:paraId="0B989F78" w14:textId="77777777" w:rsidR="004154AB" w:rsidRPr="004154AB" w:rsidRDefault="004154AB" w:rsidP="004154AB">
            <w:pPr>
              <w:rPr>
                <w:rFonts w:ascii="Arial" w:eastAsia="Times New Roman" w:hAnsi="Arial" w:cs="Arial"/>
                <w:color w:val="000000"/>
                <w:sz w:val="14"/>
                <w:szCs w:val="14"/>
                <w:lang w:val="cs-CZ" w:eastAsia="cs-CZ"/>
              </w:rPr>
            </w:pPr>
          </w:p>
        </w:tc>
        <w:tc>
          <w:tcPr>
            <w:tcW w:w="787" w:type="dxa"/>
            <w:tcBorders>
              <w:top w:val="nil"/>
              <w:left w:val="nil"/>
              <w:bottom w:val="single" w:sz="4" w:space="0" w:color="auto"/>
              <w:right w:val="single" w:sz="4" w:space="0" w:color="auto"/>
            </w:tcBorders>
            <w:shd w:val="clear" w:color="auto" w:fill="auto"/>
            <w:vAlign w:val="center"/>
            <w:hideMark/>
          </w:tcPr>
          <w:p w14:paraId="792A7D6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6E18FAA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4F55DC9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2BFBB48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248FFD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58CF8A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3C2B4AF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63E8107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58CD8A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7" w:type="dxa"/>
            <w:tcBorders>
              <w:top w:val="nil"/>
              <w:left w:val="nil"/>
              <w:bottom w:val="single" w:sz="4" w:space="0" w:color="auto"/>
              <w:right w:val="single" w:sz="4" w:space="0" w:color="auto"/>
            </w:tcBorders>
            <w:shd w:val="clear" w:color="auto" w:fill="auto"/>
            <w:vAlign w:val="center"/>
            <w:hideMark/>
          </w:tcPr>
          <w:p w14:paraId="60357A6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3" w:type="dxa"/>
            <w:tcBorders>
              <w:top w:val="nil"/>
              <w:left w:val="nil"/>
              <w:bottom w:val="single" w:sz="4" w:space="0" w:color="auto"/>
              <w:right w:val="single" w:sz="4" w:space="0" w:color="auto"/>
            </w:tcBorders>
            <w:shd w:val="clear" w:color="auto" w:fill="auto"/>
            <w:vAlign w:val="center"/>
            <w:hideMark/>
          </w:tcPr>
          <w:p w14:paraId="7EA6647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vMerge/>
            <w:tcBorders>
              <w:top w:val="nil"/>
              <w:left w:val="single" w:sz="4" w:space="0" w:color="auto"/>
              <w:bottom w:val="single" w:sz="4" w:space="0" w:color="000000"/>
              <w:right w:val="single" w:sz="4" w:space="0" w:color="auto"/>
            </w:tcBorders>
            <w:vAlign w:val="center"/>
            <w:hideMark/>
          </w:tcPr>
          <w:p w14:paraId="50680968" w14:textId="77777777" w:rsidR="004154AB" w:rsidRPr="004154AB" w:rsidRDefault="004154AB" w:rsidP="004154AB">
            <w:pPr>
              <w:rPr>
                <w:rFonts w:ascii="Arial" w:eastAsia="Times New Roman" w:hAnsi="Arial" w:cs="Arial"/>
                <w:color w:val="000000"/>
                <w:sz w:val="14"/>
                <w:szCs w:val="14"/>
                <w:lang w:val="cs-CZ" w:eastAsia="cs-CZ"/>
              </w:rPr>
            </w:pPr>
          </w:p>
        </w:tc>
      </w:tr>
    </w:tbl>
    <w:p w14:paraId="72DEA045" w14:textId="3B321471" w:rsidR="000E2B9A" w:rsidRPr="002F2BE4" w:rsidRDefault="000E2B9A" w:rsidP="004154AB">
      <w:pPr>
        <w:ind w:left="113" w:right="108"/>
        <w:jc w:val="both"/>
        <w:rPr>
          <w:rFonts w:ascii="Arial" w:eastAsia="Arial" w:hAnsi="Arial" w:cs="Arial"/>
          <w:color w:val="000000"/>
          <w:sz w:val="20"/>
          <w:lang w:val="cs-CZ"/>
        </w:rPr>
      </w:pPr>
    </w:p>
    <w:p w14:paraId="518FA9EA" w14:textId="77777777" w:rsidR="00FD35AB" w:rsidRDefault="00FD35AB" w:rsidP="000E2B9A">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03.1.54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w:t>
      </w:r>
    </w:p>
    <w:tbl>
      <w:tblPr>
        <w:tblW w:w="15888" w:type="dxa"/>
        <w:tblInd w:w="75" w:type="dxa"/>
        <w:tblCellMar>
          <w:left w:w="70" w:type="dxa"/>
          <w:right w:w="70" w:type="dxa"/>
        </w:tblCellMar>
        <w:tblLook w:val="04A0" w:firstRow="1" w:lastRow="0" w:firstColumn="1" w:lastColumn="0" w:noHBand="0" w:noVBand="1"/>
      </w:tblPr>
      <w:tblGrid>
        <w:gridCol w:w="934"/>
        <w:gridCol w:w="3317"/>
        <w:gridCol w:w="1018"/>
        <w:gridCol w:w="887"/>
        <w:gridCol w:w="787"/>
        <w:gridCol w:w="787"/>
        <w:gridCol w:w="787"/>
        <w:gridCol w:w="787"/>
        <w:gridCol w:w="787"/>
        <w:gridCol w:w="787"/>
        <w:gridCol w:w="787"/>
        <w:gridCol w:w="787"/>
        <w:gridCol w:w="787"/>
        <w:gridCol w:w="787"/>
        <w:gridCol w:w="12"/>
        <w:gridCol w:w="992"/>
        <w:gridCol w:w="6"/>
        <w:gridCol w:w="846"/>
        <w:gridCol w:w="6"/>
      </w:tblGrid>
      <w:tr w:rsidR="004154AB" w:rsidRPr="004154AB" w14:paraId="180F08C7" w14:textId="77777777" w:rsidTr="00B819FC">
        <w:trPr>
          <w:gridAfter w:val="1"/>
          <w:wAfter w:w="6" w:type="dxa"/>
          <w:trHeight w:val="20"/>
          <w:tblHeader/>
        </w:trPr>
        <w:tc>
          <w:tcPr>
            <w:tcW w:w="9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D323C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10D4F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63C9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0ECC7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05C79F4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5635D4F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6A37B25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75C2812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41E2DB6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370753C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2F26124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6298C40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19A41E6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482F063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4F0D8F8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5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47B59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59735C07" w14:textId="77777777" w:rsidTr="00B819FC">
        <w:trPr>
          <w:trHeight w:val="20"/>
          <w:tblHeader/>
        </w:trPr>
        <w:tc>
          <w:tcPr>
            <w:tcW w:w="929" w:type="dxa"/>
            <w:vMerge/>
            <w:tcBorders>
              <w:top w:val="single" w:sz="4" w:space="0" w:color="auto"/>
              <w:left w:val="single" w:sz="4" w:space="0" w:color="auto"/>
              <w:bottom w:val="single" w:sz="4" w:space="0" w:color="auto"/>
              <w:right w:val="single" w:sz="4" w:space="0" w:color="auto"/>
            </w:tcBorders>
            <w:vAlign w:val="center"/>
            <w:hideMark/>
          </w:tcPr>
          <w:p w14:paraId="13D06B60" w14:textId="77777777" w:rsidR="004154AB" w:rsidRPr="004154AB" w:rsidRDefault="004154AB" w:rsidP="004154AB">
            <w:pPr>
              <w:rPr>
                <w:rFonts w:ascii="Arial" w:eastAsia="Times New Roman" w:hAnsi="Arial" w:cs="Arial"/>
                <w:b/>
                <w:bCs/>
                <w:color w:val="000000"/>
                <w:sz w:val="14"/>
                <w:szCs w:val="14"/>
                <w:lang w:val="cs-CZ" w:eastAsia="cs-CZ"/>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14:paraId="3DB3F461" w14:textId="77777777" w:rsidR="004154AB" w:rsidRPr="004154AB" w:rsidRDefault="004154AB" w:rsidP="004154AB">
            <w:pPr>
              <w:rPr>
                <w:rFonts w:ascii="Arial" w:eastAsia="Times New Roman" w:hAnsi="Arial" w:cs="Arial"/>
                <w:b/>
                <w:bCs/>
                <w:color w:val="000000"/>
                <w:sz w:val="14"/>
                <w:szCs w:val="14"/>
                <w:lang w:val="cs-CZ" w:eastAsia="cs-CZ"/>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3BB2F10D" w14:textId="77777777" w:rsidR="004154AB" w:rsidRPr="004154AB" w:rsidRDefault="004154AB" w:rsidP="004154AB">
            <w:pPr>
              <w:rPr>
                <w:rFonts w:ascii="Arial" w:eastAsia="Times New Roman" w:hAnsi="Arial" w:cs="Arial"/>
                <w:b/>
                <w:bCs/>
                <w:color w:val="000000"/>
                <w:sz w:val="14"/>
                <w:szCs w:val="14"/>
                <w:lang w:val="cs-CZ" w:eastAsia="cs-CZ"/>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14:paraId="5AD641F5" w14:textId="77777777" w:rsidR="004154AB" w:rsidRPr="004154AB" w:rsidRDefault="004154AB" w:rsidP="004154AB">
            <w:pPr>
              <w:rPr>
                <w:rFonts w:ascii="Arial" w:eastAsia="Times New Roman" w:hAnsi="Arial" w:cs="Arial"/>
                <w:b/>
                <w:bCs/>
                <w:color w:val="000000"/>
                <w:sz w:val="14"/>
                <w:szCs w:val="14"/>
                <w:lang w:val="cs-CZ" w:eastAsia="cs-CZ"/>
              </w:rPr>
            </w:pPr>
          </w:p>
        </w:tc>
        <w:tc>
          <w:tcPr>
            <w:tcW w:w="7936" w:type="dxa"/>
            <w:gridSpan w:val="11"/>
            <w:tcBorders>
              <w:top w:val="single" w:sz="4" w:space="0" w:color="auto"/>
              <w:left w:val="nil"/>
              <w:bottom w:val="single" w:sz="4" w:space="0" w:color="auto"/>
              <w:right w:val="single" w:sz="4" w:space="0" w:color="auto"/>
            </w:tcBorders>
            <w:shd w:val="clear" w:color="auto" w:fill="auto"/>
            <w:vAlign w:val="center"/>
            <w:hideMark/>
          </w:tcPr>
          <w:p w14:paraId="68AD43B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950" w:type="dxa"/>
            <w:gridSpan w:val="2"/>
            <w:tcBorders>
              <w:top w:val="nil"/>
              <w:left w:val="nil"/>
              <w:bottom w:val="single" w:sz="4" w:space="0" w:color="auto"/>
              <w:right w:val="single" w:sz="4" w:space="0" w:color="auto"/>
            </w:tcBorders>
            <w:shd w:val="clear" w:color="auto" w:fill="auto"/>
            <w:vAlign w:val="center"/>
            <w:hideMark/>
          </w:tcPr>
          <w:p w14:paraId="5A0BE36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52" w:type="dxa"/>
            <w:gridSpan w:val="2"/>
            <w:vMerge/>
            <w:tcBorders>
              <w:top w:val="single" w:sz="4" w:space="0" w:color="auto"/>
              <w:left w:val="single" w:sz="4" w:space="0" w:color="auto"/>
              <w:bottom w:val="single" w:sz="4" w:space="0" w:color="000000"/>
              <w:right w:val="single" w:sz="4" w:space="0" w:color="auto"/>
            </w:tcBorders>
            <w:vAlign w:val="center"/>
            <w:hideMark/>
          </w:tcPr>
          <w:p w14:paraId="151ECB8B"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5173693F" w14:textId="77777777" w:rsidTr="00B819FC">
        <w:trPr>
          <w:gridAfter w:val="1"/>
          <w:wAfter w:w="6" w:type="dxa"/>
          <w:trHeight w:val="20"/>
          <w:tblHeader/>
        </w:trPr>
        <w:tc>
          <w:tcPr>
            <w:tcW w:w="929" w:type="dxa"/>
            <w:vMerge/>
            <w:tcBorders>
              <w:top w:val="single" w:sz="4" w:space="0" w:color="auto"/>
              <w:left w:val="single" w:sz="4" w:space="0" w:color="auto"/>
              <w:bottom w:val="single" w:sz="4" w:space="0" w:color="auto"/>
              <w:right w:val="single" w:sz="4" w:space="0" w:color="auto"/>
            </w:tcBorders>
            <w:vAlign w:val="center"/>
            <w:hideMark/>
          </w:tcPr>
          <w:p w14:paraId="399E4BCA" w14:textId="77777777" w:rsidR="004154AB" w:rsidRPr="004154AB" w:rsidRDefault="004154AB" w:rsidP="004154AB">
            <w:pPr>
              <w:rPr>
                <w:rFonts w:ascii="Arial" w:eastAsia="Times New Roman" w:hAnsi="Arial" w:cs="Arial"/>
                <w:b/>
                <w:bCs/>
                <w:color w:val="000000"/>
                <w:sz w:val="14"/>
                <w:szCs w:val="14"/>
                <w:lang w:val="cs-CZ" w:eastAsia="cs-CZ"/>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14:paraId="08CE56A8" w14:textId="77777777" w:rsidR="004154AB" w:rsidRPr="004154AB" w:rsidRDefault="004154AB" w:rsidP="004154AB">
            <w:pPr>
              <w:rPr>
                <w:rFonts w:ascii="Arial" w:eastAsia="Times New Roman" w:hAnsi="Arial" w:cs="Arial"/>
                <w:b/>
                <w:bCs/>
                <w:color w:val="000000"/>
                <w:sz w:val="14"/>
                <w:szCs w:val="14"/>
                <w:lang w:val="cs-CZ" w:eastAsia="cs-CZ"/>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6EDF2F70" w14:textId="77777777" w:rsidR="004154AB" w:rsidRPr="004154AB" w:rsidRDefault="004154AB" w:rsidP="004154AB">
            <w:pPr>
              <w:rPr>
                <w:rFonts w:ascii="Arial" w:eastAsia="Times New Roman" w:hAnsi="Arial" w:cs="Arial"/>
                <w:b/>
                <w:bCs/>
                <w:color w:val="000000"/>
                <w:sz w:val="14"/>
                <w:szCs w:val="14"/>
                <w:lang w:val="cs-CZ" w:eastAsia="cs-CZ"/>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14:paraId="032BD5AD" w14:textId="77777777" w:rsidR="004154AB" w:rsidRPr="004154AB" w:rsidRDefault="004154AB" w:rsidP="004154AB">
            <w:pPr>
              <w:rPr>
                <w:rFonts w:ascii="Arial" w:eastAsia="Times New Roman" w:hAnsi="Arial" w:cs="Arial"/>
                <w:b/>
                <w:bCs/>
                <w:color w:val="000000"/>
                <w:sz w:val="14"/>
                <w:szCs w:val="14"/>
                <w:lang w:val="cs-CZ" w:eastAsia="cs-CZ"/>
              </w:rPr>
            </w:pPr>
          </w:p>
        </w:tc>
        <w:tc>
          <w:tcPr>
            <w:tcW w:w="793" w:type="dxa"/>
            <w:tcBorders>
              <w:top w:val="nil"/>
              <w:left w:val="nil"/>
              <w:bottom w:val="single" w:sz="4" w:space="0" w:color="auto"/>
              <w:right w:val="single" w:sz="4" w:space="0" w:color="auto"/>
            </w:tcBorders>
            <w:shd w:val="clear" w:color="auto" w:fill="auto"/>
            <w:vAlign w:val="center"/>
            <w:hideMark/>
          </w:tcPr>
          <w:p w14:paraId="43B0F63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76E331F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0500BD3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0868348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20B3424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1802A2F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3831C8C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68F029D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608336F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3" w:type="dxa"/>
            <w:tcBorders>
              <w:top w:val="nil"/>
              <w:left w:val="nil"/>
              <w:bottom w:val="single" w:sz="4" w:space="0" w:color="auto"/>
              <w:right w:val="single" w:sz="4" w:space="0" w:color="auto"/>
            </w:tcBorders>
            <w:shd w:val="clear" w:color="auto" w:fill="auto"/>
            <w:vAlign w:val="center"/>
            <w:hideMark/>
          </w:tcPr>
          <w:p w14:paraId="24E06B3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50" w:type="dxa"/>
            <w:gridSpan w:val="2"/>
            <w:tcBorders>
              <w:top w:val="nil"/>
              <w:left w:val="nil"/>
              <w:bottom w:val="single" w:sz="4" w:space="0" w:color="auto"/>
              <w:right w:val="single" w:sz="4" w:space="0" w:color="auto"/>
            </w:tcBorders>
            <w:shd w:val="clear" w:color="auto" w:fill="auto"/>
            <w:vAlign w:val="center"/>
            <w:hideMark/>
          </w:tcPr>
          <w:p w14:paraId="507EBDE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52" w:type="dxa"/>
            <w:gridSpan w:val="2"/>
            <w:vMerge/>
            <w:tcBorders>
              <w:top w:val="single" w:sz="4" w:space="0" w:color="auto"/>
              <w:left w:val="single" w:sz="4" w:space="0" w:color="auto"/>
              <w:bottom w:val="single" w:sz="4" w:space="0" w:color="000000"/>
              <w:right w:val="single" w:sz="4" w:space="0" w:color="auto"/>
            </w:tcBorders>
            <w:vAlign w:val="center"/>
            <w:hideMark/>
          </w:tcPr>
          <w:p w14:paraId="29483058"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6B24495B" w14:textId="77777777" w:rsidTr="00B819FC">
        <w:trPr>
          <w:gridAfter w:val="1"/>
          <w:wAfter w:w="6" w:type="dxa"/>
          <w:trHeight w:val="20"/>
          <w:tblHeader/>
        </w:trPr>
        <w:tc>
          <w:tcPr>
            <w:tcW w:w="929" w:type="dxa"/>
            <w:vMerge/>
            <w:tcBorders>
              <w:top w:val="single" w:sz="4" w:space="0" w:color="auto"/>
              <w:left w:val="single" w:sz="4" w:space="0" w:color="auto"/>
              <w:bottom w:val="single" w:sz="4" w:space="0" w:color="auto"/>
              <w:right w:val="single" w:sz="4" w:space="0" w:color="auto"/>
            </w:tcBorders>
            <w:vAlign w:val="center"/>
            <w:hideMark/>
          </w:tcPr>
          <w:p w14:paraId="53998874" w14:textId="77777777" w:rsidR="004154AB" w:rsidRPr="004154AB" w:rsidRDefault="004154AB" w:rsidP="004154AB">
            <w:pPr>
              <w:rPr>
                <w:rFonts w:ascii="Arial" w:eastAsia="Times New Roman" w:hAnsi="Arial" w:cs="Arial"/>
                <w:b/>
                <w:bCs/>
                <w:color w:val="000000"/>
                <w:sz w:val="14"/>
                <w:szCs w:val="14"/>
                <w:lang w:val="cs-CZ" w:eastAsia="cs-CZ"/>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14:paraId="44149991" w14:textId="77777777" w:rsidR="004154AB" w:rsidRPr="004154AB" w:rsidRDefault="004154AB" w:rsidP="004154AB">
            <w:pPr>
              <w:rPr>
                <w:rFonts w:ascii="Arial" w:eastAsia="Times New Roman" w:hAnsi="Arial" w:cs="Arial"/>
                <w:b/>
                <w:bCs/>
                <w:color w:val="000000"/>
                <w:sz w:val="14"/>
                <w:szCs w:val="14"/>
                <w:lang w:val="cs-CZ" w:eastAsia="cs-CZ"/>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655417D4" w14:textId="77777777" w:rsidR="004154AB" w:rsidRPr="004154AB" w:rsidRDefault="004154AB" w:rsidP="004154AB">
            <w:pPr>
              <w:rPr>
                <w:rFonts w:ascii="Arial" w:eastAsia="Times New Roman" w:hAnsi="Arial" w:cs="Arial"/>
                <w:b/>
                <w:bCs/>
                <w:color w:val="000000"/>
                <w:sz w:val="14"/>
                <w:szCs w:val="14"/>
                <w:lang w:val="cs-CZ" w:eastAsia="cs-CZ"/>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14:paraId="66231D25" w14:textId="77777777" w:rsidR="004154AB" w:rsidRPr="004154AB" w:rsidRDefault="004154AB" w:rsidP="004154AB">
            <w:pPr>
              <w:rPr>
                <w:rFonts w:ascii="Arial" w:eastAsia="Times New Roman" w:hAnsi="Arial" w:cs="Arial"/>
                <w:b/>
                <w:bCs/>
                <w:color w:val="000000"/>
                <w:sz w:val="14"/>
                <w:szCs w:val="14"/>
                <w:lang w:val="cs-CZ" w:eastAsia="cs-CZ"/>
              </w:rPr>
            </w:pPr>
          </w:p>
        </w:tc>
        <w:tc>
          <w:tcPr>
            <w:tcW w:w="793" w:type="dxa"/>
            <w:tcBorders>
              <w:top w:val="nil"/>
              <w:left w:val="nil"/>
              <w:bottom w:val="single" w:sz="4" w:space="0" w:color="auto"/>
              <w:right w:val="single" w:sz="4" w:space="0" w:color="auto"/>
            </w:tcBorders>
            <w:shd w:val="clear" w:color="auto" w:fill="auto"/>
            <w:vAlign w:val="center"/>
            <w:hideMark/>
          </w:tcPr>
          <w:p w14:paraId="6C21FB5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6EB33B5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6CF7C46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7835A65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3D3C11A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447D313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11D6021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5A1C0B6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00EDFB0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3" w:type="dxa"/>
            <w:tcBorders>
              <w:top w:val="nil"/>
              <w:left w:val="nil"/>
              <w:bottom w:val="single" w:sz="4" w:space="0" w:color="auto"/>
              <w:right w:val="single" w:sz="4" w:space="0" w:color="auto"/>
            </w:tcBorders>
            <w:shd w:val="clear" w:color="auto" w:fill="auto"/>
            <w:vAlign w:val="center"/>
            <w:hideMark/>
          </w:tcPr>
          <w:p w14:paraId="44C342F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50" w:type="dxa"/>
            <w:gridSpan w:val="2"/>
            <w:tcBorders>
              <w:top w:val="nil"/>
              <w:left w:val="nil"/>
              <w:bottom w:val="single" w:sz="4" w:space="0" w:color="auto"/>
              <w:right w:val="single" w:sz="4" w:space="0" w:color="auto"/>
            </w:tcBorders>
            <w:shd w:val="clear" w:color="auto" w:fill="auto"/>
            <w:vAlign w:val="center"/>
            <w:hideMark/>
          </w:tcPr>
          <w:p w14:paraId="11ED8D6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52" w:type="dxa"/>
            <w:gridSpan w:val="2"/>
            <w:vMerge/>
            <w:tcBorders>
              <w:top w:val="single" w:sz="4" w:space="0" w:color="auto"/>
              <w:left w:val="single" w:sz="4" w:space="0" w:color="auto"/>
              <w:bottom w:val="single" w:sz="4" w:space="0" w:color="000000"/>
              <w:right w:val="single" w:sz="4" w:space="0" w:color="auto"/>
            </w:tcBorders>
            <w:vAlign w:val="center"/>
            <w:hideMark/>
          </w:tcPr>
          <w:p w14:paraId="61573F4D"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76415283" w14:textId="77777777" w:rsidTr="00B819FC">
        <w:trPr>
          <w:trHeight w:val="20"/>
        </w:trPr>
        <w:tc>
          <w:tcPr>
            <w:tcW w:w="929" w:type="dxa"/>
            <w:vMerge w:val="restart"/>
            <w:tcBorders>
              <w:top w:val="nil"/>
              <w:left w:val="single" w:sz="4" w:space="0" w:color="auto"/>
              <w:bottom w:val="single" w:sz="4" w:space="0" w:color="000000"/>
              <w:right w:val="single" w:sz="4" w:space="0" w:color="auto"/>
            </w:tcBorders>
            <w:shd w:val="clear" w:color="auto" w:fill="auto"/>
            <w:vAlign w:val="center"/>
            <w:hideMark/>
          </w:tcPr>
          <w:p w14:paraId="6A1F26D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360" w:type="dxa"/>
            <w:vMerge w:val="restart"/>
            <w:tcBorders>
              <w:top w:val="nil"/>
              <w:left w:val="single" w:sz="4" w:space="0" w:color="auto"/>
              <w:bottom w:val="single" w:sz="4" w:space="0" w:color="000000"/>
              <w:right w:val="single" w:sz="4" w:space="0" w:color="auto"/>
            </w:tcBorders>
            <w:shd w:val="clear" w:color="auto" w:fill="auto"/>
            <w:vAlign w:val="center"/>
            <w:hideMark/>
          </w:tcPr>
          <w:p w14:paraId="4821C67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21" w:type="dxa"/>
            <w:vMerge w:val="restart"/>
            <w:tcBorders>
              <w:top w:val="nil"/>
              <w:left w:val="single" w:sz="4" w:space="0" w:color="auto"/>
              <w:bottom w:val="single" w:sz="4" w:space="0" w:color="000000"/>
              <w:right w:val="single" w:sz="4" w:space="0" w:color="auto"/>
            </w:tcBorders>
            <w:shd w:val="clear" w:color="auto" w:fill="auto"/>
            <w:vAlign w:val="center"/>
            <w:hideMark/>
          </w:tcPr>
          <w:p w14:paraId="52C7C48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40" w:type="dxa"/>
            <w:vMerge w:val="restart"/>
            <w:tcBorders>
              <w:top w:val="nil"/>
              <w:left w:val="single" w:sz="4" w:space="0" w:color="auto"/>
              <w:bottom w:val="single" w:sz="4" w:space="0" w:color="000000"/>
              <w:right w:val="single" w:sz="4" w:space="0" w:color="auto"/>
            </w:tcBorders>
            <w:shd w:val="clear" w:color="auto" w:fill="auto"/>
            <w:vAlign w:val="center"/>
            <w:hideMark/>
          </w:tcPr>
          <w:p w14:paraId="54CC690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19,000</w:t>
            </w:r>
          </w:p>
        </w:tc>
        <w:tc>
          <w:tcPr>
            <w:tcW w:w="7936" w:type="dxa"/>
            <w:gridSpan w:val="11"/>
            <w:tcBorders>
              <w:top w:val="single" w:sz="4" w:space="0" w:color="auto"/>
              <w:left w:val="nil"/>
              <w:bottom w:val="single" w:sz="4" w:space="0" w:color="auto"/>
              <w:right w:val="single" w:sz="4" w:space="0" w:color="000000"/>
            </w:tcBorders>
            <w:shd w:val="clear" w:color="auto" w:fill="auto"/>
            <w:vAlign w:val="center"/>
            <w:hideMark/>
          </w:tcPr>
          <w:p w14:paraId="40E7266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50" w:type="dxa"/>
            <w:gridSpan w:val="2"/>
            <w:tcBorders>
              <w:top w:val="nil"/>
              <w:left w:val="nil"/>
              <w:bottom w:val="nil"/>
              <w:right w:val="single" w:sz="4" w:space="0" w:color="auto"/>
            </w:tcBorders>
            <w:shd w:val="clear" w:color="auto" w:fill="auto"/>
            <w:vAlign w:val="center"/>
            <w:hideMark/>
          </w:tcPr>
          <w:p w14:paraId="7EB877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7,000</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5D923D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36,842</w:t>
            </w:r>
          </w:p>
        </w:tc>
      </w:tr>
      <w:tr w:rsidR="004154AB" w:rsidRPr="004154AB" w14:paraId="5B7DD07E" w14:textId="77777777" w:rsidTr="00B819FC">
        <w:trPr>
          <w:gridAfter w:val="1"/>
          <w:wAfter w:w="6" w:type="dxa"/>
          <w:trHeight w:val="20"/>
        </w:trPr>
        <w:tc>
          <w:tcPr>
            <w:tcW w:w="929" w:type="dxa"/>
            <w:vMerge/>
            <w:tcBorders>
              <w:top w:val="nil"/>
              <w:left w:val="single" w:sz="4" w:space="0" w:color="auto"/>
              <w:bottom w:val="single" w:sz="4" w:space="0" w:color="000000"/>
              <w:right w:val="single" w:sz="4" w:space="0" w:color="auto"/>
            </w:tcBorders>
            <w:vAlign w:val="center"/>
            <w:hideMark/>
          </w:tcPr>
          <w:p w14:paraId="43075025" w14:textId="77777777" w:rsidR="004154AB" w:rsidRPr="004154AB" w:rsidRDefault="004154AB" w:rsidP="004154AB">
            <w:pPr>
              <w:rPr>
                <w:rFonts w:ascii="Arial" w:eastAsia="Times New Roman" w:hAnsi="Arial" w:cs="Arial"/>
                <w:color w:val="000000"/>
                <w:sz w:val="14"/>
                <w:szCs w:val="14"/>
                <w:lang w:val="cs-CZ" w:eastAsia="cs-CZ"/>
              </w:rPr>
            </w:pPr>
          </w:p>
        </w:tc>
        <w:tc>
          <w:tcPr>
            <w:tcW w:w="3360" w:type="dxa"/>
            <w:vMerge/>
            <w:tcBorders>
              <w:top w:val="nil"/>
              <w:left w:val="single" w:sz="4" w:space="0" w:color="auto"/>
              <w:bottom w:val="single" w:sz="4" w:space="0" w:color="000000"/>
              <w:right w:val="single" w:sz="4" w:space="0" w:color="auto"/>
            </w:tcBorders>
            <w:vAlign w:val="center"/>
            <w:hideMark/>
          </w:tcPr>
          <w:p w14:paraId="0A9A6C4B" w14:textId="77777777" w:rsidR="004154AB" w:rsidRPr="004154AB" w:rsidRDefault="004154AB" w:rsidP="004154AB">
            <w:pPr>
              <w:rPr>
                <w:rFonts w:ascii="Arial" w:eastAsia="Times New Roman" w:hAnsi="Arial" w:cs="Arial"/>
                <w:color w:val="000000"/>
                <w:sz w:val="14"/>
                <w:szCs w:val="14"/>
                <w:lang w:val="cs-CZ" w:eastAsia="cs-CZ"/>
              </w:rPr>
            </w:pPr>
          </w:p>
        </w:tc>
        <w:tc>
          <w:tcPr>
            <w:tcW w:w="1021" w:type="dxa"/>
            <w:vMerge/>
            <w:tcBorders>
              <w:top w:val="nil"/>
              <w:left w:val="single" w:sz="4" w:space="0" w:color="auto"/>
              <w:bottom w:val="single" w:sz="4" w:space="0" w:color="000000"/>
              <w:right w:val="single" w:sz="4" w:space="0" w:color="auto"/>
            </w:tcBorders>
            <w:vAlign w:val="center"/>
            <w:hideMark/>
          </w:tcPr>
          <w:p w14:paraId="61392C58" w14:textId="77777777" w:rsidR="004154AB" w:rsidRPr="004154AB" w:rsidRDefault="004154AB" w:rsidP="004154AB">
            <w:pPr>
              <w:rPr>
                <w:rFonts w:ascii="Arial" w:eastAsia="Times New Roman" w:hAnsi="Arial" w:cs="Arial"/>
                <w:color w:val="000000"/>
                <w:sz w:val="14"/>
                <w:szCs w:val="14"/>
                <w:lang w:val="cs-CZ" w:eastAsia="cs-CZ"/>
              </w:rPr>
            </w:pPr>
          </w:p>
        </w:tc>
        <w:tc>
          <w:tcPr>
            <w:tcW w:w="840" w:type="dxa"/>
            <w:vMerge/>
            <w:tcBorders>
              <w:top w:val="nil"/>
              <w:left w:val="single" w:sz="4" w:space="0" w:color="auto"/>
              <w:bottom w:val="single" w:sz="4" w:space="0" w:color="000000"/>
              <w:right w:val="single" w:sz="4" w:space="0" w:color="auto"/>
            </w:tcBorders>
            <w:vAlign w:val="center"/>
            <w:hideMark/>
          </w:tcPr>
          <w:p w14:paraId="69672786" w14:textId="77777777" w:rsidR="004154AB" w:rsidRPr="004154AB" w:rsidRDefault="004154AB" w:rsidP="004154AB">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auto" w:fill="auto"/>
            <w:vAlign w:val="center"/>
            <w:hideMark/>
          </w:tcPr>
          <w:p w14:paraId="35642DA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F39123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2B7C0B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0E0E9B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F73F58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7E9F8EF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A3C7FC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0DFF04C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0B67406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131F724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3870287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52" w:type="dxa"/>
            <w:gridSpan w:val="2"/>
            <w:vMerge/>
            <w:tcBorders>
              <w:top w:val="nil"/>
              <w:left w:val="single" w:sz="4" w:space="0" w:color="auto"/>
              <w:bottom w:val="single" w:sz="4" w:space="0" w:color="000000"/>
              <w:right w:val="single" w:sz="4" w:space="0" w:color="auto"/>
            </w:tcBorders>
            <w:vAlign w:val="center"/>
            <w:hideMark/>
          </w:tcPr>
          <w:p w14:paraId="41CC73A8"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34EF7842" w14:textId="77777777" w:rsidTr="00B819FC">
        <w:trPr>
          <w:gridAfter w:val="1"/>
          <w:wAfter w:w="6" w:type="dxa"/>
          <w:trHeight w:val="20"/>
        </w:trPr>
        <w:tc>
          <w:tcPr>
            <w:tcW w:w="929" w:type="dxa"/>
            <w:vMerge/>
            <w:tcBorders>
              <w:top w:val="nil"/>
              <w:left w:val="single" w:sz="4" w:space="0" w:color="auto"/>
              <w:bottom w:val="single" w:sz="4" w:space="0" w:color="000000"/>
              <w:right w:val="single" w:sz="4" w:space="0" w:color="auto"/>
            </w:tcBorders>
            <w:vAlign w:val="center"/>
            <w:hideMark/>
          </w:tcPr>
          <w:p w14:paraId="04B45129" w14:textId="77777777" w:rsidR="004154AB" w:rsidRPr="004154AB" w:rsidRDefault="004154AB" w:rsidP="004154AB">
            <w:pPr>
              <w:rPr>
                <w:rFonts w:ascii="Arial" w:eastAsia="Times New Roman" w:hAnsi="Arial" w:cs="Arial"/>
                <w:color w:val="000000"/>
                <w:sz w:val="14"/>
                <w:szCs w:val="14"/>
                <w:lang w:val="cs-CZ" w:eastAsia="cs-CZ"/>
              </w:rPr>
            </w:pPr>
          </w:p>
        </w:tc>
        <w:tc>
          <w:tcPr>
            <w:tcW w:w="3360" w:type="dxa"/>
            <w:vMerge/>
            <w:tcBorders>
              <w:top w:val="nil"/>
              <w:left w:val="single" w:sz="4" w:space="0" w:color="auto"/>
              <w:bottom w:val="single" w:sz="4" w:space="0" w:color="000000"/>
              <w:right w:val="single" w:sz="4" w:space="0" w:color="auto"/>
            </w:tcBorders>
            <w:vAlign w:val="center"/>
            <w:hideMark/>
          </w:tcPr>
          <w:p w14:paraId="149A4E24" w14:textId="77777777" w:rsidR="004154AB" w:rsidRPr="004154AB" w:rsidRDefault="004154AB" w:rsidP="004154AB">
            <w:pPr>
              <w:rPr>
                <w:rFonts w:ascii="Arial" w:eastAsia="Times New Roman" w:hAnsi="Arial" w:cs="Arial"/>
                <w:color w:val="000000"/>
                <w:sz w:val="14"/>
                <w:szCs w:val="14"/>
                <w:lang w:val="cs-CZ" w:eastAsia="cs-CZ"/>
              </w:rPr>
            </w:pPr>
          </w:p>
        </w:tc>
        <w:tc>
          <w:tcPr>
            <w:tcW w:w="1021" w:type="dxa"/>
            <w:vMerge/>
            <w:tcBorders>
              <w:top w:val="nil"/>
              <w:left w:val="single" w:sz="4" w:space="0" w:color="auto"/>
              <w:bottom w:val="single" w:sz="4" w:space="0" w:color="000000"/>
              <w:right w:val="single" w:sz="4" w:space="0" w:color="auto"/>
            </w:tcBorders>
            <w:vAlign w:val="center"/>
            <w:hideMark/>
          </w:tcPr>
          <w:p w14:paraId="7EB4700D" w14:textId="77777777" w:rsidR="004154AB" w:rsidRPr="004154AB" w:rsidRDefault="004154AB" w:rsidP="004154AB">
            <w:pPr>
              <w:rPr>
                <w:rFonts w:ascii="Arial" w:eastAsia="Times New Roman" w:hAnsi="Arial" w:cs="Arial"/>
                <w:color w:val="000000"/>
                <w:sz w:val="14"/>
                <w:szCs w:val="14"/>
                <w:lang w:val="cs-CZ" w:eastAsia="cs-CZ"/>
              </w:rPr>
            </w:pPr>
          </w:p>
        </w:tc>
        <w:tc>
          <w:tcPr>
            <w:tcW w:w="840" w:type="dxa"/>
            <w:vMerge/>
            <w:tcBorders>
              <w:top w:val="nil"/>
              <w:left w:val="single" w:sz="4" w:space="0" w:color="auto"/>
              <w:bottom w:val="single" w:sz="4" w:space="0" w:color="000000"/>
              <w:right w:val="single" w:sz="4" w:space="0" w:color="auto"/>
            </w:tcBorders>
            <w:vAlign w:val="center"/>
            <w:hideMark/>
          </w:tcPr>
          <w:p w14:paraId="6B3B8CAB" w14:textId="77777777" w:rsidR="004154AB" w:rsidRPr="004154AB" w:rsidRDefault="004154AB" w:rsidP="004154AB">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auto" w:fill="auto"/>
            <w:vAlign w:val="center"/>
            <w:hideMark/>
          </w:tcPr>
          <w:p w14:paraId="6690765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F18583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73FE39A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7AF6DAE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6B38363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6684D0A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10451CB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66C4D7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3E56B2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34DBB7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50" w:type="dxa"/>
            <w:gridSpan w:val="2"/>
            <w:tcBorders>
              <w:top w:val="nil"/>
              <w:left w:val="nil"/>
              <w:bottom w:val="single" w:sz="4" w:space="0" w:color="auto"/>
              <w:right w:val="single" w:sz="4" w:space="0" w:color="auto"/>
            </w:tcBorders>
            <w:shd w:val="clear" w:color="auto" w:fill="auto"/>
            <w:vAlign w:val="center"/>
            <w:hideMark/>
          </w:tcPr>
          <w:p w14:paraId="681CE84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52" w:type="dxa"/>
            <w:gridSpan w:val="2"/>
            <w:vMerge/>
            <w:tcBorders>
              <w:top w:val="nil"/>
              <w:left w:val="single" w:sz="4" w:space="0" w:color="auto"/>
              <w:bottom w:val="single" w:sz="4" w:space="0" w:color="000000"/>
              <w:right w:val="single" w:sz="4" w:space="0" w:color="auto"/>
            </w:tcBorders>
            <w:vAlign w:val="center"/>
            <w:hideMark/>
          </w:tcPr>
          <w:p w14:paraId="380863F5"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677911A" w14:textId="77777777" w:rsidTr="00B819FC">
        <w:trPr>
          <w:trHeight w:val="20"/>
        </w:trPr>
        <w:tc>
          <w:tcPr>
            <w:tcW w:w="929" w:type="dxa"/>
            <w:vMerge w:val="restart"/>
            <w:tcBorders>
              <w:top w:val="nil"/>
              <w:left w:val="single" w:sz="4" w:space="0" w:color="auto"/>
              <w:bottom w:val="single" w:sz="4" w:space="0" w:color="000000"/>
              <w:right w:val="single" w:sz="4" w:space="0" w:color="auto"/>
            </w:tcBorders>
            <w:shd w:val="clear" w:color="auto" w:fill="auto"/>
            <w:vAlign w:val="center"/>
            <w:hideMark/>
          </w:tcPr>
          <w:p w14:paraId="61E5560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360" w:type="dxa"/>
            <w:vMerge w:val="restart"/>
            <w:tcBorders>
              <w:top w:val="nil"/>
              <w:left w:val="single" w:sz="4" w:space="0" w:color="auto"/>
              <w:bottom w:val="single" w:sz="4" w:space="0" w:color="000000"/>
              <w:right w:val="single" w:sz="4" w:space="0" w:color="auto"/>
            </w:tcBorders>
            <w:shd w:val="clear" w:color="auto" w:fill="auto"/>
            <w:vAlign w:val="center"/>
            <w:hideMark/>
          </w:tcPr>
          <w:p w14:paraId="3622A43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21" w:type="dxa"/>
            <w:vMerge w:val="restart"/>
            <w:tcBorders>
              <w:top w:val="nil"/>
              <w:left w:val="single" w:sz="4" w:space="0" w:color="auto"/>
              <w:bottom w:val="single" w:sz="4" w:space="0" w:color="000000"/>
              <w:right w:val="single" w:sz="4" w:space="0" w:color="auto"/>
            </w:tcBorders>
            <w:shd w:val="clear" w:color="auto" w:fill="auto"/>
            <w:vAlign w:val="center"/>
            <w:hideMark/>
          </w:tcPr>
          <w:p w14:paraId="6A0278A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40" w:type="dxa"/>
            <w:vMerge w:val="restart"/>
            <w:tcBorders>
              <w:top w:val="nil"/>
              <w:left w:val="single" w:sz="4" w:space="0" w:color="auto"/>
              <w:bottom w:val="single" w:sz="4" w:space="0" w:color="000000"/>
              <w:right w:val="single" w:sz="4" w:space="0" w:color="auto"/>
            </w:tcBorders>
            <w:shd w:val="clear" w:color="auto" w:fill="auto"/>
            <w:vAlign w:val="center"/>
            <w:hideMark/>
          </w:tcPr>
          <w:p w14:paraId="7BDB214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7936" w:type="dxa"/>
            <w:gridSpan w:val="11"/>
            <w:tcBorders>
              <w:top w:val="single" w:sz="4" w:space="0" w:color="auto"/>
              <w:left w:val="nil"/>
              <w:bottom w:val="single" w:sz="4" w:space="0" w:color="auto"/>
              <w:right w:val="single" w:sz="4" w:space="0" w:color="000000"/>
            </w:tcBorders>
            <w:shd w:val="clear" w:color="auto" w:fill="auto"/>
            <w:vAlign w:val="center"/>
            <w:hideMark/>
          </w:tcPr>
          <w:p w14:paraId="2098FB70"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50" w:type="dxa"/>
            <w:gridSpan w:val="2"/>
            <w:tcBorders>
              <w:top w:val="nil"/>
              <w:left w:val="nil"/>
              <w:bottom w:val="nil"/>
              <w:right w:val="single" w:sz="4" w:space="0" w:color="auto"/>
            </w:tcBorders>
            <w:shd w:val="clear" w:color="auto" w:fill="auto"/>
            <w:vAlign w:val="center"/>
            <w:hideMark/>
          </w:tcPr>
          <w:p w14:paraId="27F2AC5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3CB39D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100,000</w:t>
            </w:r>
          </w:p>
        </w:tc>
      </w:tr>
      <w:tr w:rsidR="004154AB" w:rsidRPr="004154AB" w14:paraId="570BC847" w14:textId="77777777" w:rsidTr="00B819FC">
        <w:trPr>
          <w:gridAfter w:val="1"/>
          <w:wAfter w:w="6" w:type="dxa"/>
          <w:trHeight w:val="20"/>
        </w:trPr>
        <w:tc>
          <w:tcPr>
            <w:tcW w:w="929" w:type="dxa"/>
            <w:vMerge/>
            <w:tcBorders>
              <w:top w:val="nil"/>
              <w:left w:val="single" w:sz="4" w:space="0" w:color="auto"/>
              <w:bottom w:val="single" w:sz="4" w:space="0" w:color="000000"/>
              <w:right w:val="single" w:sz="4" w:space="0" w:color="auto"/>
            </w:tcBorders>
            <w:vAlign w:val="center"/>
            <w:hideMark/>
          </w:tcPr>
          <w:p w14:paraId="740666A9" w14:textId="77777777" w:rsidR="004154AB" w:rsidRPr="004154AB" w:rsidRDefault="004154AB" w:rsidP="004154AB">
            <w:pPr>
              <w:rPr>
                <w:rFonts w:ascii="Arial" w:eastAsia="Times New Roman" w:hAnsi="Arial" w:cs="Arial"/>
                <w:color w:val="000000"/>
                <w:sz w:val="14"/>
                <w:szCs w:val="14"/>
                <w:lang w:val="cs-CZ" w:eastAsia="cs-CZ"/>
              </w:rPr>
            </w:pPr>
          </w:p>
        </w:tc>
        <w:tc>
          <w:tcPr>
            <w:tcW w:w="3360" w:type="dxa"/>
            <w:vMerge/>
            <w:tcBorders>
              <w:top w:val="nil"/>
              <w:left w:val="single" w:sz="4" w:space="0" w:color="auto"/>
              <w:bottom w:val="single" w:sz="4" w:space="0" w:color="000000"/>
              <w:right w:val="single" w:sz="4" w:space="0" w:color="auto"/>
            </w:tcBorders>
            <w:vAlign w:val="center"/>
            <w:hideMark/>
          </w:tcPr>
          <w:p w14:paraId="349D67E4" w14:textId="77777777" w:rsidR="004154AB" w:rsidRPr="004154AB" w:rsidRDefault="004154AB" w:rsidP="004154AB">
            <w:pPr>
              <w:rPr>
                <w:rFonts w:ascii="Arial" w:eastAsia="Times New Roman" w:hAnsi="Arial" w:cs="Arial"/>
                <w:color w:val="000000"/>
                <w:sz w:val="14"/>
                <w:szCs w:val="14"/>
                <w:lang w:val="cs-CZ" w:eastAsia="cs-CZ"/>
              </w:rPr>
            </w:pPr>
          </w:p>
        </w:tc>
        <w:tc>
          <w:tcPr>
            <w:tcW w:w="1021" w:type="dxa"/>
            <w:vMerge/>
            <w:tcBorders>
              <w:top w:val="nil"/>
              <w:left w:val="single" w:sz="4" w:space="0" w:color="auto"/>
              <w:bottom w:val="single" w:sz="4" w:space="0" w:color="000000"/>
              <w:right w:val="single" w:sz="4" w:space="0" w:color="auto"/>
            </w:tcBorders>
            <w:vAlign w:val="center"/>
            <w:hideMark/>
          </w:tcPr>
          <w:p w14:paraId="15A77178" w14:textId="77777777" w:rsidR="004154AB" w:rsidRPr="004154AB" w:rsidRDefault="004154AB" w:rsidP="004154AB">
            <w:pPr>
              <w:rPr>
                <w:rFonts w:ascii="Arial" w:eastAsia="Times New Roman" w:hAnsi="Arial" w:cs="Arial"/>
                <w:color w:val="000000"/>
                <w:sz w:val="14"/>
                <w:szCs w:val="14"/>
                <w:lang w:val="cs-CZ" w:eastAsia="cs-CZ"/>
              </w:rPr>
            </w:pPr>
          </w:p>
        </w:tc>
        <w:tc>
          <w:tcPr>
            <w:tcW w:w="840" w:type="dxa"/>
            <w:vMerge/>
            <w:tcBorders>
              <w:top w:val="nil"/>
              <w:left w:val="single" w:sz="4" w:space="0" w:color="auto"/>
              <w:bottom w:val="single" w:sz="4" w:space="0" w:color="000000"/>
              <w:right w:val="single" w:sz="4" w:space="0" w:color="auto"/>
            </w:tcBorders>
            <w:vAlign w:val="center"/>
            <w:hideMark/>
          </w:tcPr>
          <w:p w14:paraId="53B8C1B0" w14:textId="77777777" w:rsidR="004154AB" w:rsidRPr="004154AB" w:rsidRDefault="004154AB" w:rsidP="004154AB">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auto" w:fill="auto"/>
            <w:vAlign w:val="center"/>
            <w:hideMark/>
          </w:tcPr>
          <w:p w14:paraId="71EB668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6EC886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1DE877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7A3030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25B3C38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7C60BBA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260AE2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0A8F39E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33AC642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778BDA5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50" w:type="dxa"/>
            <w:gridSpan w:val="2"/>
            <w:tcBorders>
              <w:top w:val="single" w:sz="4" w:space="0" w:color="auto"/>
              <w:left w:val="nil"/>
              <w:bottom w:val="single" w:sz="4" w:space="0" w:color="auto"/>
              <w:right w:val="single" w:sz="4" w:space="0" w:color="auto"/>
            </w:tcBorders>
            <w:shd w:val="clear" w:color="auto" w:fill="auto"/>
            <w:vAlign w:val="center"/>
            <w:hideMark/>
          </w:tcPr>
          <w:p w14:paraId="4B449DE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52" w:type="dxa"/>
            <w:gridSpan w:val="2"/>
            <w:vMerge/>
            <w:tcBorders>
              <w:top w:val="nil"/>
              <w:left w:val="single" w:sz="4" w:space="0" w:color="auto"/>
              <w:bottom w:val="single" w:sz="4" w:space="0" w:color="000000"/>
              <w:right w:val="single" w:sz="4" w:space="0" w:color="auto"/>
            </w:tcBorders>
            <w:vAlign w:val="center"/>
            <w:hideMark/>
          </w:tcPr>
          <w:p w14:paraId="2269FC96"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53FC3941" w14:textId="77777777" w:rsidTr="00B819FC">
        <w:trPr>
          <w:gridAfter w:val="1"/>
          <w:wAfter w:w="6" w:type="dxa"/>
          <w:trHeight w:val="20"/>
        </w:trPr>
        <w:tc>
          <w:tcPr>
            <w:tcW w:w="929" w:type="dxa"/>
            <w:vMerge/>
            <w:tcBorders>
              <w:top w:val="nil"/>
              <w:left w:val="single" w:sz="4" w:space="0" w:color="auto"/>
              <w:bottom w:val="single" w:sz="4" w:space="0" w:color="000000"/>
              <w:right w:val="single" w:sz="4" w:space="0" w:color="auto"/>
            </w:tcBorders>
            <w:vAlign w:val="center"/>
            <w:hideMark/>
          </w:tcPr>
          <w:p w14:paraId="7A0F3810" w14:textId="77777777" w:rsidR="004154AB" w:rsidRPr="004154AB" w:rsidRDefault="004154AB" w:rsidP="004154AB">
            <w:pPr>
              <w:rPr>
                <w:rFonts w:ascii="Arial" w:eastAsia="Times New Roman" w:hAnsi="Arial" w:cs="Arial"/>
                <w:color w:val="000000"/>
                <w:sz w:val="14"/>
                <w:szCs w:val="14"/>
                <w:lang w:val="cs-CZ" w:eastAsia="cs-CZ"/>
              </w:rPr>
            </w:pPr>
          </w:p>
        </w:tc>
        <w:tc>
          <w:tcPr>
            <w:tcW w:w="3360" w:type="dxa"/>
            <w:vMerge/>
            <w:tcBorders>
              <w:top w:val="nil"/>
              <w:left w:val="single" w:sz="4" w:space="0" w:color="auto"/>
              <w:bottom w:val="single" w:sz="4" w:space="0" w:color="000000"/>
              <w:right w:val="single" w:sz="4" w:space="0" w:color="auto"/>
            </w:tcBorders>
            <w:vAlign w:val="center"/>
            <w:hideMark/>
          </w:tcPr>
          <w:p w14:paraId="34E6A9B6" w14:textId="77777777" w:rsidR="004154AB" w:rsidRPr="004154AB" w:rsidRDefault="004154AB" w:rsidP="004154AB">
            <w:pPr>
              <w:rPr>
                <w:rFonts w:ascii="Arial" w:eastAsia="Times New Roman" w:hAnsi="Arial" w:cs="Arial"/>
                <w:color w:val="000000"/>
                <w:sz w:val="14"/>
                <w:szCs w:val="14"/>
                <w:lang w:val="cs-CZ" w:eastAsia="cs-CZ"/>
              </w:rPr>
            </w:pPr>
          </w:p>
        </w:tc>
        <w:tc>
          <w:tcPr>
            <w:tcW w:w="1021" w:type="dxa"/>
            <w:vMerge/>
            <w:tcBorders>
              <w:top w:val="nil"/>
              <w:left w:val="single" w:sz="4" w:space="0" w:color="auto"/>
              <w:bottom w:val="single" w:sz="4" w:space="0" w:color="000000"/>
              <w:right w:val="single" w:sz="4" w:space="0" w:color="auto"/>
            </w:tcBorders>
            <w:vAlign w:val="center"/>
            <w:hideMark/>
          </w:tcPr>
          <w:p w14:paraId="1009742D" w14:textId="77777777" w:rsidR="004154AB" w:rsidRPr="004154AB" w:rsidRDefault="004154AB" w:rsidP="004154AB">
            <w:pPr>
              <w:rPr>
                <w:rFonts w:ascii="Arial" w:eastAsia="Times New Roman" w:hAnsi="Arial" w:cs="Arial"/>
                <w:color w:val="000000"/>
                <w:sz w:val="14"/>
                <w:szCs w:val="14"/>
                <w:lang w:val="cs-CZ" w:eastAsia="cs-CZ"/>
              </w:rPr>
            </w:pPr>
          </w:p>
        </w:tc>
        <w:tc>
          <w:tcPr>
            <w:tcW w:w="840" w:type="dxa"/>
            <w:vMerge/>
            <w:tcBorders>
              <w:top w:val="nil"/>
              <w:left w:val="single" w:sz="4" w:space="0" w:color="auto"/>
              <w:bottom w:val="single" w:sz="4" w:space="0" w:color="000000"/>
              <w:right w:val="single" w:sz="4" w:space="0" w:color="auto"/>
            </w:tcBorders>
            <w:vAlign w:val="center"/>
            <w:hideMark/>
          </w:tcPr>
          <w:p w14:paraId="55BA99A5" w14:textId="77777777" w:rsidR="004154AB" w:rsidRPr="004154AB" w:rsidRDefault="004154AB" w:rsidP="004154AB">
            <w:pPr>
              <w:rPr>
                <w:rFonts w:ascii="Arial" w:eastAsia="Times New Roman" w:hAnsi="Arial" w:cs="Arial"/>
                <w:color w:val="000000"/>
                <w:sz w:val="14"/>
                <w:szCs w:val="14"/>
                <w:lang w:val="cs-CZ" w:eastAsia="cs-CZ"/>
              </w:rPr>
            </w:pPr>
          </w:p>
        </w:tc>
        <w:tc>
          <w:tcPr>
            <w:tcW w:w="793" w:type="dxa"/>
            <w:tcBorders>
              <w:top w:val="nil"/>
              <w:left w:val="nil"/>
              <w:bottom w:val="single" w:sz="4" w:space="0" w:color="auto"/>
              <w:right w:val="single" w:sz="4" w:space="0" w:color="auto"/>
            </w:tcBorders>
            <w:shd w:val="clear" w:color="auto" w:fill="auto"/>
            <w:vAlign w:val="center"/>
            <w:hideMark/>
          </w:tcPr>
          <w:p w14:paraId="72A52AB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5650EF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50FBFB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6DDB6CC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15E8F1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248861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1F1CE7A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32F037B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495D12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3" w:type="dxa"/>
            <w:tcBorders>
              <w:top w:val="nil"/>
              <w:left w:val="nil"/>
              <w:bottom w:val="single" w:sz="4" w:space="0" w:color="auto"/>
              <w:right w:val="single" w:sz="4" w:space="0" w:color="auto"/>
            </w:tcBorders>
            <w:shd w:val="clear" w:color="auto" w:fill="auto"/>
            <w:vAlign w:val="center"/>
            <w:hideMark/>
          </w:tcPr>
          <w:p w14:paraId="42859A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50" w:type="dxa"/>
            <w:gridSpan w:val="2"/>
            <w:tcBorders>
              <w:top w:val="nil"/>
              <w:left w:val="nil"/>
              <w:bottom w:val="single" w:sz="4" w:space="0" w:color="auto"/>
              <w:right w:val="single" w:sz="4" w:space="0" w:color="auto"/>
            </w:tcBorders>
            <w:shd w:val="clear" w:color="auto" w:fill="auto"/>
            <w:vAlign w:val="center"/>
            <w:hideMark/>
          </w:tcPr>
          <w:p w14:paraId="1A7429F0" w14:textId="0A0D625D"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52" w:type="dxa"/>
            <w:gridSpan w:val="2"/>
            <w:vMerge/>
            <w:tcBorders>
              <w:top w:val="nil"/>
              <w:left w:val="single" w:sz="4" w:space="0" w:color="auto"/>
              <w:bottom w:val="single" w:sz="4" w:space="0" w:color="000000"/>
              <w:right w:val="single" w:sz="4" w:space="0" w:color="auto"/>
            </w:tcBorders>
            <w:vAlign w:val="center"/>
            <w:hideMark/>
          </w:tcPr>
          <w:p w14:paraId="757992A8" w14:textId="77777777" w:rsidR="004154AB" w:rsidRPr="004154AB" w:rsidRDefault="004154AB" w:rsidP="004154AB">
            <w:pPr>
              <w:rPr>
                <w:rFonts w:ascii="Arial" w:eastAsia="Times New Roman" w:hAnsi="Arial" w:cs="Arial"/>
                <w:color w:val="000000"/>
                <w:sz w:val="14"/>
                <w:szCs w:val="14"/>
                <w:lang w:val="cs-CZ" w:eastAsia="cs-CZ"/>
              </w:rPr>
            </w:pPr>
          </w:p>
        </w:tc>
      </w:tr>
    </w:tbl>
    <w:p w14:paraId="758960FB" w14:textId="4F51AA63" w:rsidR="00B819FC" w:rsidRPr="002F2BE4" w:rsidRDefault="00B819FC" w:rsidP="00B819FC">
      <w:pPr>
        <w:ind w:right="108"/>
        <w:jc w:val="both"/>
        <w:rPr>
          <w:rFonts w:ascii="Arial" w:eastAsia="Arial" w:hAnsi="Arial" w:cs="Arial"/>
          <w:color w:val="000000"/>
          <w:sz w:val="20"/>
          <w:lang w:val="cs-CZ"/>
        </w:rPr>
      </w:pPr>
    </w:p>
    <w:p w14:paraId="37E4ACAB" w14:textId="77777777" w:rsidR="00FD35AB" w:rsidRDefault="00FD35AB" w:rsidP="00503415">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03.2.60 Aktivní začleňování, včetně začleňování s ohledem na podporu rovných příležitostí a aktivní účast a zlepšení zaměstnatelnosti</w:t>
      </w:r>
    </w:p>
    <w:tbl>
      <w:tblPr>
        <w:tblW w:w="15871" w:type="dxa"/>
        <w:tblInd w:w="75" w:type="dxa"/>
        <w:tblCellMar>
          <w:left w:w="70" w:type="dxa"/>
          <w:right w:w="70" w:type="dxa"/>
        </w:tblCellMar>
        <w:tblLook w:val="04A0" w:firstRow="1" w:lastRow="0" w:firstColumn="1" w:lastColumn="0" w:noHBand="0" w:noVBand="1"/>
      </w:tblPr>
      <w:tblGrid>
        <w:gridCol w:w="940"/>
        <w:gridCol w:w="3199"/>
        <w:gridCol w:w="992"/>
        <w:gridCol w:w="892"/>
        <w:gridCol w:w="797"/>
        <w:gridCol w:w="798"/>
        <w:gridCol w:w="798"/>
        <w:gridCol w:w="798"/>
        <w:gridCol w:w="798"/>
        <w:gridCol w:w="798"/>
        <w:gridCol w:w="798"/>
        <w:gridCol w:w="798"/>
        <w:gridCol w:w="798"/>
        <w:gridCol w:w="805"/>
        <w:gridCol w:w="7"/>
        <w:gridCol w:w="1003"/>
        <w:gridCol w:w="7"/>
        <w:gridCol w:w="838"/>
        <w:gridCol w:w="7"/>
      </w:tblGrid>
      <w:tr w:rsidR="00B819FC" w:rsidRPr="004154AB" w14:paraId="1FC4B1B3" w14:textId="77777777" w:rsidTr="00B819FC">
        <w:trPr>
          <w:gridAfter w:val="1"/>
          <w:wAfter w:w="7" w:type="dxa"/>
          <w:trHeight w:val="20"/>
          <w:tblHead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F8532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1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B114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2B24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AE0D6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604530C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596D7F5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58BAEAC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15CE64C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29FE24B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15D3D10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7A06009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5352341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13A4507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21AF820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14:paraId="651B309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4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24BF1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4E43E540" w14:textId="77777777" w:rsidTr="00B819FC">
        <w:trPr>
          <w:trHeight w:val="20"/>
          <w:tblHeader/>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57E1E4A9" w14:textId="77777777" w:rsidR="004154AB" w:rsidRPr="004154AB" w:rsidRDefault="004154AB" w:rsidP="004154AB">
            <w:pPr>
              <w:rPr>
                <w:rFonts w:ascii="Arial" w:eastAsia="Times New Roman" w:hAnsi="Arial" w:cs="Arial"/>
                <w:b/>
                <w:bCs/>
                <w:color w:val="000000"/>
                <w:sz w:val="14"/>
                <w:szCs w:val="14"/>
                <w:lang w:val="cs-CZ" w:eastAsia="cs-CZ"/>
              </w:rPr>
            </w:pPr>
          </w:p>
        </w:tc>
        <w:tc>
          <w:tcPr>
            <w:tcW w:w="3199" w:type="dxa"/>
            <w:vMerge/>
            <w:tcBorders>
              <w:top w:val="single" w:sz="4" w:space="0" w:color="auto"/>
              <w:left w:val="single" w:sz="4" w:space="0" w:color="auto"/>
              <w:bottom w:val="single" w:sz="4" w:space="0" w:color="auto"/>
              <w:right w:val="single" w:sz="4" w:space="0" w:color="auto"/>
            </w:tcBorders>
            <w:vAlign w:val="center"/>
            <w:hideMark/>
          </w:tcPr>
          <w:p w14:paraId="100E0FEC" w14:textId="77777777" w:rsidR="004154AB" w:rsidRPr="004154AB" w:rsidRDefault="004154AB" w:rsidP="004154AB">
            <w:pPr>
              <w:rPr>
                <w:rFonts w:ascii="Arial" w:eastAsia="Times New Roman" w:hAnsi="Arial" w:cs="Arial"/>
                <w:b/>
                <w:bCs/>
                <w:color w:val="000000"/>
                <w:sz w:val="14"/>
                <w:szCs w:val="14"/>
                <w:lang w:val="cs-CZ" w:eastAsia="cs-CZ"/>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6859320" w14:textId="77777777" w:rsidR="004154AB" w:rsidRPr="004154AB" w:rsidRDefault="004154AB" w:rsidP="004154AB">
            <w:pPr>
              <w:rPr>
                <w:rFonts w:ascii="Arial" w:eastAsia="Times New Roman" w:hAnsi="Arial" w:cs="Arial"/>
                <w:b/>
                <w:bCs/>
                <w:color w:val="000000"/>
                <w:sz w:val="14"/>
                <w:szCs w:val="14"/>
                <w:lang w:val="cs-CZ" w:eastAsia="cs-CZ"/>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14:paraId="4D69E38D" w14:textId="77777777" w:rsidR="004154AB" w:rsidRPr="004154AB" w:rsidRDefault="004154AB" w:rsidP="004154AB">
            <w:pPr>
              <w:rPr>
                <w:rFonts w:ascii="Arial" w:eastAsia="Times New Roman" w:hAnsi="Arial" w:cs="Arial"/>
                <w:b/>
                <w:bCs/>
                <w:color w:val="000000"/>
                <w:sz w:val="14"/>
                <w:szCs w:val="14"/>
                <w:lang w:val="cs-CZ" w:eastAsia="cs-CZ"/>
              </w:rPr>
            </w:pPr>
          </w:p>
        </w:tc>
        <w:tc>
          <w:tcPr>
            <w:tcW w:w="7993" w:type="dxa"/>
            <w:gridSpan w:val="11"/>
            <w:tcBorders>
              <w:top w:val="single" w:sz="4" w:space="0" w:color="auto"/>
              <w:left w:val="nil"/>
              <w:bottom w:val="single" w:sz="4" w:space="0" w:color="auto"/>
              <w:right w:val="single" w:sz="4" w:space="0" w:color="auto"/>
            </w:tcBorders>
            <w:shd w:val="clear" w:color="auto" w:fill="auto"/>
            <w:vAlign w:val="center"/>
            <w:hideMark/>
          </w:tcPr>
          <w:p w14:paraId="724B898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1010" w:type="dxa"/>
            <w:gridSpan w:val="2"/>
            <w:tcBorders>
              <w:top w:val="nil"/>
              <w:left w:val="nil"/>
              <w:bottom w:val="single" w:sz="4" w:space="0" w:color="auto"/>
              <w:right w:val="single" w:sz="4" w:space="0" w:color="auto"/>
            </w:tcBorders>
            <w:shd w:val="clear" w:color="auto" w:fill="auto"/>
            <w:vAlign w:val="center"/>
            <w:hideMark/>
          </w:tcPr>
          <w:p w14:paraId="56E7590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45" w:type="dxa"/>
            <w:gridSpan w:val="2"/>
            <w:vMerge/>
            <w:tcBorders>
              <w:top w:val="single" w:sz="4" w:space="0" w:color="auto"/>
              <w:left w:val="single" w:sz="4" w:space="0" w:color="auto"/>
              <w:bottom w:val="single" w:sz="4" w:space="0" w:color="000000"/>
              <w:right w:val="single" w:sz="4" w:space="0" w:color="auto"/>
            </w:tcBorders>
            <w:vAlign w:val="center"/>
            <w:hideMark/>
          </w:tcPr>
          <w:p w14:paraId="044E634B" w14:textId="77777777" w:rsidR="004154AB" w:rsidRPr="004154AB" w:rsidRDefault="004154AB" w:rsidP="004154AB">
            <w:pPr>
              <w:rPr>
                <w:rFonts w:ascii="Arial" w:eastAsia="Times New Roman" w:hAnsi="Arial" w:cs="Arial"/>
                <w:b/>
                <w:bCs/>
                <w:color w:val="000000"/>
                <w:sz w:val="14"/>
                <w:szCs w:val="14"/>
                <w:lang w:val="cs-CZ" w:eastAsia="cs-CZ"/>
              </w:rPr>
            </w:pPr>
          </w:p>
        </w:tc>
      </w:tr>
      <w:tr w:rsidR="00B819FC" w:rsidRPr="004154AB" w14:paraId="2107420B" w14:textId="77777777" w:rsidTr="00B819FC">
        <w:trPr>
          <w:gridAfter w:val="1"/>
          <w:wAfter w:w="7" w:type="dxa"/>
          <w:trHeight w:val="20"/>
          <w:tblHeader/>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1DBE9A26" w14:textId="77777777" w:rsidR="004154AB" w:rsidRPr="004154AB" w:rsidRDefault="004154AB" w:rsidP="004154AB">
            <w:pPr>
              <w:rPr>
                <w:rFonts w:ascii="Arial" w:eastAsia="Times New Roman" w:hAnsi="Arial" w:cs="Arial"/>
                <w:b/>
                <w:bCs/>
                <w:color w:val="000000"/>
                <w:sz w:val="14"/>
                <w:szCs w:val="14"/>
                <w:lang w:val="cs-CZ" w:eastAsia="cs-CZ"/>
              </w:rPr>
            </w:pPr>
          </w:p>
        </w:tc>
        <w:tc>
          <w:tcPr>
            <w:tcW w:w="3199" w:type="dxa"/>
            <w:vMerge/>
            <w:tcBorders>
              <w:top w:val="single" w:sz="4" w:space="0" w:color="auto"/>
              <w:left w:val="single" w:sz="4" w:space="0" w:color="auto"/>
              <w:bottom w:val="single" w:sz="4" w:space="0" w:color="auto"/>
              <w:right w:val="single" w:sz="4" w:space="0" w:color="auto"/>
            </w:tcBorders>
            <w:vAlign w:val="center"/>
            <w:hideMark/>
          </w:tcPr>
          <w:p w14:paraId="342C6BBD" w14:textId="77777777" w:rsidR="004154AB" w:rsidRPr="004154AB" w:rsidRDefault="004154AB" w:rsidP="004154AB">
            <w:pPr>
              <w:rPr>
                <w:rFonts w:ascii="Arial" w:eastAsia="Times New Roman" w:hAnsi="Arial" w:cs="Arial"/>
                <w:b/>
                <w:bCs/>
                <w:color w:val="000000"/>
                <w:sz w:val="14"/>
                <w:szCs w:val="14"/>
                <w:lang w:val="cs-CZ" w:eastAsia="cs-CZ"/>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72DF386" w14:textId="77777777" w:rsidR="004154AB" w:rsidRPr="004154AB" w:rsidRDefault="004154AB" w:rsidP="004154AB">
            <w:pPr>
              <w:rPr>
                <w:rFonts w:ascii="Arial" w:eastAsia="Times New Roman" w:hAnsi="Arial" w:cs="Arial"/>
                <w:b/>
                <w:bCs/>
                <w:color w:val="000000"/>
                <w:sz w:val="14"/>
                <w:szCs w:val="14"/>
                <w:lang w:val="cs-CZ" w:eastAsia="cs-CZ"/>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14:paraId="28E4288F" w14:textId="77777777" w:rsidR="004154AB" w:rsidRPr="004154AB" w:rsidRDefault="004154AB" w:rsidP="004154AB">
            <w:pPr>
              <w:rPr>
                <w:rFonts w:ascii="Arial" w:eastAsia="Times New Roman" w:hAnsi="Arial" w:cs="Arial"/>
                <w:b/>
                <w:bCs/>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53F4B75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auto" w:fill="auto"/>
            <w:vAlign w:val="center"/>
            <w:hideMark/>
          </w:tcPr>
          <w:p w14:paraId="6E2B343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auto" w:fill="auto"/>
            <w:vAlign w:val="center"/>
            <w:hideMark/>
          </w:tcPr>
          <w:p w14:paraId="0A7EFC1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auto" w:fill="auto"/>
            <w:vAlign w:val="center"/>
            <w:hideMark/>
          </w:tcPr>
          <w:p w14:paraId="449AF88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auto" w:fill="auto"/>
            <w:vAlign w:val="center"/>
            <w:hideMark/>
          </w:tcPr>
          <w:p w14:paraId="083CD63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auto" w:fill="auto"/>
            <w:vAlign w:val="center"/>
            <w:hideMark/>
          </w:tcPr>
          <w:p w14:paraId="20F1E16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auto" w:fill="auto"/>
            <w:vAlign w:val="center"/>
            <w:hideMark/>
          </w:tcPr>
          <w:p w14:paraId="7A6110D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auto" w:fill="auto"/>
            <w:vAlign w:val="center"/>
            <w:hideMark/>
          </w:tcPr>
          <w:p w14:paraId="78CF316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8" w:type="dxa"/>
            <w:tcBorders>
              <w:top w:val="nil"/>
              <w:left w:val="nil"/>
              <w:bottom w:val="single" w:sz="4" w:space="0" w:color="auto"/>
              <w:right w:val="single" w:sz="4" w:space="0" w:color="auto"/>
            </w:tcBorders>
            <w:shd w:val="clear" w:color="auto" w:fill="auto"/>
            <w:vAlign w:val="center"/>
            <w:hideMark/>
          </w:tcPr>
          <w:p w14:paraId="3FA7835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5" w:type="dxa"/>
            <w:tcBorders>
              <w:top w:val="nil"/>
              <w:left w:val="nil"/>
              <w:bottom w:val="single" w:sz="4" w:space="0" w:color="auto"/>
              <w:right w:val="single" w:sz="4" w:space="0" w:color="auto"/>
            </w:tcBorders>
            <w:shd w:val="clear" w:color="auto" w:fill="auto"/>
            <w:vAlign w:val="center"/>
            <w:hideMark/>
          </w:tcPr>
          <w:p w14:paraId="1866F76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1010" w:type="dxa"/>
            <w:gridSpan w:val="2"/>
            <w:tcBorders>
              <w:top w:val="nil"/>
              <w:left w:val="nil"/>
              <w:bottom w:val="single" w:sz="4" w:space="0" w:color="auto"/>
              <w:right w:val="single" w:sz="4" w:space="0" w:color="auto"/>
            </w:tcBorders>
            <w:shd w:val="clear" w:color="auto" w:fill="auto"/>
            <w:vAlign w:val="center"/>
            <w:hideMark/>
          </w:tcPr>
          <w:p w14:paraId="412EE15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5" w:type="dxa"/>
            <w:gridSpan w:val="2"/>
            <w:vMerge/>
            <w:tcBorders>
              <w:top w:val="single" w:sz="4" w:space="0" w:color="auto"/>
              <w:left w:val="single" w:sz="4" w:space="0" w:color="auto"/>
              <w:bottom w:val="single" w:sz="4" w:space="0" w:color="000000"/>
              <w:right w:val="single" w:sz="4" w:space="0" w:color="auto"/>
            </w:tcBorders>
            <w:vAlign w:val="center"/>
            <w:hideMark/>
          </w:tcPr>
          <w:p w14:paraId="3E88CC02" w14:textId="77777777" w:rsidR="004154AB" w:rsidRPr="004154AB" w:rsidRDefault="004154AB" w:rsidP="004154AB">
            <w:pPr>
              <w:rPr>
                <w:rFonts w:ascii="Arial" w:eastAsia="Times New Roman" w:hAnsi="Arial" w:cs="Arial"/>
                <w:b/>
                <w:bCs/>
                <w:color w:val="000000"/>
                <w:sz w:val="14"/>
                <w:szCs w:val="14"/>
                <w:lang w:val="cs-CZ" w:eastAsia="cs-CZ"/>
              </w:rPr>
            </w:pPr>
          </w:p>
        </w:tc>
      </w:tr>
      <w:tr w:rsidR="00B819FC" w:rsidRPr="004154AB" w14:paraId="2B204740" w14:textId="77777777" w:rsidTr="00B819FC">
        <w:trPr>
          <w:gridAfter w:val="1"/>
          <w:wAfter w:w="7" w:type="dxa"/>
          <w:trHeight w:val="20"/>
          <w:tblHeader/>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2E7D6741" w14:textId="77777777" w:rsidR="004154AB" w:rsidRPr="004154AB" w:rsidRDefault="004154AB" w:rsidP="004154AB">
            <w:pPr>
              <w:rPr>
                <w:rFonts w:ascii="Arial" w:eastAsia="Times New Roman" w:hAnsi="Arial" w:cs="Arial"/>
                <w:b/>
                <w:bCs/>
                <w:color w:val="000000"/>
                <w:sz w:val="14"/>
                <w:szCs w:val="14"/>
                <w:lang w:val="cs-CZ" w:eastAsia="cs-CZ"/>
              </w:rPr>
            </w:pPr>
          </w:p>
        </w:tc>
        <w:tc>
          <w:tcPr>
            <w:tcW w:w="3199" w:type="dxa"/>
            <w:vMerge/>
            <w:tcBorders>
              <w:top w:val="single" w:sz="4" w:space="0" w:color="auto"/>
              <w:left w:val="single" w:sz="4" w:space="0" w:color="auto"/>
              <w:bottom w:val="single" w:sz="4" w:space="0" w:color="auto"/>
              <w:right w:val="single" w:sz="4" w:space="0" w:color="auto"/>
            </w:tcBorders>
            <w:vAlign w:val="center"/>
            <w:hideMark/>
          </w:tcPr>
          <w:p w14:paraId="1BEEF87D" w14:textId="77777777" w:rsidR="004154AB" w:rsidRPr="004154AB" w:rsidRDefault="004154AB" w:rsidP="004154AB">
            <w:pPr>
              <w:rPr>
                <w:rFonts w:ascii="Arial" w:eastAsia="Times New Roman" w:hAnsi="Arial" w:cs="Arial"/>
                <w:b/>
                <w:bCs/>
                <w:color w:val="000000"/>
                <w:sz w:val="14"/>
                <w:szCs w:val="14"/>
                <w:lang w:val="cs-CZ" w:eastAsia="cs-CZ"/>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9BF9F03" w14:textId="77777777" w:rsidR="004154AB" w:rsidRPr="004154AB" w:rsidRDefault="004154AB" w:rsidP="004154AB">
            <w:pPr>
              <w:rPr>
                <w:rFonts w:ascii="Arial" w:eastAsia="Times New Roman" w:hAnsi="Arial" w:cs="Arial"/>
                <w:b/>
                <w:bCs/>
                <w:color w:val="000000"/>
                <w:sz w:val="14"/>
                <w:szCs w:val="14"/>
                <w:lang w:val="cs-CZ" w:eastAsia="cs-CZ"/>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14:paraId="07441A7F" w14:textId="77777777" w:rsidR="004154AB" w:rsidRPr="004154AB" w:rsidRDefault="004154AB" w:rsidP="004154AB">
            <w:pPr>
              <w:rPr>
                <w:rFonts w:ascii="Arial" w:eastAsia="Times New Roman" w:hAnsi="Arial" w:cs="Arial"/>
                <w:b/>
                <w:bCs/>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5AB93CE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auto" w:fill="auto"/>
            <w:vAlign w:val="center"/>
            <w:hideMark/>
          </w:tcPr>
          <w:p w14:paraId="0F62175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auto" w:fill="auto"/>
            <w:vAlign w:val="center"/>
            <w:hideMark/>
          </w:tcPr>
          <w:p w14:paraId="4125A7D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auto" w:fill="auto"/>
            <w:vAlign w:val="center"/>
            <w:hideMark/>
          </w:tcPr>
          <w:p w14:paraId="5CA4B10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auto" w:fill="auto"/>
            <w:vAlign w:val="center"/>
            <w:hideMark/>
          </w:tcPr>
          <w:p w14:paraId="3528562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auto" w:fill="auto"/>
            <w:vAlign w:val="center"/>
            <w:hideMark/>
          </w:tcPr>
          <w:p w14:paraId="677DCC4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auto" w:fill="auto"/>
            <w:vAlign w:val="center"/>
            <w:hideMark/>
          </w:tcPr>
          <w:p w14:paraId="60122C1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auto" w:fill="auto"/>
            <w:vAlign w:val="center"/>
            <w:hideMark/>
          </w:tcPr>
          <w:p w14:paraId="34322A9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8" w:type="dxa"/>
            <w:tcBorders>
              <w:top w:val="nil"/>
              <w:left w:val="nil"/>
              <w:bottom w:val="single" w:sz="4" w:space="0" w:color="auto"/>
              <w:right w:val="single" w:sz="4" w:space="0" w:color="auto"/>
            </w:tcBorders>
            <w:shd w:val="clear" w:color="auto" w:fill="auto"/>
            <w:vAlign w:val="center"/>
            <w:hideMark/>
          </w:tcPr>
          <w:p w14:paraId="03990AE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5" w:type="dxa"/>
            <w:tcBorders>
              <w:top w:val="nil"/>
              <w:left w:val="nil"/>
              <w:bottom w:val="single" w:sz="4" w:space="0" w:color="auto"/>
              <w:right w:val="single" w:sz="4" w:space="0" w:color="auto"/>
            </w:tcBorders>
            <w:shd w:val="clear" w:color="auto" w:fill="auto"/>
            <w:vAlign w:val="center"/>
            <w:hideMark/>
          </w:tcPr>
          <w:p w14:paraId="2144C35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1010" w:type="dxa"/>
            <w:gridSpan w:val="2"/>
            <w:tcBorders>
              <w:top w:val="nil"/>
              <w:left w:val="nil"/>
              <w:bottom w:val="single" w:sz="4" w:space="0" w:color="auto"/>
              <w:right w:val="single" w:sz="4" w:space="0" w:color="auto"/>
            </w:tcBorders>
            <w:shd w:val="clear" w:color="auto" w:fill="auto"/>
            <w:vAlign w:val="center"/>
            <w:hideMark/>
          </w:tcPr>
          <w:p w14:paraId="6605F47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5" w:type="dxa"/>
            <w:gridSpan w:val="2"/>
            <w:vMerge/>
            <w:tcBorders>
              <w:top w:val="single" w:sz="4" w:space="0" w:color="auto"/>
              <w:left w:val="single" w:sz="4" w:space="0" w:color="auto"/>
              <w:bottom w:val="single" w:sz="4" w:space="0" w:color="000000"/>
              <w:right w:val="single" w:sz="4" w:space="0" w:color="auto"/>
            </w:tcBorders>
            <w:vAlign w:val="center"/>
            <w:hideMark/>
          </w:tcPr>
          <w:p w14:paraId="0D810EC5"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3A23675E" w14:textId="77777777" w:rsidTr="00B819FC">
        <w:trPr>
          <w:trHeight w:val="2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105A381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3199" w:type="dxa"/>
            <w:vMerge w:val="restart"/>
            <w:tcBorders>
              <w:top w:val="nil"/>
              <w:left w:val="single" w:sz="4" w:space="0" w:color="auto"/>
              <w:bottom w:val="single" w:sz="4" w:space="0" w:color="000000"/>
              <w:right w:val="single" w:sz="4" w:space="0" w:color="auto"/>
            </w:tcBorders>
            <w:shd w:val="clear" w:color="auto" w:fill="auto"/>
            <w:vAlign w:val="center"/>
            <w:hideMark/>
          </w:tcPr>
          <w:p w14:paraId="7027B6E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3E9FC9B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14:paraId="130AC54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207,000</w:t>
            </w:r>
          </w:p>
        </w:tc>
        <w:tc>
          <w:tcPr>
            <w:tcW w:w="7993" w:type="dxa"/>
            <w:gridSpan w:val="11"/>
            <w:tcBorders>
              <w:top w:val="single" w:sz="4" w:space="0" w:color="auto"/>
              <w:left w:val="nil"/>
              <w:bottom w:val="single" w:sz="4" w:space="0" w:color="auto"/>
              <w:right w:val="single" w:sz="4" w:space="0" w:color="000000"/>
            </w:tcBorders>
            <w:shd w:val="clear" w:color="auto" w:fill="auto"/>
            <w:vAlign w:val="center"/>
            <w:hideMark/>
          </w:tcPr>
          <w:p w14:paraId="1F4007E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nil"/>
              <w:right w:val="single" w:sz="4" w:space="0" w:color="auto"/>
            </w:tcBorders>
            <w:shd w:val="clear" w:color="auto" w:fill="auto"/>
            <w:vAlign w:val="center"/>
            <w:hideMark/>
          </w:tcPr>
          <w:p w14:paraId="767CA0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211,000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61CCE4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101,932</w:t>
            </w:r>
          </w:p>
        </w:tc>
      </w:tr>
      <w:tr w:rsidR="00B819FC" w:rsidRPr="004154AB" w14:paraId="4FDAA594"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7B41639A"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1696FEB6"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39B65805"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235B91BC"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0AF28B9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5E15B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186A41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551A8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8AF707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D798D5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B2EE1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08313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F82E25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3B32D4C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14:paraId="281A1C6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0CC07F27"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4BE5BEFD"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120EF144"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624A70A7"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5CD0A449"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4B3B7AC2"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43E1301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0FE53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7DCB03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86234A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A8AEDB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ECE79C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22250C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982F1A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F7DBFC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663317E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single" w:sz="4" w:space="0" w:color="auto"/>
              <w:right w:val="single" w:sz="4" w:space="0" w:color="auto"/>
            </w:tcBorders>
            <w:shd w:val="clear" w:color="auto" w:fill="auto"/>
            <w:vAlign w:val="center"/>
            <w:hideMark/>
          </w:tcPr>
          <w:p w14:paraId="5128AD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20A3EDC7"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6E32821F" w14:textId="77777777" w:rsidTr="00B819FC">
        <w:trPr>
          <w:trHeight w:val="2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47DCC5A1"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3199" w:type="dxa"/>
            <w:vMerge w:val="restart"/>
            <w:tcBorders>
              <w:top w:val="nil"/>
              <w:left w:val="single" w:sz="4" w:space="0" w:color="auto"/>
              <w:bottom w:val="single" w:sz="4" w:space="0" w:color="000000"/>
              <w:right w:val="single" w:sz="4" w:space="0" w:color="auto"/>
            </w:tcBorders>
            <w:shd w:val="clear" w:color="auto" w:fill="auto"/>
            <w:vAlign w:val="center"/>
            <w:hideMark/>
          </w:tcPr>
          <w:p w14:paraId="7B96838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5840F4A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14:paraId="4EF5F15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24,000</w:t>
            </w:r>
          </w:p>
        </w:tc>
        <w:tc>
          <w:tcPr>
            <w:tcW w:w="7993" w:type="dxa"/>
            <w:gridSpan w:val="11"/>
            <w:tcBorders>
              <w:top w:val="single" w:sz="4" w:space="0" w:color="auto"/>
              <w:left w:val="nil"/>
              <w:bottom w:val="single" w:sz="4" w:space="0" w:color="auto"/>
              <w:right w:val="single" w:sz="4" w:space="0" w:color="000000"/>
            </w:tcBorders>
            <w:shd w:val="clear" w:color="auto" w:fill="auto"/>
            <w:vAlign w:val="center"/>
            <w:hideMark/>
          </w:tcPr>
          <w:p w14:paraId="4C38BEE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nil"/>
              <w:right w:val="single" w:sz="4" w:space="0" w:color="auto"/>
            </w:tcBorders>
            <w:shd w:val="clear" w:color="auto" w:fill="auto"/>
            <w:vAlign w:val="center"/>
            <w:hideMark/>
          </w:tcPr>
          <w:p w14:paraId="38002FA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211,000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A3213E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879,167</w:t>
            </w:r>
          </w:p>
        </w:tc>
      </w:tr>
      <w:tr w:rsidR="00B819FC" w:rsidRPr="004154AB" w14:paraId="747DD6DB"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22B6CD2F"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59EA4988"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0C13CEDC"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6EF38956"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0FE8AA0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BCF4C5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AB1A81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C8A2A3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B831C4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FDFEF5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CEE7F0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48C0AE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B8A43B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72538AA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14:paraId="09FA3E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603F3915"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19D7ED75"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1AA895E8"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508BB2FB"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1A5E2EE3"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2A397CEE"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7A7A6E5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5E8863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47251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0BE291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A3C684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A7A03E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5F3812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9AF0B7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B579A9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2AD25BD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single" w:sz="4" w:space="0" w:color="auto"/>
              <w:right w:val="single" w:sz="4" w:space="0" w:color="auto"/>
            </w:tcBorders>
            <w:shd w:val="clear" w:color="auto" w:fill="auto"/>
            <w:vAlign w:val="center"/>
            <w:hideMark/>
          </w:tcPr>
          <w:p w14:paraId="6319F76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76363D3B"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59E26AFC" w14:textId="77777777" w:rsidTr="00B819FC">
        <w:trPr>
          <w:trHeight w:val="2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0BBD601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199" w:type="dxa"/>
            <w:vMerge w:val="restart"/>
            <w:tcBorders>
              <w:top w:val="nil"/>
              <w:left w:val="single" w:sz="4" w:space="0" w:color="auto"/>
              <w:bottom w:val="single" w:sz="4" w:space="0" w:color="000000"/>
              <w:right w:val="single" w:sz="4" w:space="0" w:color="auto"/>
            </w:tcBorders>
            <w:shd w:val="clear" w:color="auto" w:fill="auto"/>
            <w:vAlign w:val="center"/>
            <w:hideMark/>
          </w:tcPr>
          <w:p w14:paraId="7B1B5FB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6433CCC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14:paraId="32435A9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372,000</w:t>
            </w:r>
          </w:p>
        </w:tc>
        <w:tc>
          <w:tcPr>
            <w:tcW w:w="7993" w:type="dxa"/>
            <w:gridSpan w:val="11"/>
            <w:tcBorders>
              <w:top w:val="single" w:sz="4" w:space="0" w:color="auto"/>
              <w:left w:val="nil"/>
              <w:bottom w:val="single" w:sz="4" w:space="0" w:color="auto"/>
              <w:right w:val="single" w:sz="4" w:space="0" w:color="000000"/>
            </w:tcBorders>
            <w:shd w:val="clear" w:color="auto" w:fill="auto"/>
            <w:vAlign w:val="center"/>
            <w:hideMark/>
          </w:tcPr>
          <w:p w14:paraId="5CF70F1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nil"/>
              <w:right w:val="single" w:sz="4" w:space="0" w:color="auto"/>
            </w:tcBorders>
            <w:shd w:val="clear" w:color="auto" w:fill="auto"/>
            <w:vAlign w:val="center"/>
            <w:hideMark/>
          </w:tcPr>
          <w:p w14:paraId="0D0B0D6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306,000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C0EABD1"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82,258</w:t>
            </w:r>
          </w:p>
        </w:tc>
      </w:tr>
      <w:tr w:rsidR="00B819FC" w:rsidRPr="004154AB" w14:paraId="6A018DE6"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5E2F1B57"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5038B19F"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2A02F283"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4E1E4595"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7A60559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CC09AB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3FC009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5AED3A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EFB909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3E74E5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BB55D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7C1DE8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382B55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08738B5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14:paraId="53B5866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75F24302"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3FFB2A4D"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58AD993A"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16DC3CC2"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1A13AD87"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7FF4DFB8"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7037813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C6500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9C01AA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9CABB3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17D7C0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60B2DB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5E4DEC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8426AD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709234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149A3F1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single" w:sz="4" w:space="0" w:color="auto"/>
              <w:right w:val="single" w:sz="4" w:space="0" w:color="auto"/>
            </w:tcBorders>
            <w:shd w:val="clear" w:color="auto" w:fill="auto"/>
            <w:vAlign w:val="center"/>
            <w:hideMark/>
          </w:tcPr>
          <w:p w14:paraId="7C73445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6D10FE5D"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7B0394D0" w14:textId="77777777" w:rsidTr="00B819FC">
        <w:trPr>
          <w:trHeight w:val="2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219290D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199" w:type="dxa"/>
            <w:vMerge w:val="restart"/>
            <w:tcBorders>
              <w:top w:val="nil"/>
              <w:left w:val="single" w:sz="4" w:space="0" w:color="auto"/>
              <w:bottom w:val="single" w:sz="4" w:space="0" w:color="000000"/>
              <w:right w:val="single" w:sz="4" w:space="0" w:color="auto"/>
            </w:tcBorders>
            <w:shd w:val="clear" w:color="auto" w:fill="auto"/>
            <w:vAlign w:val="center"/>
            <w:hideMark/>
          </w:tcPr>
          <w:p w14:paraId="0ECB127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1F8F7BC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14:paraId="5E8D3FE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43,000</w:t>
            </w:r>
          </w:p>
        </w:tc>
        <w:tc>
          <w:tcPr>
            <w:tcW w:w="7993" w:type="dxa"/>
            <w:gridSpan w:val="11"/>
            <w:tcBorders>
              <w:top w:val="single" w:sz="4" w:space="0" w:color="auto"/>
              <w:left w:val="nil"/>
              <w:bottom w:val="single" w:sz="4" w:space="0" w:color="auto"/>
              <w:right w:val="single" w:sz="4" w:space="0" w:color="000000"/>
            </w:tcBorders>
            <w:shd w:val="clear" w:color="auto" w:fill="auto"/>
            <w:vAlign w:val="center"/>
            <w:hideMark/>
          </w:tcPr>
          <w:p w14:paraId="6BD8CE30"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nil"/>
              <w:right w:val="single" w:sz="4" w:space="0" w:color="auto"/>
            </w:tcBorders>
            <w:shd w:val="clear" w:color="auto" w:fill="auto"/>
            <w:vAlign w:val="center"/>
            <w:hideMark/>
          </w:tcPr>
          <w:p w14:paraId="776B08C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25,000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03C0E7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58,140</w:t>
            </w:r>
          </w:p>
        </w:tc>
      </w:tr>
      <w:tr w:rsidR="00B819FC" w:rsidRPr="004154AB" w14:paraId="0A0A8D2D"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5370E87F"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2D943092"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2918221D"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1DE17A8B"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6E26EF5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6B8324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36D694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76D2F1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2B5A0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CC969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5D064F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6BDABD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575869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08B7EBA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14:paraId="12D9098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2B4ED33D"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412E6696"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51D6ABCC"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338990A5"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3F7ED41F"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7F9C7C5B"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315B99C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22674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841E8D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38F15B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340E67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BD767E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1B9297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7785DF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FB9E5A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69AC53D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single" w:sz="4" w:space="0" w:color="auto"/>
              <w:right w:val="single" w:sz="4" w:space="0" w:color="auto"/>
            </w:tcBorders>
            <w:shd w:val="clear" w:color="auto" w:fill="auto"/>
            <w:vAlign w:val="center"/>
            <w:hideMark/>
          </w:tcPr>
          <w:p w14:paraId="1318677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2A45572F"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F358F20" w14:textId="77777777" w:rsidTr="00B819FC">
        <w:trPr>
          <w:trHeight w:val="2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2C22716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199" w:type="dxa"/>
            <w:vMerge w:val="restart"/>
            <w:tcBorders>
              <w:top w:val="nil"/>
              <w:left w:val="single" w:sz="4" w:space="0" w:color="auto"/>
              <w:bottom w:val="single" w:sz="4" w:space="0" w:color="000000"/>
              <w:right w:val="single" w:sz="4" w:space="0" w:color="auto"/>
            </w:tcBorders>
            <w:shd w:val="clear" w:color="auto" w:fill="auto"/>
            <w:vAlign w:val="center"/>
            <w:hideMark/>
          </w:tcPr>
          <w:p w14:paraId="4064EE8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B20A6A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14:paraId="2EA5880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13,000</w:t>
            </w:r>
          </w:p>
        </w:tc>
        <w:tc>
          <w:tcPr>
            <w:tcW w:w="7993" w:type="dxa"/>
            <w:gridSpan w:val="11"/>
            <w:tcBorders>
              <w:top w:val="single" w:sz="4" w:space="0" w:color="auto"/>
              <w:left w:val="nil"/>
              <w:bottom w:val="single" w:sz="4" w:space="0" w:color="auto"/>
              <w:right w:val="single" w:sz="4" w:space="0" w:color="000000"/>
            </w:tcBorders>
            <w:shd w:val="clear" w:color="auto" w:fill="auto"/>
            <w:vAlign w:val="center"/>
            <w:hideMark/>
          </w:tcPr>
          <w:p w14:paraId="1F5FE25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nil"/>
              <w:right w:val="single" w:sz="4" w:space="0" w:color="auto"/>
            </w:tcBorders>
            <w:shd w:val="clear" w:color="auto" w:fill="auto"/>
            <w:vAlign w:val="center"/>
            <w:hideMark/>
          </w:tcPr>
          <w:p w14:paraId="3C7AD1C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25,000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ECDFB7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192,308</w:t>
            </w:r>
          </w:p>
        </w:tc>
      </w:tr>
      <w:tr w:rsidR="00B819FC" w:rsidRPr="004154AB" w14:paraId="7F4F3D4E"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54C0989D"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7BAB9EA4"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01F1F118"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39BACE68"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4E8D377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A9585E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53DE4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27A95D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3D24C2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5C0CDE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0A837A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06B59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1611BC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5572DF3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14:paraId="32E9C62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4D638E19"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1D93A966"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1DEFCC94"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13880B55"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65276CE1"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3488EC00"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03D283E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E1C29B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97811D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E50405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7C113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5041A6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975F55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D5160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5ECDEF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4B32410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single" w:sz="4" w:space="0" w:color="auto"/>
              <w:right w:val="single" w:sz="4" w:space="0" w:color="auto"/>
            </w:tcBorders>
            <w:shd w:val="clear" w:color="auto" w:fill="auto"/>
            <w:vAlign w:val="center"/>
            <w:hideMark/>
          </w:tcPr>
          <w:p w14:paraId="61F5BC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2B4F5599"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2E75317" w14:textId="77777777" w:rsidTr="00B819FC">
        <w:trPr>
          <w:trHeight w:val="2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44D6673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199" w:type="dxa"/>
            <w:vMerge w:val="restart"/>
            <w:tcBorders>
              <w:top w:val="nil"/>
              <w:left w:val="single" w:sz="4" w:space="0" w:color="auto"/>
              <w:bottom w:val="single" w:sz="4" w:space="0" w:color="000000"/>
              <w:right w:val="single" w:sz="4" w:space="0" w:color="auto"/>
            </w:tcBorders>
            <w:shd w:val="clear" w:color="auto" w:fill="auto"/>
            <w:vAlign w:val="center"/>
            <w:hideMark/>
          </w:tcPr>
          <w:p w14:paraId="7042E63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5187F85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14:paraId="684F32B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7993" w:type="dxa"/>
            <w:gridSpan w:val="11"/>
            <w:tcBorders>
              <w:top w:val="single" w:sz="4" w:space="0" w:color="auto"/>
              <w:left w:val="nil"/>
              <w:bottom w:val="single" w:sz="4" w:space="0" w:color="auto"/>
              <w:right w:val="single" w:sz="4" w:space="0" w:color="000000"/>
            </w:tcBorders>
            <w:shd w:val="clear" w:color="auto" w:fill="auto"/>
            <w:vAlign w:val="center"/>
            <w:hideMark/>
          </w:tcPr>
          <w:p w14:paraId="415A76A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nil"/>
              <w:right w:val="single" w:sz="4" w:space="0" w:color="auto"/>
            </w:tcBorders>
            <w:shd w:val="clear" w:color="auto" w:fill="auto"/>
            <w:vAlign w:val="center"/>
            <w:hideMark/>
          </w:tcPr>
          <w:p w14:paraId="468666B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3,000</w:t>
            </w:r>
          </w:p>
        </w:tc>
        <w:tc>
          <w:tcPr>
            <w:tcW w:w="84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D1E6A7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300,000</w:t>
            </w:r>
          </w:p>
        </w:tc>
      </w:tr>
      <w:tr w:rsidR="00B819FC" w:rsidRPr="004154AB" w14:paraId="4119D526"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7F6B567E"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53E2285F"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26339403"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23C20637"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65753EA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DF0676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6ABAB34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77B953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B1909B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A96B96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3536B1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423F9CC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1D6D84B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0D880EF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14:paraId="37B3921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7EF9680E" w14:textId="77777777" w:rsidR="004154AB" w:rsidRPr="004154AB" w:rsidRDefault="004154AB" w:rsidP="004154AB">
            <w:pPr>
              <w:rPr>
                <w:rFonts w:ascii="Arial" w:eastAsia="Times New Roman" w:hAnsi="Arial" w:cs="Arial"/>
                <w:color w:val="000000"/>
                <w:sz w:val="14"/>
                <w:szCs w:val="14"/>
                <w:lang w:val="cs-CZ" w:eastAsia="cs-CZ"/>
              </w:rPr>
            </w:pPr>
          </w:p>
        </w:tc>
      </w:tr>
      <w:tr w:rsidR="00B819FC" w:rsidRPr="004154AB" w14:paraId="3A62467C" w14:textId="77777777" w:rsidTr="00B819FC">
        <w:trPr>
          <w:gridAfter w:val="1"/>
          <w:wAfter w:w="7" w:type="dxa"/>
          <w:trHeight w:val="20"/>
        </w:trPr>
        <w:tc>
          <w:tcPr>
            <w:tcW w:w="940" w:type="dxa"/>
            <w:vMerge/>
            <w:tcBorders>
              <w:top w:val="nil"/>
              <w:left w:val="single" w:sz="4" w:space="0" w:color="auto"/>
              <w:bottom w:val="single" w:sz="4" w:space="0" w:color="000000"/>
              <w:right w:val="single" w:sz="4" w:space="0" w:color="auto"/>
            </w:tcBorders>
            <w:vAlign w:val="center"/>
            <w:hideMark/>
          </w:tcPr>
          <w:p w14:paraId="1712FA95" w14:textId="77777777" w:rsidR="004154AB" w:rsidRPr="004154AB" w:rsidRDefault="004154AB" w:rsidP="004154AB">
            <w:pPr>
              <w:rPr>
                <w:rFonts w:ascii="Arial" w:eastAsia="Times New Roman" w:hAnsi="Arial" w:cs="Arial"/>
                <w:color w:val="000000"/>
                <w:sz w:val="14"/>
                <w:szCs w:val="14"/>
                <w:lang w:val="cs-CZ" w:eastAsia="cs-CZ"/>
              </w:rPr>
            </w:pPr>
          </w:p>
        </w:tc>
        <w:tc>
          <w:tcPr>
            <w:tcW w:w="3199" w:type="dxa"/>
            <w:vMerge/>
            <w:tcBorders>
              <w:top w:val="nil"/>
              <w:left w:val="single" w:sz="4" w:space="0" w:color="auto"/>
              <w:bottom w:val="single" w:sz="4" w:space="0" w:color="000000"/>
              <w:right w:val="single" w:sz="4" w:space="0" w:color="auto"/>
            </w:tcBorders>
            <w:vAlign w:val="center"/>
            <w:hideMark/>
          </w:tcPr>
          <w:p w14:paraId="4E23EF8F" w14:textId="77777777" w:rsidR="004154AB" w:rsidRPr="004154AB" w:rsidRDefault="004154AB" w:rsidP="004154AB">
            <w:pPr>
              <w:rPr>
                <w:rFonts w:ascii="Arial" w:eastAsia="Times New Roman" w:hAnsi="Arial" w:cs="Arial"/>
                <w:color w:val="000000"/>
                <w:sz w:val="14"/>
                <w:szCs w:val="14"/>
                <w:lang w:val="cs-CZ" w:eastAsia="cs-CZ"/>
              </w:rPr>
            </w:pPr>
          </w:p>
        </w:tc>
        <w:tc>
          <w:tcPr>
            <w:tcW w:w="992" w:type="dxa"/>
            <w:vMerge/>
            <w:tcBorders>
              <w:top w:val="nil"/>
              <w:left w:val="single" w:sz="4" w:space="0" w:color="auto"/>
              <w:bottom w:val="single" w:sz="4" w:space="0" w:color="000000"/>
              <w:right w:val="single" w:sz="4" w:space="0" w:color="auto"/>
            </w:tcBorders>
            <w:vAlign w:val="center"/>
            <w:hideMark/>
          </w:tcPr>
          <w:p w14:paraId="53AA1B16"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3FDE088A" w14:textId="77777777" w:rsidR="004154AB" w:rsidRPr="004154AB" w:rsidRDefault="004154AB" w:rsidP="004154AB">
            <w:pPr>
              <w:rPr>
                <w:rFonts w:ascii="Arial" w:eastAsia="Times New Roman" w:hAnsi="Arial" w:cs="Arial"/>
                <w:color w:val="000000"/>
                <w:sz w:val="14"/>
                <w:szCs w:val="14"/>
                <w:lang w:val="cs-CZ" w:eastAsia="cs-CZ"/>
              </w:rPr>
            </w:pPr>
          </w:p>
        </w:tc>
        <w:tc>
          <w:tcPr>
            <w:tcW w:w="797" w:type="dxa"/>
            <w:tcBorders>
              <w:top w:val="nil"/>
              <w:left w:val="nil"/>
              <w:bottom w:val="single" w:sz="4" w:space="0" w:color="auto"/>
              <w:right w:val="single" w:sz="4" w:space="0" w:color="auto"/>
            </w:tcBorders>
            <w:shd w:val="clear" w:color="auto" w:fill="auto"/>
            <w:vAlign w:val="center"/>
            <w:hideMark/>
          </w:tcPr>
          <w:p w14:paraId="43FA5F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771CD25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27BED11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E6825B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C7BA67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0EADD39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3D99F4D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653629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8" w:type="dxa"/>
            <w:tcBorders>
              <w:top w:val="nil"/>
              <w:left w:val="nil"/>
              <w:bottom w:val="single" w:sz="4" w:space="0" w:color="auto"/>
              <w:right w:val="single" w:sz="4" w:space="0" w:color="auto"/>
            </w:tcBorders>
            <w:shd w:val="clear" w:color="auto" w:fill="auto"/>
            <w:vAlign w:val="center"/>
            <w:hideMark/>
          </w:tcPr>
          <w:p w14:paraId="57F9AC9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5" w:type="dxa"/>
            <w:tcBorders>
              <w:top w:val="nil"/>
              <w:left w:val="nil"/>
              <w:bottom w:val="single" w:sz="4" w:space="0" w:color="auto"/>
              <w:right w:val="single" w:sz="4" w:space="0" w:color="auto"/>
            </w:tcBorders>
            <w:shd w:val="clear" w:color="auto" w:fill="auto"/>
            <w:vAlign w:val="center"/>
            <w:hideMark/>
          </w:tcPr>
          <w:p w14:paraId="206015F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1010" w:type="dxa"/>
            <w:gridSpan w:val="2"/>
            <w:tcBorders>
              <w:top w:val="nil"/>
              <w:left w:val="nil"/>
              <w:bottom w:val="single" w:sz="4" w:space="0" w:color="auto"/>
              <w:right w:val="single" w:sz="4" w:space="0" w:color="auto"/>
            </w:tcBorders>
            <w:shd w:val="clear" w:color="auto" w:fill="auto"/>
            <w:vAlign w:val="center"/>
            <w:hideMark/>
          </w:tcPr>
          <w:p w14:paraId="2137AC81" w14:textId="6E385A12"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5" w:type="dxa"/>
            <w:gridSpan w:val="2"/>
            <w:vMerge/>
            <w:tcBorders>
              <w:top w:val="nil"/>
              <w:left w:val="single" w:sz="4" w:space="0" w:color="auto"/>
              <w:bottom w:val="single" w:sz="4" w:space="0" w:color="000000"/>
              <w:right w:val="single" w:sz="4" w:space="0" w:color="auto"/>
            </w:tcBorders>
            <w:vAlign w:val="center"/>
            <w:hideMark/>
          </w:tcPr>
          <w:p w14:paraId="6FE1896E" w14:textId="77777777" w:rsidR="004154AB" w:rsidRPr="004154AB" w:rsidRDefault="004154AB" w:rsidP="004154AB">
            <w:pPr>
              <w:rPr>
                <w:rFonts w:ascii="Arial" w:eastAsia="Times New Roman" w:hAnsi="Arial" w:cs="Arial"/>
                <w:color w:val="000000"/>
                <w:sz w:val="14"/>
                <w:szCs w:val="14"/>
                <w:lang w:val="cs-CZ" w:eastAsia="cs-CZ"/>
              </w:rPr>
            </w:pPr>
          </w:p>
        </w:tc>
      </w:tr>
    </w:tbl>
    <w:p w14:paraId="3F84FF9E" w14:textId="77777777" w:rsidR="000E2B9A" w:rsidRPr="002F2BE4" w:rsidRDefault="000E2B9A" w:rsidP="004154AB">
      <w:pPr>
        <w:ind w:right="108"/>
        <w:jc w:val="both"/>
        <w:rPr>
          <w:rFonts w:ascii="Arial" w:eastAsia="Arial" w:hAnsi="Arial" w:cs="Arial"/>
          <w:color w:val="000000"/>
          <w:sz w:val="20"/>
          <w:lang w:val="cs-CZ"/>
        </w:rPr>
      </w:pPr>
    </w:p>
    <w:p w14:paraId="60A90FEA" w14:textId="77777777" w:rsidR="00FD35AB" w:rsidRDefault="00FD35AB" w:rsidP="00503415">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03.2.63 Zlepšování přístupu k dostupným, udržitelným a vysoce kvalitním službám, včetně zdravotnictví a sociálních služeb obecného zájmu</w:t>
      </w:r>
    </w:p>
    <w:tbl>
      <w:tblPr>
        <w:tblW w:w="15888" w:type="dxa"/>
        <w:tblInd w:w="75" w:type="dxa"/>
        <w:tblCellMar>
          <w:left w:w="70" w:type="dxa"/>
          <w:right w:w="70" w:type="dxa"/>
        </w:tblCellMar>
        <w:tblLook w:val="04A0" w:firstRow="1" w:lastRow="0" w:firstColumn="1" w:lastColumn="0" w:noHBand="0" w:noVBand="1"/>
      </w:tblPr>
      <w:tblGrid>
        <w:gridCol w:w="934"/>
        <w:gridCol w:w="3312"/>
        <w:gridCol w:w="993"/>
        <w:gridCol w:w="887"/>
        <w:gridCol w:w="782"/>
        <w:gridCol w:w="782"/>
        <w:gridCol w:w="782"/>
        <w:gridCol w:w="782"/>
        <w:gridCol w:w="782"/>
        <w:gridCol w:w="782"/>
        <w:gridCol w:w="782"/>
        <w:gridCol w:w="782"/>
        <w:gridCol w:w="782"/>
        <w:gridCol w:w="782"/>
        <w:gridCol w:w="15"/>
        <w:gridCol w:w="989"/>
        <w:gridCol w:w="9"/>
        <w:gridCol w:w="929"/>
      </w:tblGrid>
      <w:tr w:rsidR="004154AB" w:rsidRPr="004154AB" w14:paraId="34836B38" w14:textId="77777777" w:rsidTr="00B819FC">
        <w:trPr>
          <w:trHeight w:val="20"/>
          <w:tblHeader/>
        </w:trPr>
        <w:tc>
          <w:tcPr>
            <w:tcW w:w="9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6471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2BC7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A5CD9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CE07C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B0E48C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4E0A8CB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5C5894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63003C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7B0D5F0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4B036DC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D983EC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4ADCC1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A7C2A4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86E08E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14:paraId="105796F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94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46C1B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1B6BEEF4" w14:textId="77777777" w:rsidTr="00B819FC">
        <w:trPr>
          <w:trHeight w:val="20"/>
          <w:tblHeader/>
        </w:trPr>
        <w:tc>
          <w:tcPr>
            <w:tcW w:w="923" w:type="dxa"/>
            <w:vMerge/>
            <w:tcBorders>
              <w:top w:val="single" w:sz="4" w:space="0" w:color="auto"/>
              <w:left w:val="single" w:sz="4" w:space="0" w:color="auto"/>
              <w:bottom w:val="single" w:sz="4" w:space="0" w:color="auto"/>
              <w:right w:val="single" w:sz="4" w:space="0" w:color="auto"/>
            </w:tcBorders>
            <w:vAlign w:val="center"/>
            <w:hideMark/>
          </w:tcPr>
          <w:p w14:paraId="30B50AFA" w14:textId="77777777" w:rsidR="004154AB" w:rsidRPr="004154AB" w:rsidRDefault="004154AB" w:rsidP="004154AB">
            <w:pPr>
              <w:rPr>
                <w:rFonts w:ascii="Arial" w:eastAsia="Times New Roman" w:hAnsi="Arial" w:cs="Arial"/>
                <w:b/>
                <w:bCs/>
                <w:color w:val="000000"/>
                <w:sz w:val="14"/>
                <w:szCs w:val="14"/>
                <w:lang w:val="cs-CZ" w:eastAsia="cs-CZ"/>
              </w:rPr>
            </w:pPr>
          </w:p>
        </w:tc>
        <w:tc>
          <w:tcPr>
            <w:tcW w:w="3359" w:type="dxa"/>
            <w:vMerge/>
            <w:tcBorders>
              <w:top w:val="single" w:sz="4" w:space="0" w:color="auto"/>
              <w:left w:val="single" w:sz="4" w:space="0" w:color="auto"/>
              <w:bottom w:val="single" w:sz="4" w:space="0" w:color="auto"/>
              <w:right w:val="single" w:sz="4" w:space="0" w:color="auto"/>
            </w:tcBorders>
            <w:vAlign w:val="center"/>
            <w:hideMark/>
          </w:tcPr>
          <w:p w14:paraId="2C72E52C" w14:textId="77777777" w:rsidR="004154AB" w:rsidRPr="004154AB" w:rsidRDefault="004154AB" w:rsidP="004154AB">
            <w:pPr>
              <w:rPr>
                <w:rFonts w:ascii="Arial" w:eastAsia="Times New Roman" w:hAnsi="Arial" w:cs="Arial"/>
                <w:b/>
                <w:bCs/>
                <w:color w:val="000000"/>
                <w:sz w:val="14"/>
                <w:szCs w:val="14"/>
                <w:lang w:val="cs-CZ" w:eastAsia="cs-CZ"/>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4ECEA658" w14:textId="77777777" w:rsidR="004154AB" w:rsidRPr="004154AB" w:rsidRDefault="004154AB" w:rsidP="004154AB">
            <w:pPr>
              <w:rPr>
                <w:rFonts w:ascii="Arial" w:eastAsia="Times New Roman" w:hAnsi="Arial" w:cs="Arial"/>
                <w:b/>
                <w:bCs/>
                <w:color w:val="000000"/>
                <w:sz w:val="14"/>
                <w:szCs w:val="14"/>
                <w:lang w:val="cs-CZ" w:eastAsia="cs-CZ"/>
              </w:rPr>
            </w:pPr>
          </w:p>
        </w:tc>
        <w:tc>
          <w:tcPr>
            <w:tcW w:w="835" w:type="dxa"/>
            <w:vMerge/>
            <w:tcBorders>
              <w:top w:val="single" w:sz="4" w:space="0" w:color="auto"/>
              <w:left w:val="single" w:sz="4" w:space="0" w:color="auto"/>
              <w:bottom w:val="single" w:sz="4" w:space="0" w:color="000000"/>
              <w:right w:val="single" w:sz="4" w:space="0" w:color="auto"/>
            </w:tcBorders>
            <w:vAlign w:val="center"/>
            <w:hideMark/>
          </w:tcPr>
          <w:p w14:paraId="68D0643E" w14:textId="77777777" w:rsidR="004154AB" w:rsidRPr="004154AB" w:rsidRDefault="004154AB" w:rsidP="004154AB">
            <w:pPr>
              <w:rPr>
                <w:rFonts w:ascii="Arial" w:eastAsia="Times New Roman" w:hAnsi="Arial" w:cs="Arial"/>
                <w:b/>
                <w:bCs/>
                <w:color w:val="000000"/>
                <w:sz w:val="14"/>
                <w:szCs w:val="14"/>
                <w:lang w:val="cs-CZ" w:eastAsia="cs-CZ"/>
              </w:rPr>
            </w:pPr>
          </w:p>
        </w:tc>
        <w:tc>
          <w:tcPr>
            <w:tcW w:w="7889" w:type="dxa"/>
            <w:gridSpan w:val="11"/>
            <w:tcBorders>
              <w:top w:val="single" w:sz="4" w:space="0" w:color="auto"/>
              <w:left w:val="nil"/>
              <w:bottom w:val="single" w:sz="4" w:space="0" w:color="auto"/>
              <w:right w:val="single" w:sz="4" w:space="0" w:color="auto"/>
            </w:tcBorders>
            <w:shd w:val="clear" w:color="auto" w:fill="auto"/>
            <w:vAlign w:val="center"/>
            <w:hideMark/>
          </w:tcPr>
          <w:p w14:paraId="1DA29C6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945" w:type="dxa"/>
            <w:gridSpan w:val="2"/>
            <w:tcBorders>
              <w:top w:val="nil"/>
              <w:left w:val="nil"/>
              <w:bottom w:val="single" w:sz="4" w:space="0" w:color="auto"/>
              <w:right w:val="single" w:sz="4" w:space="0" w:color="auto"/>
            </w:tcBorders>
            <w:shd w:val="clear" w:color="auto" w:fill="auto"/>
            <w:vAlign w:val="center"/>
            <w:hideMark/>
          </w:tcPr>
          <w:p w14:paraId="0256FB4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940" w:type="dxa"/>
            <w:vMerge/>
            <w:tcBorders>
              <w:top w:val="single" w:sz="4" w:space="0" w:color="auto"/>
              <w:left w:val="single" w:sz="4" w:space="0" w:color="auto"/>
              <w:bottom w:val="single" w:sz="4" w:space="0" w:color="000000"/>
              <w:right w:val="single" w:sz="4" w:space="0" w:color="auto"/>
            </w:tcBorders>
            <w:vAlign w:val="center"/>
            <w:hideMark/>
          </w:tcPr>
          <w:p w14:paraId="5DF1AC4D"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6CCAA654" w14:textId="77777777" w:rsidTr="00B819FC">
        <w:trPr>
          <w:trHeight w:val="20"/>
          <w:tblHeader/>
        </w:trPr>
        <w:tc>
          <w:tcPr>
            <w:tcW w:w="923" w:type="dxa"/>
            <w:vMerge/>
            <w:tcBorders>
              <w:top w:val="single" w:sz="4" w:space="0" w:color="auto"/>
              <w:left w:val="single" w:sz="4" w:space="0" w:color="auto"/>
              <w:bottom w:val="single" w:sz="4" w:space="0" w:color="auto"/>
              <w:right w:val="single" w:sz="4" w:space="0" w:color="auto"/>
            </w:tcBorders>
            <w:vAlign w:val="center"/>
            <w:hideMark/>
          </w:tcPr>
          <w:p w14:paraId="16BABD1E" w14:textId="77777777" w:rsidR="004154AB" w:rsidRPr="004154AB" w:rsidRDefault="004154AB" w:rsidP="004154AB">
            <w:pPr>
              <w:rPr>
                <w:rFonts w:ascii="Arial" w:eastAsia="Times New Roman" w:hAnsi="Arial" w:cs="Arial"/>
                <w:b/>
                <w:bCs/>
                <w:color w:val="000000"/>
                <w:sz w:val="14"/>
                <w:szCs w:val="14"/>
                <w:lang w:val="cs-CZ" w:eastAsia="cs-CZ"/>
              </w:rPr>
            </w:pPr>
          </w:p>
        </w:tc>
        <w:tc>
          <w:tcPr>
            <w:tcW w:w="3359" w:type="dxa"/>
            <w:vMerge/>
            <w:tcBorders>
              <w:top w:val="single" w:sz="4" w:space="0" w:color="auto"/>
              <w:left w:val="single" w:sz="4" w:space="0" w:color="auto"/>
              <w:bottom w:val="single" w:sz="4" w:space="0" w:color="auto"/>
              <w:right w:val="single" w:sz="4" w:space="0" w:color="auto"/>
            </w:tcBorders>
            <w:vAlign w:val="center"/>
            <w:hideMark/>
          </w:tcPr>
          <w:p w14:paraId="14F5DD66" w14:textId="77777777" w:rsidR="004154AB" w:rsidRPr="004154AB" w:rsidRDefault="004154AB" w:rsidP="004154AB">
            <w:pPr>
              <w:rPr>
                <w:rFonts w:ascii="Arial" w:eastAsia="Times New Roman" w:hAnsi="Arial" w:cs="Arial"/>
                <w:b/>
                <w:bCs/>
                <w:color w:val="000000"/>
                <w:sz w:val="14"/>
                <w:szCs w:val="14"/>
                <w:lang w:val="cs-CZ" w:eastAsia="cs-CZ"/>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373B600E" w14:textId="77777777" w:rsidR="004154AB" w:rsidRPr="004154AB" w:rsidRDefault="004154AB" w:rsidP="004154AB">
            <w:pPr>
              <w:rPr>
                <w:rFonts w:ascii="Arial" w:eastAsia="Times New Roman" w:hAnsi="Arial" w:cs="Arial"/>
                <w:b/>
                <w:bCs/>
                <w:color w:val="000000"/>
                <w:sz w:val="14"/>
                <w:szCs w:val="14"/>
                <w:lang w:val="cs-CZ" w:eastAsia="cs-CZ"/>
              </w:rPr>
            </w:pPr>
          </w:p>
        </w:tc>
        <w:tc>
          <w:tcPr>
            <w:tcW w:w="835" w:type="dxa"/>
            <w:vMerge/>
            <w:tcBorders>
              <w:top w:val="single" w:sz="4" w:space="0" w:color="auto"/>
              <w:left w:val="single" w:sz="4" w:space="0" w:color="auto"/>
              <w:bottom w:val="single" w:sz="4" w:space="0" w:color="000000"/>
              <w:right w:val="single" w:sz="4" w:space="0" w:color="auto"/>
            </w:tcBorders>
            <w:vAlign w:val="center"/>
            <w:hideMark/>
          </w:tcPr>
          <w:p w14:paraId="7BE0D64B" w14:textId="77777777" w:rsidR="004154AB" w:rsidRPr="004154AB" w:rsidRDefault="004154AB" w:rsidP="004154AB">
            <w:pPr>
              <w:rPr>
                <w:rFonts w:ascii="Arial" w:eastAsia="Times New Roman" w:hAnsi="Arial" w:cs="Arial"/>
                <w:b/>
                <w:bCs/>
                <w:color w:val="000000"/>
                <w:sz w:val="14"/>
                <w:szCs w:val="14"/>
                <w:lang w:val="cs-CZ" w:eastAsia="cs-CZ"/>
              </w:rPr>
            </w:pPr>
          </w:p>
        </w:tc>
        <w:tc>
          <w:tcPr>
            <w:tcW w:w="788" w:type="dxa"/>
            <w:tcBorders>
              <w:top w:val="nil"/>
              <w:left w:val="nil"/>
              <w:bottom w:val="single" w:sz="4" w:space="0" w:color="auto"/>
              <w:right w:val="single" w:sz="4" w:space="0" w:color="auto"/>
            </w:tcBorders>
            <w:shd w:val="clear" w:color="auto" w:fill="auto"/>
            <w:vAlign w:val="center"/>
            <w:hideMark/>
          </w:tcPr>
          <w:p w14:paraId="7B89F9F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7746BF1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701E7B4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5C6D02A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5D0AA33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7C2569A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4253D7C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2588F31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11E2630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88" w:type="dxa"/>
            <w:tcBorders>
              <w:top w:val="nil"/>
              <w:left w:val="nil"/>
              <w:bottom w:val="single" w:sz="4" w:space="0" w:color="auto"/>
              <w:right w:val="single" w:sz="4" w:space="0" w:color="auto"/>
            </w:tcBorders>
            <w:shd w:val="clear" w:color="auto" w:fill="auto"/>
            <w:vAlign w:val="center"/>
            <w:hideMark/>
          </w:tcPr>
          <w:p w14:paraId="34FD69F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45" w:type="dxa"/>
            <w:gridSpan w:val="2"/>
            <w:tcBorders>
              <w:top w:val="nil"/>
              <w:left w:val="nil"/>
              <w:bottom w:val="single" w:sz="4" w:space="0" w:color="auto"/>
              <w:right w:val="single" w:sz="4" w:space="0" w:color="auto"/>
            </w:tcBorders>
            <w:shd w:val="clear" w:color="auto" w:fill="auto"/>
            <w:vAlign w:val="center"/>
            <w:hideMark/>
          </w:tcPr>
          <w:p w14:paraId="78D8116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40" w:type="dxa"/>
            <w:gridSpan w:val="2"/>
            <w:vMerge/>
            <w:tcBorders>
              <w:top w:val="single" w:sz="4" w:space="0" w:color="auto"/>
              <w:left w:val="single" w:sz="4" w:space="0" w:color="auto"/>
              <w:bottom w:val="single" w:sz="4" w:space="0" w:color="000000"/>
              <w:right w:val="single" w:sz="4" w:space="0" w:color="auto"/>
            </w:tcBorders>
            <w:vAlign w:val="center"/>
            <w:hideMark/>
          </w:tcPr>
          <w:p w14:paraId="1421B933"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21CEF19E" w14:textId="77777777" w:rsidTr="00B819FC">
        <w:trPr>
          <w:trHeight w:val="20"/>
          <w:tblHeader/>
        </w:trPr>
        <w:tc>
          <w:tcPr>
            <w:tcW w:w="923" w:type="dxa"/>
            <w:vMerge/>
            <w:tcBorders>
              <w:top w:val="single" w:sz="4" w:space="0" w:color="auto"/>
              <w:left w:val="single" w:sz="4" w:space="0" w:color="auto"/>
              <w:bottom w:val="single" w:sz="4" w:space="0" w:color="auto"/>
              <w:right w:val="single" w:sz="4" w:space="0" w:color="auto"/>
            </w:tcBorders>
            <w:vAlign w:val="center"/>
            <w:hideMark/>
          </w:tcPr>
          <w:p w14:paraId="355BC553" w14:textId="77777777" w:rsidR="004154AB" w:rsidRPr="004154AB" w:rsidRDefault="004154AB" w:rsidP="004154AB">
            <w:pPr>
              <w:rPr>
                <w:rFonts w:ascii="Arial" w:eastAsia="Times New Roman" w:hAnsi="Arial" w:cs="Arial"/>
                <w:b/>
                <w:bCs/>
                <w:color w:val="000000"/>
                <w:sz w:val="14"/>
                <w:szCs w:val="14"/>
                <w:lang w:val="cs-CZ" w:eastAsia="cs-CZ"/>
              </w:rPr>
            </w:pPr>
          </w:p>
        </w:tc>
        <w:tc>
          <w:tcPr>
            <w:tcW w:w="3359" w:type="dxa"/>
            <w:vMerge/>
            <w:tcBorders>
              <w:top w:val="single" w:sz="4" w:space="0" w:color="auto"/>
              <w:left w:val="single" w:sz="4" w:space="0" w:color="auto"/>
              <w:bottom w:val="single" w:sz="4" w:space="0" w:color="auto"/>
              <w:right w:val="single" w:sz="4" w:space="0" w:color="auto"/>
            </w:tcBorders>
            <w:vAlign w:val="center"/>
            <w:hideMark/>
          </w:tcPr>
          <w:p w14:paraId="1CADCEB5" w14:textId="77777777" w:rsidR="004154AB" w:rsidRPr="004154AB" w:rsidRDefault="004154AB" w:rsidP="004154AB">
            <w:pPr>
              <w:rPr>
                <w:rFonts w:ascii="Arial" w:eastAsia="Times New Roman" w:hAnsi="Arial" w:cs="Arial"/>
                <w:b/>
                <w:bCs/>
                <w:color w:val="000000"/>
                <w:sz w:val="14"/>
                <w:szCs w:val="14"/>
                <w:lang w:val="cs-CZ" w:eastAsia="cs-CZ"/>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52DFA927" w14:textId="77777777" w:rsidR="004154AB" w:rsidRPr="004154AB" w:rsidRDefault="004154AB" w:rsidP="004154AB">
            <w:pPr>
              <w:rPr>
                <w:rFonts w:ascii="Arial" w:eastAsia="Times New Roman" w:hAnsi="Arial" w:cs="Arial"/>
                <w:b/>
                <w:bCs/>
                <w:color w:val="000000"/>
                <w:sz w:val="14"/>
                <w:szCs w:val="14"/>
                <w:lang w:val="cs-CZ" w:eastAsia="cs-CZ"/>
              </w:rPr>
            </w:pPr>
          </w:p>
        </w:tc>
        <w:tc>
          <w:tcPr>
            <w:tcW w:w="835" w:type="dxa"/>
            <w:vMerge/>
            <w:tcBorders>
              <w:top w:val="single" w:sz="4" w:space="0" w:color="auto"/>
              <w:left w:val="single" w:sz="4" w:space="0" w:color="auto"/>
              <w:bottom w:val="single" w:sz="4" w:space="0" w:color="000000"/>
              <w:right w:val="single" w:sz="4" w:space="0" w:color="auto"/>
            </w:tcBorders>
            <w:vAlign w:val="center"/>
            <w:hideMark/>
          </w:tcPr>
          <w:p w14:paraId="69692E3C" w14:textId="77777777" w:rsidR="004154AB" w:rsidRPr="004154AB" w:rsidRDefault="004154AB" w:rsidP="004154AB">
            <w:pPr>
              <w:rPr>
                <w:rFonts w:ascii="Arial" w:eastAsia="Times New Roman" w:hAnsi="Arial" w:cs="Arial"/>
                <w:b/>
                <w:bCs/>
                <w:color w:val="000000"/>
                <w:sz w:val="14"/>
                <w:szCs w:val="14"/>
                <w:lang w:val="cs-CZ" w:eastAsia="cs-CZ"/>
              </w:rPr>
            </w:pPr>
          </w:p>
        </w:tc>
        <w:tc>
          <w:tcPr>
            <w:tcW w:w="788" w:type="dxa"/>
            <w:tcBorders>
              <w:top w:val="nil"/>
              <w:left w:val="nil"/>
              <w:bottom w:val="single" w:sz="4" w:space="0" w:color="auto"/>
              <w:right w:val="single" w:sz="4" w:space="0" w:color="auto"/>
            </w:tcBorders>
            <w:shd w:val="clear" w:color="auto" w:fill="auto"/>
            <w:vAlign w:val="center"/>
            <w:hideMark/>
          </w:tcPr>
          <w:p w14:paraId="031F915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6D16518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0C435D8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0F66C8C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7532170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1DA9FDA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1D74934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1C422F8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3226451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88" w:type="dxa"/>
            <w:tcBorders>
              <w:top w:val="nil"/>
              <w:left w:val="nil"/>
              <w:bottom w:val="single" w:sz="4" w:space="0" w:color="auto"/>
              <w:right w:val="single" w:sz="4" w:space="0" w:color="auto"/>
            </w:tcBorders>
            <w:shd w:val="clear" w:color="auto" w:fill="auto"/>
            <w:vAlign w:val="center"/>
            <w:hideMark/>
          </w:tcPr>
          <w:p w14:paraId="0135E85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45" w:type="dxa"/>
            <w:gridSpan w:val="2"/>
            <w:tcBorders>
              <w:top w:val="nil"/>
              <w:left w:val="nil"/>
              <w:bottom w:val="single" w:sz="4" w:space="0" w:color="auto"/>
              <w:right w:val="single" w:sz="4" w:space="0" w:color="auto"/>
            </w:tcBorders>
            <w:shd w:val="clear" w:color="auto" w:fill="auto"/>
            <w:vAlign w:val="center"/>
            <w:hideMark/>
          </w:tcPr>
          <w:p w14:paraId="0C1F08A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40" w:type="dxa"/>
            <w:gridSpan w:val="2"/>
            <w:vMerge/>
            <w:tcBorders>
              <w:top w:val="single" w:sz="4" w:space="0" w:color="auto"/>
              <w:left w:val="single" w:sz="4" w:space="0" w:color="auto"/>
              <w:bottom w:val="single" w:sz="4" w:space="0" w:color="000000"/>
              <w:right w:val="single" w:sz="4" w:space="0" w:color="auto"/>
            </w:tcBorders>
            <w:vAlign w:val="center"/>
            <w:hideMark/>
          </w:tcPr>
          <w:p w14:paraId="1D9CC219"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70CDBABF" w14:textId="77777777" w:rsidTr="009E49E6">
        <w:trPr>
          <w:trHeight w:val="20"/>
        </w:trPr>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1B1802E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359" w:type="dxa"/>
            <w:vMerge w:val="restart"/>
            <w:tcBorders>
              <w:top w:val="nil"/>
              <w:left w:val="single" w:sz="4" w:space="0" w:color="auto"/>
              <w:bottom w:val="single" w:sz="4" w:space="0" w:color="000000"/>
              <w:right w:val="single" w:sz="4" w:space="0" w:color="auto"/>
            </w:tcBorders>
            <w:shd w:val="clear" w:color="auto" w:fill="auto"/>
            <w:vAlign w:val="center"/>
            <w:hideMark/>
          </w:tcPr>
          <w:p w14:paraId="0333C7C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14:paraId="7483B81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35" w:type="dxa"/>
            <w:vMerge w:val="restart"/>
            <w:tcBorders>
              <w:top w:val="nil"/>
              <w:left w:val="single" w:sz="4" w:space="0" w:color="auto"/>
              <w:bottom w:val="single" w:sz="4" w:space="0" w:color="000000"/>
              <w:right w:val="single" w:sz="4" w:space="0" w:color="auto"/>
            </w:tcBorders>
            <w:shd w:val="clear" w:color="auto" w:fill="auto"/>
            <w:vAlign w:val="center"/>
            <w:hideMark/>
          </w:tcPr>
          <w:p w14:paraId="7C39C1D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237,000</w:t>
            </w:r>
          </w:p>
        </w:tc>
        <w:tc>
          <w:tcPr>
            <w:tcW w:w="788" w:type="dxa"/>
            <w:tcBorders>
              <w:top w:val="nil"/>
              <w:left w:val="nil"/>
              <w:bottom w:val="nil"/>
              <w:right w:val="nil"/>
            </w:tcBorders>
            <w:shd w:val="clear" w:color="auto" w:fill="auto"/>
            <w:vAlign w:val="center"/>
            <w:hideMark/>
          </w:tcPr>
          <w:p w14:paraId="4ECEB49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6AF3E4F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9A2DFB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686C8A1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6FAEA8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03030F4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76E34B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49EA32F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38B22BB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single" w:sz="4" w:space="0" w:color="auto"/>
            </w:tcBorders>
            <w:shd w:val="clear" w:color="auto" w:fill="auto"/>
            <w:vAlign w:val="center"/>
            <w:hideMark/>
          </w:tcPr>
          <w:p w14:paraId="2642BF6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nil"/>
              <w:left w:val="nil"/>
              <w:bottom w:val="nil"/>
              <w:right w:val="single" w:sz="4" w:space="0" w:color="auto"/>
            </w:tcBorders>
            <w:shd w:val="clear" w:color="auto" w:fill="auto"/>
            <w:vAlign w:val="center"/>
            <w:hideMark/>
          </w:tcPr>
          <w:p w14:paraId="69B4A7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204,000</w:t>
            </w:r>
          </w:p>
        </w:tc>
        <w:tc>
          <w:tcPr>
            <w:tcW w:w="94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296732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86,076</w:t>
            </w:r>
          </w:p>
        </w:tc>
      </w:tr>
      <w:tr w:rsidR="004154AB" w:rsidRPr="004154AB" w14:paraId="73CD3039" w14:textId="77777777" w:rsidTr="009E49E6">
        <w:trPr>
          <w:trHeight w:val="20"/>
        </w:trPr>
        <w:tc>
          <w:tcPr>
            <w:tcW w:w="923" w:type="dxa"/>
            <w:vMerge/>
            <w:tcBorders>
              <w:top w:val="nil"/>
              <w:left w:val="single" w:sz="4" w:space="0" w:color="auto"/>
              <w:bottom w:val="single" w:sz="4" w:space="0" w:color="000000"/>
              <w:right w:val="single" w:sz="4" w:space="0" w:color="auto"/>
            </w:tcBorders>
            <w:vAlign w:val="center"/>
            <w:hideMark/>
          </w:tcPr>
          <w:p w14:paraId="1F822813" w14:textId="77777777" w:rsidR="004154AB" w:rsidRPr="004154AB" w:rsidRDefault="004154AB" w:rsidP="004154AB">
            <w:pPr>
              <w:rPr>
                <w:rFonts w:ascii="Arial" w:eastAsia="Times New Roman" w:hAnsi="Arial" w:cs="Arial"/>
                <w:color w:val="000000"/>
                <w:sz w:val="14"/>
                <w:szCs w:val="14"/>
                <w:lang w:val="cs-CZ" w:eastAsia="cs-CZ"/>
              </w:rPr>
            </w:pPr>
          </w:p>
        </w:tc>
        <w:tc>
          <w:tcPr>
            <w:tcW w:w="3359" w:type="dxa"/>
            <w:vMerge/>
            <w:tcBorders>
              <w:top w:val="nil"/>
              <w:left w:val="single" w:sz="4" w:space="0" w:color="auto"/>
              <w:bottom w:val="single" w:sz="4" w:space="0" w:color="000000"/>
              <w:right w:val="single" w:sz="4" w:space="0" w:color="auto"/>
            </w:tcBorders>
            <w:vAlign w:val="center"/>
            <w:hideMark/>
          </w:tcPr>
          <w:p w14:paraId="5F482FF3" w14:textId="77777777" w:rsidR="004154AB" w:rsidRPr="004154AB" w:rsidRDefault="004154AB" w:rsidP="004154AB">
            <w:pPr>
              <w:rPr>
                <w:rFonts w:ascii="Arial" w:eastAsia="Times New Roman" w:hAnsi="Arial" w:cs="Arial"/>
                <w:color w:val="000000"/>
                <w:sz w:val="14"/>
                <w:szCs w:val="14"/>
                <w:lang w:val="cs-CZ" w:eastAsia="cs-CZ"/>
              </w:rPr>
            </w:pPr>
          </w:p>
        </w:tc>
        <w:tc>
          <w:tcPr>
            <w:tcW w:w="997" w:type="dxa"/>
            <w:vMerge/>
            <w:tcBorders>
              <w:top w:val="nil"/>
              <w:left w:val="single" w:sz="4" w:space="0" w:color="auto"/>
              <w:bottom w:val="single" w:sz="4" w:space="0" w:color="000000"/>
              <w:right w:val="single" w:sz="4" w:space="0" w:color="auto"/>
            </w:tcBorders>
            <w:vAlign w:val="center"/>
            <w:hideMark/>
          </w:tcPr>
          <w:p w14:paraId="6F646F51" w14:textId="77777777" w:rsidR="004154AB" w:rsidRPr="004154AB" w:rsidRDefault="004154AB" w:rsidP="004154AB">
            <w:pPr>
              <w:rPr>
                <w:rFonts w:ascii="Arial" w:eastAsia="Times New Roman" w:hAnsi="Arial" w:cs="Arial"/>
                <w:color w:val="000000"/>
                <w:sz w:val="14"/>
                <w:szCs w:val="14"/>
                <w:lang w:val="cs-CZ" w:eastAsia="cs-CZ"/>
              </w:rPr>
            </w:pPr>
          </w:p>
        </w:tc>
        <w:tc>
          <w:tcPr>
            <w:tcW w:w="835" w:type="dxa"/>
            <w:vMerge/>
            <w:tcBorders>
              <w:top w:val="nil"/>
              <w:left w:val="single" w:sz="4" w:space="0" w:color="auto"/>
              <w:bottom w:val="single" w:sz="4" w:space="0" w:color="000000"/>
              <w:right w:val="single" w:sz="4" w:space="0" w:color="auto"/>
            </w:tcBorders>
            <w:vAlign w:val="center"/>
            <w:hideMark/>
          </w:tcPr>
          <w:p w14:paraId="7B0F61CB" w14:textId="77777777" w:rsidR="004154AB" w:rsidRPr="004154AB" w:rsidRDefault="004154AB" w:rsidP="004154AB">
            <w:pPr>
              <w:rPr>
                <w:rFonts w:ascii="Arial" w:eastAsia="Times New Roman" w:hAnsi="Arial" w:cs="Arial"/>
                <w:color w:val="000000"/>
                <w:sz w:val="14"/>
                <w:szCs w:val="14"/>
                <w:lang w:val="cs-CZ" w:eastAsia="cs-CZ"/>
              </w:rPr>
            </w:pP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1827B43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463870A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7E45862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4C37C8A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131983B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4DEBD2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00C3BF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706469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723373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7D0A210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14:paraId="08A2FB6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0" w:type="dxa"/>
            <w:gridSpan w:val="2"/>
            <w:vMerge/>
            <w:tcBorders>
              <w:top w:val="nil"/>
              <w:left w:val="single" w:sz="4" w:space="0" w:color="auto"/>
              <w:bottom w:val="single" w:sz="4" w:space="0" w:color="000000"/>
              <w:right w:val="single" w:sz="4" w:space="0" w:color="auto"/>
            </w:tcBorders>
            <w:vAlign w:val="center"/>
            <w:hideMark/>
          </w:tcPr>
          <w:p w14:paraId="6F92F4FB"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3D732CC" w14:textId="77777777" w:rsidTr="009E49E6">
        <w:trPr>
          <w:trHeight w:val="20"/>
        </w:trPr>
        <w:tc>
          <w:tcPr>
            <w:tcW w:w="923" w:type="dxa"/>
            <w:vMerge/>
            <w:tcBorders>
              <w:top w:val="nil"/>
              <w:left w:val="single" w:sz="4" w:space="0" w:color="auto"/>
              <w:bottom w:val="single" w:sz="4" w:space="0" w:color="000000"/>
              <w:right w:val="single" w:sz="4" w:space="0" w:color="auto"/>
            </w:tcBorders>
            <w:vAlign w:val="center"/>
            <w:hideMark/>
          </w:tcPr>
          <w:p w14:paraId="21C00268" w14:textId="77777777" w:rsidR="004154AB" w:rsidRPr="004154AB" w:rsidRDefault="004154AB" w:rsidP="004154AB">
            <w:pPr>
              <w:rPr>
                <w:rFonts w:ascii="Arial" w:eastAsia="Times New Roman" w:hAnsi="Arial" w:cs="Arial"/>
                <w:color w:val="000000"/>
                <w:sz w:val="14"/>
                <w:szCs w:val="14"/>
                <w:lang w:val="cs-CZ" w:eastAsia="cs-CZ"/>
              </w:rPr>
            </w:pPr>
          </w:p>
        </w:tc>
        <w:tc>
          <w:tcPr>
            <w:tcW w:w="3359" w:type="dxa"/>
            <w:vMerge/>
            <w:tcBorders>
              <w:top w:val="nil"/>
              <w:left w:val="single" w:sz="4" w:space="0" w:color="auto"/>
              <w:bottom w:val="single" w:sz="4" w:space="0" w:color="000000"/>
              <w:right w:val="single" w:sz="4" w:space="0" w:color="auto"/>
            </w:tcBorders>
            <w:vAlign w:val="center"/>
            <w:hideMark/>
          </w:tcPr>
          <w:p w14:paraId="5E290175" w14:textId="77777777" w:rsidR="004154AB" w:rsidRPr="004154AB" w:rsidRDefault="004154AB" w:rsidP="004154AB">
            <w:pPr>
              <w:rPr>
                <w:rFonts w:ascii="Arial" w:eastAsia="Times New Roman" w:hAnsi="Arial" w:cs="Arial"/>
                <w:color w:val="000000"/>
                <w:sz w:val="14"/>
                <w:szCs w:val="14"/>
                <w:lang w:val="cs-CZ" w:eastAsia="cs-CZ"/>
              </w:rPr>
            </w:pPr>
          </w:p>
        </w:tc>
        <w:tc>
          <w:tcPr>
            <w:tcW w:w="997" w:type="dxa"/>
            <w:vMerge/>
            <w:tcBorders>
              <w:top w:val="nil"/>
              <w:left w:val="single" w:sz="4" w:space="0" w:color="auto"/>
              <w:bottom w:val="single" w:sz="4" w:space="0" w:color="000000"/>
              <w:right w:val="single" w:sz="4" w:space="0" w:color="auto"/>
            </w:tcBorders>
            <w:vAlign w:val="center"/>
            <w:hideMark/>
          </w:tcPr>
          <w:p w14:paraId="6629CFC0" w14:textId="77777777" w:rsidR="004154AB" w:rsidRPr="004154AB" w:rsidRDefault="004154AB" w:rsidP="004154AB">
            <w:pPr>
              <w:rPr>
                <w:rFonts w:ascii="Arial" w:eastAsia="Times New Roman" w:hAnsi="Arial" w:cs="Arial"/>
                <w:color w:val="000000"/>
                <w:sz w:val="14"/>
                <w:szCs w:val="14"/>
                <w:lang w:val="cs-CZ" w:eastAsia="cs-CZ"/>
              </w:rPr>
            </w:pPr>
          </w:p>
        </w:tc>
        <w:tc>
          <w:tcPr>
            <w:tcW w:w="835" w:type="dxa"/>
            <w:vMerge/>
            <w:tcBorders>
              <w:top w:val="nil"/>
              <w:left w:val="single" w:sz="4" w:space="0" w:color="auto"/>
              <w:bottom w:val="single" w:sz="4" w:space="0" w:color="000000"/>
              <w:right w:val="single" w:sz="4" w:space="0" w:color="auto"/>
            </w:tcBorders>
            <w:vAlign w:val="center"/>
            <w:hideMark/>
          </w:tcPr>
          <w:p w14:paraId="6D13E851" w14:textId="77777777" w:rsidR="004154AB" w:rsidRPr="004154AB" w:rsidRDefault="004154AB" w:rsidP="004154AB">
            <w:pPr>
              <w:rPr>
                <w:rFonts w:ascii="Arial" w:eastAsia="Times New Roman" w:hAnsi="Arial" w:cs="Arial"/>
                <w:color w:val="000000"/>
                <w:sz w:val="14"/>
                <w:szCs w:val="14"/>
                <w:lang w:val="cs-CZ" w:eastAsia="cs-CZ"/>
              </w:rPr>
            </w:pPr>
          </w:p>
        </w:tc>
        <w:tc>
          <w:tcPr>
            <w:tcW w:w="788" w:type="dxa"/>
            <w:tcBorders>
              <w:top w:val="nil"/>
              <w:left w:val="nil"/>
              <w:bottom w:val="single" w:sz="4" w:space="0" w:color="auto"/>
              <w:right w:val="single" w:sz="4" w:space="0" w:color="auto"/>
            </w:tcBorders>
            <w:shd w:val="clear" w:color="auto" w:fill="auto"/>
            <w:vAlign w:val="center"/>
            <w:hideMark/>
          </w:tcPr>
          <w:p w14:paraId="2FC4570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1A4B54B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6FE2B5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6FD1F5F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64D699A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17D1F5C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6CCEF07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9ECEEC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190725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4D7FB36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nil"/>
              <w:left w:val="nil"/>
              <w:bottom w:val="single" w:sz="4" w:space="0" w:color="auto"/>
              <w:right w:val="single" w:sz="4" w:space="0" w:color="auto"/>
            </w:tcBorders>
            <w:shd w:val="clear" w:color="auto" w:fill="auto"/>
            <w:vAlign w:val="center"/>
            <w:hideMark/>
          </w:tcPr>
          <w:p w14:paraId="3713101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0" w:type="dxa"/>
            <w:gridSpan w:val="2"/>
            <w:vMerge/>
            <w:tcBorders>
              <w:top w:val="nil"/>
              <w:left w:val="single" w:sz="4" w:space="0" w:color="auto"/>
              <w:bottom w:val="single" w:sz="4" w:space="0" w:color="000000"/>
              <w:right w:val="single" w:sz="4" w:space="0" w:color="auto"/>
            </w:tcBorders>
            <w:vAlign w:val="center"/>
            <w:hideMark/>
          </w:tcPr>
          <w:p w14:paraId="715C7A92"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89CB24B" w14:textId="77777777" w:rsidTr="009E49E6">
        <w:trPr>
          <w:trHeight w:val="20"/>
        </w:trPr>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71C4640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359" w:type="dxa"/>
            <w:vMerge w:val="restart"/>
            <w:tcBorders>
              <w:top w:val="nil"/>
              <w:left w:val="single" w:sz="4" w:space="0" w:color="auto"/>
              <w:bottom w:val="single" w:sz="4" w:space="0" w:color="000000"/>
              <w:right w:val="single" w:sz="4" w:space="0" w:color="auto"/>
            </w:tcBorders>
            <w:shd w:val="clear" w:color="auto" w:fill="auto"/>
            <w:vAlign w:val="center"/>
            <w:hideMark/>
          </w:tcPr>
          <w:p w14:paraId="163EF31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14:paraId="0800347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35" w:type="dxa"/>
            <w:vMerge w:val="restart"/>
            <w:tcBorders>
              <w:top w:val="nil"/>
              <w:left w:val="single" w:sz="4" w:space="0" w:color="auto"/>
              <w:bottom w:val="single" w:sz="4" w:space="0" w:color="000000"/>
              <w:right w:val="single" w:sz="4" w:space="0" w:color="auto"/>
            </w:tcBorders>
            <w:shd w:val="clear" w:color="auto" w:fill="auto"/>
            <w:vAlign w:val="center"/>
            <w:hideMark/>
          </w:tcPr>
          <w:p w14:paraId="0AEA5A4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48,000</w:t>
            </w:r>
          </w:p>
        </w:tc>
        <w:tc>
          <w:tcPr>
            <w:tcW w:w="788" w:type="dxa"/>
            <w:tcBorders>
              <w:top w:val="nil"/>
              <w:left w:val="nil"/>
              <w:bottom w:val="nil"/>
              <w:right w:val="nil"/>
            </w:tcBorders>
            <w:shd w:val="clear" w:color="auto" w:fill="auto"/>
            <w:vAlign w:val="center"/>
            <w:hideMark/>
          </w:tcPr>
          <w:p w14:paraId="5B97335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52992B4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591E361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770E988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05FF44E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D02DFC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624FC64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976B51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4A0CF8C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single" w:sz="4" w:space="0" w:color="auto"/>
            </w:tcBorders>
            <w:shd w:val="clear" w:color="auto" w:fill="auto"/>
            <w:vAlign w:val="center"/>
            <w:hideMark/>
          </w:tcPr>
          <w:p w14:paraId="6EB105E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nil"/>
              <w:left w:val="nil"/>
              <w:bottom w:val="nil"/>
              <w:right w:val="single" w:sz="4" w:space="0" w:color="auto"/>
            </w:tcBorders>
            <w:shd w:val="clear" w:color="auto" w:fill="auto"/>
            <w:vAlign w:val="center"/>
            <w:hideMark/>
          </w:tcPr>
          <w:p w14:paraId="183CEC7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15,000</w:t>
            </w:r>
          </w:p>
        </w:tc>
        <w:tc>
          <w:tcPr>
            <w:tcW w:w="94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448D19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31,250</w:t>
            </w:r>
          </w:p>
        </w:tc>
      </w:tr>
      <w:tr w:rsidR="004154AB" w:rsidRPr="004154AB" w14:paraId="57BD7F7C" w14:textId="77777777" w:rsidTr="009E49E6">
        <w:trPr>
          <w:trHeight w:val="20"/>
        </w:trPr>
        <w:tc>
          <w:tcPr>
            <w:tcW w:w="923" w:type="dxa"/>
            <w:vMerge/>
            <w:tcBorders>
              <w:top w:val="nil"/>
              <w:left w:val="single" w:sz="4" w:space="0" w:color="auto"/>
              <w:bottom w:val="single" w:sz="4" w:space="0" w:color="000000"/>
              <w:right w:val="single" w:sz="4" w:space="0" w:color="auto"/>
            </w:tcBorders>
            <w:vAlign w:val="center"/>
            <w:hideMark/>
          </w:tcPr>
          <w:p w14:paraId="1E70C296" w14:textId="77777777" w:rsidR="004154AB" w:rsidRPr="004154AB" w:rsidRDefault="004154AB" w:rsidP="004154AB">
            <w:pPr>
              <w:rPr>
                <w:rFonts w:ascii="Arial" w:eastAsia="Times New Roman" w:hAnsi="Arial" w:cs="Arial"/>
                <w:color w:val="000000"/>
                <w:sz w:val="14"/>
                <w:szCs w:val="14"/>
                <w:lang w:val="cs-CZ" w:eastAsia="cs-CZ"/>
              </w:rPr>
            </w:pPr>
          </w:p>
        </w:tc>
        <w:tc>
          <w:tcPr>
            <w:tcW w:w="3359" w:type="dxa"/>
            <w:vMerge/>
            <w:tcBorders>
              <w:top w:val="nil"/>
              <w:left w:val="single" w:sz="4" w:space="0" w:color="auto"/>
              <w:bottom w:val="single" w:sz="4" w:space="0" w:color="000000"/>
              <w:right w:val="single" w:sz="4" w:space="0" w:color="auto"/>
            </w:tcBorders>
            <w:vAlign w:val="center"/>
            <w:hideMark/>
          </w:tcPr>
          <w:p w14:paraId="66E5B813" w14:textId="77777777" w:rsidR="004154AB" w:rsidRPr="004154AB" w:rsidRDefault="004154AB" w:rsidP="004154AB">
            <w:pPr>
              <w:rPr>
                <w:rFonts w:ascii="Arial" w:eastAsia="Times New Roman" w:hAnsi="Arial" w:cs="Arial"/>
                <w:color w:val="000000"/>
                <w:sz w:val="14"/>
                <w:szCs w:val="14"/>
                <w:lang w:val="cs-CZ" w:eastAsia="cs-CZ"/>
              </w:rPr>
            </w:pPr>
          </w:p>
        </w:tc>
        <w:tc>
          <w:tcPr>
            <w:tcW w:w="997" w:type="dxa"/>
            <w:vMerge/>
            <w:tcBorders>
              <w:top w:val="nil"/>
              <w:left w:val="single" w:sz="4" w:space="0" w:color="auto"/>
              <w:bottom w:val="single" w:sz="4" w:space="0" w:color="000000"/>
              <w:right w:val="single" w:sz="4" w:space="0" w:color="auto"/>
            </w:tcBorders>
            <w:vAlign w:val="center"/>
            <w:hideMark/>
          </w:tcPr>
          <w:p w14:paraId="15D3AAF7" w14:textId="77777777" w:rsidR="004154AB" w:rsidRPr="004154AB" w:rsidRDefault="004154AB" w:rsidP="004154AB">
            <w:pPr>
              <w:rPr>
                <w:rFonts w:ascii="Arial" w:eastAsia="Times New Roman" w:hAnsi="Arial" w:cs="Arial"/>
                <w:color w:val="000000"/>
                <w:sz w:val="14"/>
                <w:szCs w:val="14"/>
                <w:lang w:val="cs-CZ" w:eastAsia="cs-CZ"/>
              </w:rPr>
            </w:pPr>
          </w:p>
        </w:tc>
        <w:tc>
          <w:tcPr>
            <w:tcW w:w="835" w:type="dxa"/>
            <w:vMerge/>
            <w:tcBorders>
              <w:top w:val="nil"/>
              <w:left w:val="single" w:sz="4" w:space="0" w:color="auto"/>
              <w:bottom w:val="single" w:sz="4" w:space="0" w:color="000000"/>
              <w:right w:val="single" w:sz="4" w:space="0" w:color="auto"/>
            </w:tcBorders>
            <w:vAlign w:val="center"/>
            <w:hideMark/>
          </w:tcPr>
          <w:p w14:paraId="74527515" w14:textId="77777777" w:rsidR="004154AB" w:rsidRPr="004154AB" w:rsidRDefault="004154AB" w:rsidP="004154AB">
            <w:pPr>
              <w:rPr>
                <w:rFonts w:ascii="Arial" w:eastAsia="Times New Roman" w:hAnsi="Arial" w:cs="Arial"/>
                <w:color w:val="000000"/>
                <w:sz w:val="14"/>
                <w:szCs w:val="14"/>
                <w:lang w:val="cs-CZ" w:eastAsia="cs-CZ"/>
              </w:rPr>
            </w:pP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1A629F0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47C18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7C7A65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145BA9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6B1307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4107D4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17A3A18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7B77A3F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7DAD76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6185A68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14:paraId="5F52D11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0" w:type="dxa"/>
            <w:gridSpan w:val="2"/>
            <w:vMerge/>
            <w:tcBorders>
              <w:top w:val="nil"/>
              <w:left w:val="single" w:sz="4" w:space="0" w:color="auto"/>
              <w:bottom w:val="single" w:sz="4" w:space="0" w:color="000000"/>
              <w:right w:val="single" w:sz="4" w:space="0" w:color="auto"/>
            </w:tcBorders>
            <w:vAlign w:val="center"/>
            <w:hideMark/>
          </w:tcPr>
          <w:p w14:paraId="072CAB8A"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6F4F637E" w14:textId="77777777" w:rsidTr="009E49E6">
        <w:trPr>
          <w:trHeight w:val="20"/>
        </w:trPr>
        <w:tc>
          <w:tcPr>
            <w:tcW w:w="923" w:type="dxa"/>
            <w:vMerge/>
            <w:tcBorders>
              <w:top w:val="nil"/>
              <w:left w:val="single" w:sz="4" w:space="0" w:color="auto"/>
              <w:bottom w:val="single" w:sz="4" w:space="0" w:color="000000"/>
              <w:right w:val="single" w:sz="4" w:space="0" w:color="auto"/>
            </w:tcBorders>
            <w:vAlign w:val="center"/>
            <w:hideMark/>
          </w:tcPr>
          <w:p w14:paraId="1BD09449" w14:textId="77777777" w:rsidR="004154AB" w:rsidRPr="004154AB" w:rsidRDefault="004154AB" w:rsidP="004154AB">
            <w:pPr>
              <w:rPr>
                <w:rFonts w:ascii="Arial" w:eastAsia="Times New Roman" w:hAnsi="Arial" w:cs="Arial"/>
                <w:color w:val="000000"/>
                <w:sz w:val="14"/>
                <w:szCs w:val="14"/>
                <w:lang w:val="cs-CZ" w:eastAsia="cs-CZ"/>
              </w:rPr>
            </w:pPr>
          </w:p>
        </w:tc>
        <w:tc>
          <w:tcPr>
            <w:tcW w:w="3359" w:type="dxa"/>
            <w:vMerge/>
            <w:tcBorders>
              <w:top w:val="nil"/>
              <w:left w:val="single" w:sz="4" w:space="0" w:color="auto"/>
              <w:bottom w:val="single" w:sz="4" w:space="0" w:color="000000"/>
              <w:right w:val="single" w:sz="4" w:space="0" w:color="auto"/>
            </w:tcBorders>
            <w:vAlign w:val="center"/>
            <w:hideMark/>
          </w:tcPr>
          <w:p w14:paraId="2BD57F00" w14:textId="77777777" w:rsidR="004154AB" w:rsidRPr="004154AB" w:rsidRDefault="004154AB" w:rsidP="004154AB">
            <w:pPr>
              <w:rPr>
                <w:rFonts w:ascii="Arial" w:eastAsia="Times New Roman" w:hAnsi="Arial" w:cs="Arial"/>
                <w:color w:val="000000"/>
                <w:sz w:val="14"/>
                <w:szCs w:val="14"/>
                <w:lang w:val="cs-CZ" w:eastAsia="cs-CZ"/>
              </w:rPr>
            </w:pPr>
          </w:p>
        </w:tc>
        <w:tc>
          <w:tcPr>
            <w:tcW w:w="997" w:type="dxa"/>
            <w:vMerge/>
            <w:tcBorders>
              <w:top w:val="nil"/>
              <w:left w:val="single" w:sz="4" w:space="0" w:color="auto"/>
              <w:bottom w:val="single" w:sz="4" w:space="0" w:color="000000"/>
              <w:right w:val="single" w:sz="4" w:space="0" w:color="auto"/>
            </w:tcBorders>
            <w:vAlign w:val="center"/>
            <w:hideMark/>
          </w:tcPr>
          <w:p w14:paraId="3875EB9B" w14:textId="77777777" w:rsidR="004154AB" w:rsidRPr="004154AB" w:rsidRDefault="004154AB" w:rsidP="004154AB">
            <w:pPr>
              <w:rPr>
                <w:rFonts w:ascii="Arial" w:eastAsia="Times New Roman" w:hAnsi="Arial" w:cs="Arial"/>
                <w:color w:val="000000"/>
                <w:sz w:val="14"/>
                <w:szCs w:val="14"/>
                <w:lang w:val="cs-CZ" w:eastAsia="cs-CZ"/>
              </w:rPr>
            </w:pPr>
          </w:p>
        </w:tc>
        <w:tc>
          <w:tcPr>
            <w:tcW w:w="835" w:type="dxa"/>
            <w:vMerge/>
            <w:tcBorders>
              <w:top w:val="nil"/>
              <w:left w:val="single" w:sz="4" w:space="0" w:color="auto"/>
              <w:bottom w:val="single" w:sz="4" w:space="0" w:color="000000"/>
              <w:right w:val="single" w:sz="4" w:space="0" w:color="auto"/>
            </w:tcBorders>
            <w:vAlign w:val="center"/>
            <w:hideMark/>
          </w:tcPr>
          <w:p w14:paraId="1EDC7386" w14:textId="77777777" w:rsidR="004154AB" w:rsidRPr="004154AB" w:rsidRDefault="004154AB" w:rsidP="004154AB">
            <w:pPr>
              <w:rPr>
                <w:rFonts w:ascii="Arial" w:eastAsia="Times New Roman" w:hAnsi="Arial" w:cs="Arial"/>
                <w:color w:val="000000"/>
                <w:sz w:val="14"/>
                <w:szCs w:val="14"/>
                <w:lang w:val="cs-CZ" w:eastAsia="cs-CZ"/>
              </w:rPr>
            </w:pPr>
          </w:p>
        </w:tc>
        <w:tc>
          <w:tcPr>
            <w:tcW w:w="788" w:type="dxa"/>
            <w:tcBorders>
              <w:top w:val="nil"/>
              <w:left w:val="nil"/>
              <w:bottom w:val="single" w:sz="4" w:space="0" w:color="auto"/>
              <w:right w:val="single" w:sz="4" w:space="0" w:color="auto"/>
            </w:tcBorders>
            <w:shd w:val="clear" w:color="auto" w:fill="auto"/>
            <w:vAlign w:val="center"/>
            <w:hideMark/>
          </w:tcPr>
          <w:p w14:paraId="0A48A9D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20A8152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6B40BC5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2D86CF9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27D5C5B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4F0EE7B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09DCBA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3DDBC4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1C8E1C9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12EC548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nil"/>
              <w:left w:val="nil"/>
              <w:bottom w:val="single" w:sz="4" w:space="0" w:color="auto"/>
              <w:right w:val="single" w:sz="4" w:space="0" w:color="auto"/>
            </w:tcBorders>
            <w:shd w:val="clear" w:color="auto" w:fill="auto"/>
            <w:vAlign w:val="center"/>
            <w:hideMark/>
          </w:tcPr>
          <w:p w14:paraId="0F73A04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0" w:type="dxa"/>
            <w:gridSpan w:val="2"/>
            <w:vMerge/>
            <w:tcBorders>
              <w:top w:val="nil"/>
              <w:left w:val="single" w:sz="4" w:space="0" w:color="auto"/>
              <w:bottom w:val="single" w:sz="4" w:space="0" w:color="000000"/>
              <w:right w:val="single" w:sz="4" w:space="0" w:color="auto"/>
            </w:tcBorders>
            <w:vAlign w:val="center"/>
            <w:hideMark/>
          </w:tcPr>
          <w:p w14:paraId="61D97AF8"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3DCD817C" w14:textId="77777777" w:rsidTr="009E49E6">
        <w:trPr>
          <w:trHeight w:val="20"/>
        </w:trPr>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53A8CC1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359" w:type="dxa"/>
            <w:vMerge w:val="restart"/>
            <w:tcBorders>
              <w:top w:val="nil"/>
              <w:left w:val="single" w:sz="4" w:space="0" w:color="auto"/>
              <w:bottom w:val="single" w:sz="4" w:space="0" w:color="000000"/>
              <w:right w:val="single" w:sz="4" w:space="0" w:color="auto"/>
            </w:tcBorders>
            <w:shd w:val="clear" w:color="auto" w:fill="auto"/>
            <w:vAlign w:val="center"/>
            <w:hideMark/>
          </w:tcPr>
          <w:p w14:paraId="0DAA56D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14:paraId="5AD135D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35" w:type="dxa"/>
            <w:vMerge w:val="restart"/>
            <w:tcBorders>
              <w:top w:val="nil"/>
              <w:left w:val="single" w:sz="4" w:space="0" w:color="auto"/>
              <w:bottom w:val="single" w:sz="4" w:space="0" w:color="000000"/>
              <w:right w:val="single" w:sz="4" w:space="0" w:color="auto"/>
            </w:tcBorders>
            <w:shd w:val="clear" w:color="auto" w:fill="auto"/>
            <w:vAlign w:val="center"/>
            <w:hideMark/>
          </w:tcPr>
          <w:p w14:paraId="270B4F80"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395,000</w:t>
            </w:r>
          </w:p>
        </w:tc>
        <w:tc>
          <w:tcPr>
            <w:tcW w:w="788" w:type="dxa"/>
            <w:tcBorders>
              <w:top w:val="nil"/>
              <w:left w:val="nil"/>
              <w:bottom w:val="nil"/>
              <w:right w:val="nil"/>
            </w:tcBorders>
            <w:shd w:val="clear" w:color="auto" w:fill="auto"/>
            <w:vAlign w:val="center"/>
            <w:hideMark/>
          </w:tcPr>
          <w:p w14:paraId="77F5A58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5DC4FE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0FF2811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654E912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1223DB3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049E8AF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51466E2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15FD16D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961872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single" w:sz="4" w:space="0" w:color="auto"/>
            </w:tcBorders>
            <w:shd w:val="clear" w:color="auto" w:fill="auto"/>
            <w:vAlign w:val="center"/>
            <w:hideMark/>
          </w:tcPr>
          <w:p w14:paraId="1D89B4B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nil"/>
              <w:left w:val="nil"/>
              <w:bottom w:val="nil"/>
              <w:right w:val="single" w:sz="4" w:space="0" w:color="auto"/>
            </w:tcBorders>
            <w:shd w:val="clear" w:color="auto" w:fill="auto"/>
            <w:vAlign w:val="center"/>
            <w:hideMark/>
          </w:tcPr>
          <w:p w14:paraId="46E76F8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105,000</w:t>
            </w:r>
          </w:p>
        </w:tc>
        <w:tc>
          <w:tcPr>
            <w:tcW w:w="94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7AE891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26,582</w:t>
            </w:r>
          </w:p>
        </w:tc>
      </w:tr>
      <w:tr w:rsidR="004154AB" w:rsidRPr="004154AB" w14:paraId="1C7610CC" w14:textId="77777777" w:rsidTr="009E49E6">
        <w:trPr>
          <w:trHeight w:val="20"/>
        </w:trPr>
        <w:tc>
          <w:tcPr>
            <w:tcW w:w="923" w:type="dxa"/>
            <w:vMerge/>
            <w:tcBorders>
              <w:top w:val="nil"/>
              <w:left w:val="single" w:sz="4" w:space="0" w:color="auto"/>
              <w:bottom w:val="single" w:sz="4" w:space="0" w:color="000000"/>
              <w:right w:val="single" w:sz="4" w:space="0" w:color="auto"/>
            </w:tcBorders>
            <w:vAlign w:val="center"/>
            <w:hideMark/>
          </w:tcPr>
          <w:p w14:paraId="0FED34E3" w14:textId="77777777" w:rsidR="004154AB" w:rsidRPr="004154AB" w:rsidRDefault="004154AB" w:rsidP="004154AB">
            <w:pPr>
              <w:rPr>
                <w:rFonts w:ascii="Arial" w:eastAsia="Times New Roman" w:hAnsi="Arial" w:cs="Arial"/>
                <w:color w:val="000000"/>
                <w:sz w:val="14"/>
                <w:szCs w:val="14"/>
                <w:lang w:val="cs-CZ" w:eastAsia="cs-CZ"/>
              </w:rPr>
            </w:pPr>
          </w:p>
        </w:tc>
        <w:tc>
          <w:tcPr>
            <w:tcW w:w="3359" w:type="dxa"/>
            <w:vMerge/>
            <w:tcBorders>
              <w:top w:val="nil"/>
              <w:left w:val="single" w:sz="4" w:space="0" w:color="auto"/>
              <w:bottom w:val="single" w:sz="4" w:space="0" w:color="000000"/>
              <w:right w:val="single" w:sz="4" w:space="0" w:color="auto"/>
            </w:tcBorders>
            <w:vAlign w:val="center"/>
            <w:hideMark/>
          </w:tcPr>
          <w:p w14:paraId="1A129CD8" w14:textId="77777777" w:rsidR="004154AB" w:rsidRPr="004154AB" w:rsidRDefault="004154AB" w:rsidP="004154AB">
            <w:pPr>
              <w:rPr>
                <w:rFonts w:ascii="Arial" w:eastAsia="Times New Roman" w:hAnsi="Arial" w:cs="Arial"/>
                <w:color w:val="000000"/>
                <w:sz w:val="14"/>
                <w:szCs w:val="14"/>
                <w:lang w:val="cs-CZ" w:eastAsia="cs-CZ"/>
              </w:rPr>
            </w:pPr>
          </w:p>
        </w:tc>
        <w:tc>
          <w:tcPr>
            <w:tcW w:w="997" w:type="dxa"/>
            <w:vMerge/>
            <w:tcBorders>
              <w:top w:val="nil"/>
              <w:left w:val="single" w:sz="4" w:space="0" w:color="auto"/>
              <w:bottom w:val="single" w:sz="4" w:space="0" w:color="000000"/>
              <w:right w:val="single" w:sz="4" w:space="0" w:color="auto"/>
            </w:tcBorders>
            <w:vAlign w:val="center"/>
            <w:hideMark/>
          </w:tcPr>
          <w:p w14:paraId="5717BCAB" w14:textId="77777777" w:rsidR="004154AB" w:rsidRPr="004154AB" w:rsidRDefault="004154AB" w:rsidP="004154AB">
            <w:pPr>
              <w:rPr>
                <w:rFonts w:ascii="Arial" w:eastAsia="Times New Roman" w:hAnsi="Arial" w:cs="Arial"/>
                <w:color w:val="000000"/>
                <w:sz w:val="14"/>
                <w:szCs w:val="14"/>
                <w:lang w:val="cs-CZ" w:eastAsia="cs-CZ"/>
              </w:rPr>
            </w:pPr>
          </w:p>
        </w:tc>
        <w:tc>
          <w:tcPr>
            <w:tcW w:w="835" w:type="dxa"/>
            <w:vMerge/>
            <w:tcBorders>
              <w:top w:val="nil"/>
              <w:left w:val="single" w:sz="4" w:space="0" w:color="auto"/>
              <w:bottom w:val="single" w:sz="4" w:space="0" w:color="000000"/>
              <w:right w:val="single" w:sz="4" w:space="0" w:color="auto"/>
            </w:tcBorders>
            <w:vAlign w:val="center"/>
            <w:hideMark/>
          </w:tcPr>
          <w:p w14:paraId="44ADE0C9" w14:textId="77777777" w:rsidR="004154AB" w:rsidRPr="004154AB" w:rsidRDefault="004154AB" w:rsidP="004154AB">
            <w:pPr>
              <w:rPr>
                <w:rFonts w:ascii="Arial" w:eastAsia="Times New Roman" w:hAnsi="Arial" w:cs="Arial"/>
                <w:color w:val="000000"/>
                <w:sz w:val="14"/>
                <w:szCs w:val="14"/>
                <w:lang w:val="cs-CZ" w:eastAsia="cs-CZ"/>
              </w:rPr>
            </w:pP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D9551B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446DADE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EB471F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2B8614A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51D2724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1175F49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7534270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6CCB2FC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49F4001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0B356E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14:paraId="6B18D33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0" w:type="dxa"/>
            <w:gridSpan w:val="2"/>
            <w:vMerge/>
            <w:tcBorders>
              <w:top w:val="nil"/>
              <w:left w:val="single" w:sz="4" w:space="0" w:color="auto"/>
              <w:bottom w:val="single" w:sz="4" w:space="0" w:color="000000"/>
              <w:right w:val="single" w:sz="4" w:space="0" w:color="auto"/>
            </w:tcBorders>
            <w:vAlign w:val="center"/>
            <w:hideMark/>
          </w:tcPr>
          <w:p w14:paraId="326D0C1A"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7DA9F4CB" w14:textId="77777777" w:rsidTr="009E49E6">
        <w:trPr>
          <w:trHeight w:val="20"/>
        </w:trPr>
        <w:tc>
          <w:tcPr>
            <w:tcW w:w="923" w:type="dxa"/>
            <w:vMerge/>
            <w:tcBorders>
              <w:top w:val="nil"/>
              <w:left w:val="single" w:sz="4" w:space="0" w:color="auto"/>
              <w:bottom w:val="single" w:sz="4" w:space="0" w:color="000000"/>
              <w:right w:val="single" w:sz="4" w:space="0" w:color="auto"/>
            </w:tcBorders>
            <w:vAlign w:val="center"/>
            <w:hideMark/>
          </w:tcPr>
          <w:p w14:paraId="786F234B" w14:textId="77777777" w:rsidR="004154AB" w:rsidRPr="004154AB" w:rsidRDefault="004154AB" w:rsidP="004154AB">
            <w:pPr>
              <w:rPr>
                <w:rFonts w:ascii="Arial" w:eastAsia="Times New Roman" w:hAnsi="Arial" w:cs="Arial"/>
                <w:color w:val="000000"/>
                <w:sz w:val="14"/>
                <w:szCs w:val="14"/>
                <w:lang w:val="cs-CZ" w:eastAsia="cs-CZ"/>
              </w:rPr>
            </w:pPr>
          </w:p>
        </w:tc>
        <w:tc>
          <w:tcPr>
            <w:tcW w:w="3359" w:type="dxa"/>
            <w:vMerge/>
            <w:tcBorders>
              <w:top w:val="nil"/>
              <w:left w:val="single" w:sz="4" w:space="0" w:color="auto"/>
              <w:bottom w:val="single" w:sz="4" w:space="0" w:color="000000"/>
              <w:right w:val="single" w:sz="4" w:space="0" w:color="auto"/>
            </w:tcBorders>
            <w:vAlign w:val="center"/>
            <w:hideMark/>
          </w:tcPr>
          <w:p w14:paraId="5AA9F57F" w14:textId="77777777" w:rsidR="004154AB" w:rsidRPr="004154AB" w:rsidRDefault="004154AB" w:rsidP="004154AB">
            <w:pPr>
              <w:rPr>
                <w:rFonts w:ascii="Arial" w:eastAsia="Times New Roman" w:hAnsi="Arial" w:cs="Arial"/>
                <w:color w:val="000000"/>
                <w:sz w:val="14"/>
                <w:szCs w:val="14"/>
                <w:lang w:val="cs-CZ" w:eastAsia="cs-CZ"/>
              </w:rPr>
            </w:pPr>
          </w:p>
        </w:tc>
        <w:tc>
          <w:tcPr>
            <w:tcW w:w="997" w:type="dxa"/>
            <w:vMerge/>
            <w:tcBorders>
              <w:top w:val="nil"/>
              <w:left w:val="single" w:sz="4" w:space="0" w:color="auto"/>
              <w:bottom w:val="single" w:sz="4" w:space="0" w:color="000000"/>
              <w:right w:val="single" w:sz="4" w:space="0" w:color="auto"/>
            </w:tcBorders>
            <w:vAlign w:val="center"/>
            <w:hideMark/>
          </w:tcPr>
          <w:p w14:paraId="453BEFB7" w14:textId="77777777" w:rsidR="004154AB" w:rsidRPr="004154AB" w:rsidRDefault="004154AB" w:rsidP="004154AB">
            <w:pPr>
              <w:rPr>
                <w:rFonts w:ascii="Arial" w:eastAsia="Times New Roman" w:hAnsi="Arial" w:cs="Arial"/>
                <w:color w:val="000000"/>
                <w:sz w:val="14"/>
                <w:szCs w:val="14"/>
                <w:lang w:val="cs-CZ" w:eastAsia="cs-CZ"/>
              </w:rPr>
            </w:pPr>
          </w:p>
        </w:tc>
        <w:tc>
          <w:tcPr>
            <w:tcW w:w="835" w:type="dxa"/>
            <w:vMerge/>
            <w:tcBorders>
              <w:top w:val="nil"/>
              <w:left w:val="single" w:sz="4" w:space="0" w:color="auto"/>
              <w:bottom w:val="single" w:sz="4" w:space="0" w:color="000000"/>
              <w:right w:val="single" w:sz="4" w:space="0" w:color="auto"/>
            </w:tcBorders>
            <w:vAlign w:val="center"/>
            <w:hideMark/>
          </w:tcPr>
          <w:p w14:paraId="27680C82" w14:textId="77777777" w:rsidR="004154AB" w:rsidRPr="004154AB" w:rsidRDefault="004154AB" w:rsidP="004154AB">
            <w:pPr>
              <w:rPr>
                <w:rFonts w:ascii="Arial" w:eastAsia="Times New Roman" w:hAnsi="Arial" w:cs="Arial"/>
                <w:color w:val="000000"/>
                <w:sz w:val="14"/>
                <w:szCs w:val="14"/>
                <w:lang w:val="cs-CZ" w:eastAsia="cs-CZ"/>
              </w:rPr>
            </w:pPr>
          </w:p>
        </w:tc>
        <w:tc>
          <w:tcPr>
            <w:tcW w:w="788" w:type="dxa"/>
            <w:tcBorders>
              <w:top w:val="nil"/>
              <w:left w:val="nil"/>
              <w:bottom w:val="single" w:sz="4" w:space="0" w:color="auto"/>
              <w:right w:val="single" w:sz="4" w:space="0" w:color="auto"/>
            </w:tcBorders>
            <w:shd w:val="clear" w:color="auto" w:fill="auto"/>
            <w:vAlign w:val="center"/>
            <w:hideMark/>
          </w:tcPr>
          <w:p w14:paraId="5DB4A6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6673CF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19A378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44511C9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6C3CCD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5097109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4E64C76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0B4189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6C36E6B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113D127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nil"/>
              <w:left w:val="nil"/>
              <w:bottom w:val="single" w:sz="4" w:space="0" w:color="auto"/>
              <w:right w:val="single" w:sz="4" w:space="0" w:color="auto"/>
            </w:tcBorders>
            <w:shd w:val="clear" w:color="auto" w:fill="auto"/>
            <w:vAlign w:val="center"/>
            <w:hideMark/>
          </w:tcPr>
          <w:p w14:paraId="6EFACE0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0" w:type="dxa"/>
            <w:gridSpan w:val="2"/>
            <w:vMerge/>
            <w:tcBorders>
              <w:top w:val="nil"/>
              <w:left w:val="single" w:sz="4" w:space="0" w:color="auto"/>
              <w:bottom w:val="single" w:sz="4" w:space="0" w:color="000000"/>
              <w:right w:val="single" w:sz="4" w:space="0" w:color="auto"/>
            </w:tcBorders>
            <w:vAlign w:val="center"/>
            <w:hideMark/>
          </w:tcPr>
          <w:p w14:paraId="26BEB81D"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501CF0A6" w14:textId="77777777" w:rsidTr="009E49E6">
        <w:trPr>
          <w:trHeight w:val="20"/>
        </w:trPr>
        <w:tc>
          <w:tcPr>
            <w:tcW w:w="923" w:type="dxa"/>
            <w:vMerge w:val="restart"/>
            <w:tcBorders>
              <w:top w:val="nil"/>
              <w:left w:val="single" w:sz="4" w:space="0" w:color="auto"/>
              <w:bottom w:val="single" w:sz="4" w:space="0" w:color="000000"/>
              <w:right w:val="single" w:sz="4" w:space="0" w:color="auto"/>
            </w:tcBorders>
            <w:shd w:val="clear" w:color="auto" w:fill="auto"/>
            <w:vAlign w:val="center"/>
            <w:hideMark/>
          </w:tcPr>
          <w:p w14:paraId="7C20FBCA"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359" w:type="dxa"/>
            <w:vMerge w:val="restart"/>
            <w:tcBorders>
              <w:top w:val="nil"/>
              <w:left w:val="single" w:sz="4" w:space="0" w:color="auto"/>
              <w:bottom w:val="single" w:sz="4" w:space="0" w:color="000000"/>
              <w:right w:val="single" w:sz="4" w:space="0" w:color="auto"/>
            </w:tcBorders>
            <w:shd w:val="clear" w:color="auto" w:fill="auto"/>
            <w:vAlign w:val="center"/>
            <w:hideMark/>
          </w:tcPr>
          <w:p w14:paraId="186871E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14:paraId="79E5F4E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35" w:type="dxa"/>
            <w:vMerge w:val="restart"/>
            <w:tcBorders>
              <w:top w:val="nil"/>
              <w:left w:val="single" w:sz="4" w:space="0" w:color="auto"/>
              <w:bottom w:val="single" w:sz="4" w:space="0" w:color="000000"/>
              <w:right w:val="single" w:sz="4" w:space="0" w:color="auto"/>
            </w:tcBorders>
            <w:shd w:val="clear" w:color="auto" w:fill="auto"/>
            <w:vAlign w:val="center"/>
            <w:hideMark/>
          </w:tcPr>
          <w:p w14:paraId="05F0D07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80,000</w:t>
            </w:r>
          </w:p>
        </w:tc>
        <w:tc>
          <w:tcPr>
            <w:tcW w:w="788" w:type="dxa"/>
            <w:tcBorders>
              <w:top w:val="nil"/>
              <w:left w:val="nil"/>
              <w:bottom w:val="nil"/>
              <w:right w:val="nil"/>
            </w:tcBorders>
            <w:shd w:val="clear" w:color="auto" w:fill="auto"/>
            <w:vAlign w:val="center"/>
            <w:hideMark/>
          </w:tcPr>
          <w:p w14:paraId="0279D54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16F79DD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346E4E6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06C23FA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65109DA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497D853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6F6C252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2DA66B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nil"/>
            </w:tcBorders>
            <w:shd w:val="clear" w:color="auto" w:fill="auto"/>
            <w:vAlign w:val="center"/>
            <w:hideMark/>
          </w:tcPr>
          <w:p w14:paraId="2FA4609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nil"/>
              <w:right w:val="single" w:sz="4" w:space="0" w:color="auto"/>
            </w:tcBorders>
            <w:shd w:val="clear" w:color="auto" w:fill="auto"/>
            <w:vAlign w:val="center"/>
            <w:hideMark/>
          </w:tcPr>
          <w:p w14:paraId="5019507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nil"/>
              <w:left w:val="nil"/>
              <w:bottom w:val="nil"/>
              <w:right w:val="single" w:sz="4" w:space="0" w:color="auto"/>
            </w:tcBorders>
            <w:shd w:val="clear" w:color="auto" w:fill="auto"/>
            <w:vAlign w:val="center"/>
            <w:hideMark/>
          </w:tcPr>
          <w:p w14:paraId="76311BD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6,000</w:t>
            </w:r>
          </w:p>
        </w:tc>
        <w:tc>
          <w:tcPr>
            <w:tcW w:w="94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505871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7,500</w:t>
            </w:r>
          </w:p>
        </w:tc>
      </w:tr>
      <w:tr w:rsidR="004154AB" w:rsidRPr="004154AB" w14:paraId="593912C2" w14:textId="77777777" w:rsidTr="009E49E6">
        <w:trPr>
          <w:trHeight w:val="20"/>
        </w:trPr>
        <w:tc>
          <w:tcPr>
            <w:tcW w:w="923" w:type="dxa"/>
            <w:vMerge/>
            <w:tcBorders>
              <w:top w:val="nil"/>
              <w:left w:val="single" w:sz="4" w:space="0" w:color="auto"/>
              <w:bottom w:val="single" w:sz="4" w:space="0" w:color="000000"/>
              <w:right w:val="single" w:sz="4" w:space="0" w:color="auto"/>
            </w:tcBorders>
            <w:vAlign w:val="center"/>
            <w:hideMark/>
          </w:tcPr>
          <w:p w14:paraId="0148E1FB" w14:textId="77777777" w:rsidR="004154AB" w:rsidRPr="004154AB" w:rsidRDefault="004154AB" w:rsidP="004154AB">
            <w:pPr>
              <w:rPr>
                <w:rFonts w:ascii="Arial" w:eastAsia="Times New Roman" w:hAnsi="Arial" w:cs="Arial"/>
                <w:color w:val="000000"/>
                <w:sz w:val="14"/>
                <w:szCs w:val="14"/>
                <w:lang w:val="cs-CZ" w:eastAsia="cs-CZ"/>
              </w:rPr>
            </w:pPr>
          </w:p>
        </w:tc>
        <w:tc>
          <w:tcPr>
            <w:tcW w:w="3359" w:type="dxa"/>
            <w:vMerge/>
            <w:tcBorders>
              <w:top w:val="nil"/>
              <w:left w:val="single" w:sz="4" w:space="0" w:color="auto"/>
              <w:bottom w:val="single" w:sz="4" w:space="0" w:color="000000"/>
              <w:right w:val="single" w:sz="4" w:space="0" w:color="auto"/>
            </w:tcBorders>
            <w:vAlign w:val="center"/>
            <w:hideMark/>
          </w:tcPr>
          <w:p w14:paraId="64120D35" w14:textId="77777777" w:rsidR="004154AB" w:rsidRPr="004154AB" w:rsidRDefault="004154AB" w:rsidP="004154AB">
            <w:pPr>
              <w:rPr>
                <w:rFonts w:ascii="Arial" w:eastAsia="Times New Roman" w:hAnsi="Arial" w:cs="Arial"/>
                <w:color w:val="000000"/>
                <w:sz w:val="14"/>
                <w:szCs w:val="14"/>
                <w:lang w:val="cs-CZ" w:eastAsia="cs-CZ"/>
              </w:rPr>
            </w:pPr>
          </w:p>
        </w:tc>
        <w:tc>
          <w:tcPr>
            <w:tcW w:w="997" w:type="dxa"/>
            <w:vMerge/>
            <w:tcBorders>
              <w:top w:val="nil"/>
              <w:left w:val="single" w:sz="4" w:space="0" w:color="auto"/>
              <w:bottom w:val="single" w:sz="4" w:space="0" w:color="000000"/>
              <w:right w:val="single" w:sz="4" w:space="0" w:color="auto"/>
            </w:tcBorders>
            <w:vAlign w:val="center"/>
            <w:hideMark/>
          </w:tcPr>
          <w:p w14:paraId="23919ED8" w14:textId="77777777" w:rsidR="004154AB" w:rsidRPr="004154AB" w:rsidRDefault="004154AB" w:rsidP="004154AB">
            <w:pPr>
              <w:rPr>
                <w:rFonts w:ascii="Arial" w:eastAsia="Times New Roman" w:hAnsi="Arial" w:cs="Arial"/>
                <w:color w:val="000000"/>
                <w:sz w:val="14"/>
                <w:szCs w:val="14"/>
                <w:lang w:val="cs-CZ" w:eastAsia="cs-CZ"/>
              </w:rPr>
            </w:pPr>
          </w:p>
        </w:tc>
        <w:tc>
          <w:tcPr>
            <w:tcW w:w="835" w:type="dxa"/>
            <w:vMerge/>
            <w:tcBorders>
              <w:top w:val="nil"/>
              <w:left w:val="single" w:sz="4" w:space="0" w:color="auto"/>
              <w:bottom w:val="single" w:sz="4" w:space="0" w:color="000000"/>
              <w:right w:val="single" w:sz="4" w:space="0" w:color="auto"/>
            </w:tcBorders>
            <w:vAlign w:val="center"/>
            <w:hideMark/>
          </w:tcPr>
          <w:p w14:paraId="24879BB0" w14:textId="77777777" w:rsidR="004154AB" w:rsidRPr="004154AB" w:rsidRDefault="004154AB" w:rsidP="004154AB">
            <w:pPr>
              <w:rPr>
                <w:rFonts w:ascii="Arial" w:eastAsia="Times New Roman" w:hAnsi="Arial" w:cs="Arial"/>
                <w:color w:val="000000"/>
                <w:sz w:val="14"/>
                <w:szCs w:val="14"/>
                <w:lang w:val="cs-CZ" w:eastAsia="cs-CZ"/>
              </w:rPr>
            </w:pP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16C72E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880B1B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C2F140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7520EFB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B9A2EA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4FBB1D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6E1D59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10CC48A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080B914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single" w:sz="4" w:space="0" w:color="auto"/>
              <w:left w:val="nil"/>
              <w:bottom w:val="single" w:sz="4" w:space="0" w:color="auto"/>
              <w:right w:val="single" w:sz="4" w:space="0" w:color="auto"/>
            </w:tcBorders>
            <w:shd w:val="clear" w:color="auto" w:fill="auto"/>
            <w:vAlign w:val="center"/>
            <w:hideMark/>
          </w:tcPr>
          <w:p w14:paraId="3ED1E2A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14:paraId="14F11CE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0" w:type="dxa"/>
            <w:gridSpan w:val="2"/>
            <w:vMerge/>
            <w:tcBorders>
              <w:top w:val="nil"/>
              <w:left w:val="single" w:sz="4" w:space="0" w:color="auto"/>
              <w:bottom w:val="single" w:sz="4" w:space="0" w:color="000000"/>
              <w:right w:val="single" w:sz="4" w:space="0" w:color="auto"/>
            </w:tcBorders>
            <w:vAlign w:val="center"/>
            <w:hideMark/>
          </w:tcPr>
          <w:p w14:paraId="00EE838B"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F47BAD0" w14:textId="77777777" w:rsidTr="009E49E6">
        <w:trPr>
          <w:trHeight w:val="20"/>
        </w:trPr>
        <w:tc>
          <w:tcPr>
            <w:tcW w:w="923" w:type="dxa"/>
            <w:vMerge/>
            <w:tcBorders>
              <w:top w:val="nil"/>
              <w:left w:val="single" w:sz="4" w:space="0" w:color="auto"/>
              <w:bottom w:val="single" w:sz="4" w:space="0" w:color="000000"/>
              <w:right w:val="single" w:sz="4" w:space="0" w:color="auto"/>
            </w:tcBorders>
            <w:vAlign w:val="center"/>
            <w:hideMark/>
          </w:tcPr>
          <w:p w14:paraId="7D917D35" w14:textId="77777777" w:rsidR="004154AB" w:rsidRPr="004154AB" w:rsidRDefault="004154AB" w:rsidP="004154AB">
            <w:pPr>
              <w:rPr>
                <w:rFonts w:ascii="Arial" w:eastAsia="Times New Roman" w:hAnsi="Arial" w:cs="Arial"/>
                <w:color w:val="000000"/>
                <w:sz w:val="14"/>
                <w:szCs w:val="14"/>
                <w:lang w:val="cs-CZ" w:eastAsia="cs-CZ"/>
              </w:rPr>
            </w:pPr>
          </w:p>
        </w:tc>
        <w:tc>
          <w:tcPr>
            <w:tcW w:w="3359" w:type="dxa"/>
            <w:vMerge/>
            <w:tcBorders>
              <w:top w:val="nil"/>
              <w:left w:val="single" w:sz="4" w:space="0" w:color="auto"/>
              <w:bottom w:val="single" w:sz="4" w:space="0" w:color="000000"/>
              <w:right w:val="single" w:sz="4" w:space="0" w:color="auto"/>
            </w:tcBorders>
            <w:vAlign w:val="center"/>
            <w:hideMark/>
          </w:tcPr>
          <w:p w14:paraId="517D52AA" w14:textId="77777777" w:rsidR="004154AB" w:rsidRPr="004154AB" w:rsidRDefault="004154AB" w:rsidP="004154AB">
            <w:pPr>
              <w:rPr>
                <w:rFonts w:ascii="Arial" w:eastAsia="Times New Roman" w:hAnsi="Arial" w:cs="Arial"/>
                <w:color w:val="000000"/>
                <w:sz w:val="14"/>
                <w:szCs w:val="14"/>
                <w:lang w:val="cs-CZ" w:eastAsia="cs-CZ"/>
              </w:rPr>
            </w:pPr>
          </w:p>
        </w:tc>
        <w:tc>
          <w:tcPr>
            <w:tcW w:w="997" w:type="dxa"/>
            <w:vMerge/>
            <w:tcBorders>
              <w:top w:val="nil"/>
              <w:left w:val="single" w:sz="4" w:space="0" w:color="auto"/>
              <w:bottom w:val="single" w:sz="4" w:space="0" w:color="000000"/>
              <w:right w:val="single" w:sz="4" w:space="0" w:color="auto"/>
            </w:tcBorders>
            <w:vAlign w:val="center"/>
            <w:hideMark/>
          </w:tcPr>
          <w:p w14:paraId="4FD919B3" w14:textId="77777777" w:rsidR="004154AB" w:rsidRPr="004154AB" w:rsidRDefault="004154AB" w:rsidP="004154AB">
            <w:pPr>
              <w:rPr>
                <w:rFonts w:ascii="Arial" w:eastAsia="Times New Roman" w:hAnsi="Arial" w:cs="Arial"/>
                <w:color w:val="000000"/>
                <w:sz w:val="14"/>
                <w:szCs w:val="14"/>
                <w:lang w:val="cs-CZ" w:eastAsia="cs-CZ"/>
              </w:rPr>
            </w:pPr>
          </w:p>
        </w:tc>
        <w:tc>
          <w:tcPr>
            <w:tcW w:w="835" w:type="dxa"/>
            <w:vMerge/>
            <w:tcBorders>
              <w:top w:val="nil"/>
              <w:left w:val="single" w:sz="4" w:space="0" w:color="auto"/>
              <w:bottom w:val="single" w:sz="4" w:space="0" w:color="000000"/>
              <w:right w:val="single" w:sz="4" w:space="0" w:color="auto"/>
            </w:tcBorders>
            <w:vAlign w:val="center"/>
            <w:hideMark/>
          </w:tcPr>
          <w:p w14:paraId="56BBCEFA" w14:textId="77777777" w:rsidR="004154AB" w:rsidRPr="004154AB" w:rsidRDefault="004154AB" w:rsidP="004154AB">
            <w:pPr>
              <w:rPr>
                <w:rFonts w:ascii="Arial" w:eastAsia="Times New Roman" w:hAnsi="Arial" w:cs="Arial"/>
                <w:color w:val="000000"/>
                <w:sz w:val="14"/>
                <w:szCs w:val="14"/>
                <w:lang w:val="cs-CZ" w:eastAsia="cs-CZ"/>
              </w:rPr>
            </w:pPr>
          </w:p>
        </w:tc>
        <w:tc>
          <w:tcPr>
            <w:tcW w:w="788" w:type="dxa"/>
            <w:tcBorders>
              <w:top w:val="nil"/>
              <w:left w:val="nil"/>
              <w:bottom w:val="single" w:sz="4" w:space="0" w:color="auto"/>
              <w:right w:val="single" w:sz="4" w:space="0" w:color="auto"/>
            </w:tcBorders>
            <w:shd w:val="clear" w:color="auto" w:fill="auto"/>
            <w:vAlign w:val="center"/>
            <w:hideMark/>
          </w:tcPr>
          <w:p w14:paraId="7E003CA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6A250D0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2A72486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D51208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2C59342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7532B20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34E4AC0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43A881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327EE57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88" w:type="dxa"/>
            <w:tcBorders>
              <w:top w:val="nil"/>
              <w:left w:val="nil"/>
              <w:bottom w:val="single" w:sz="4" w:space="0" w:color="auto"/>
              <w:right w:val="single" w:sz="4" w:space="0" w:color="auto"/>
            </w:tcBorders>
            <w:shd w:val="clear" w:color="auto" w:fill="auto"/>
            <w:vAlign w:val="center"/>
            <w:hideMark/>
          </w:tcPr>
          <w:p w14:paraId="4936385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5" w:type="dxa"/>
            <w:gridSpan w:val="2"/>
            <w:tcBorders>
              <w:top w:val="nil"/>
              <w:left w:val="nil"/>
              <w:bottom w:val="single" w:sz="4" w:space="0" w:color="auto"/>
              <w:right w:val="single" w:sz="4" w:space="0" w:color="auto"/>
            </w:tcBorders>
            <w:shd w:val="clear" w:color="auto" w:fill="auto"/>
            <w:vAlign w:val="center"/>
            <w:hideMark/>
          </w:tcPr>
          <w:p w14:paraId="401C0BDE" w14:textId="13D5582D"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40" w:type="dxa"/>
            <w:gridSpan w:val="2"/>
            <w:vMerge/>
            <w:tcBorders>
              <w:top w:val="nil"/>
              <w:left w:val="single" w:sz="4" w:space="0" w:color="auto"/>
              <w:bottom w:val="single" w:sz="4" w:space="0" w:color="000000"/>
              <w:right w:val="single" w:sz="4" w:space="0" w:color="auto"/>
            </w:tcBorders>
            <w:vAlign w:val="center"/>
            <w:hideMark/>
          </w:tcPr>
          <w:p w14:paraId="0F000836" w14:textId="77777777" w:rsidR="004154AB" w:rsidRPr="004154AB" w:rsidRDefault="004154AB" w:rsidP="004154AB">
            <w:pPr>
              <w:rPr>
                <w:rFonts w:ascii="Arial" w:eastAsia="Times New Roman" w:hAnsi="Arial" w:cs="Arial"/>
                <w:color w:val="000000"/>
                <w:sz w:val="14"/>
                <w:szCs w:val="14"/>
                <w:lang w:val="cs-CZ" w:eastAsia="cs-CZ"/>
              </w:rPr>
            </w:pPr>
          </w:p>
        </w:tc>
      </w:tr>
    </w:tbl>
    <w:p w14:paraId="1BDD192D" w14:textId="77777777" w:rsidR="000A2518" w:rsidRPr="002F2BE4" w:rsidRDefault="000A2518" w:rsidP="004154AB">
      <w:pPr>
        <w:ind w:right="108"/>
        <w:jc w:val="both"/>
        <w:rPr>
          <w:rFonts w:ascii="Arial" w:eastAsia="Arial" w:hAnsi="Arial" w:cs="Arial"/>
          <w:color w:val="000000"/>
          <w:sz w:val="20"/>
          <w:lang w:val="cs-CZ"/>
        </w:rPr>
      </w:pPr>
    </w:p>
    <w:p w14:paraId="40D87B3D" w14:textId="77777777" w:rsidR="00FD35AB" w:rsidRDefault="00FD35AB" w:rsidP="000A2518">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03.2.65 Strategie komunitně vedeného místního rozvoje</w:t>
      </w:r>
    </w:p>
    <w:tbl>
      <w:tblPr>
        <w:tblW w:w="15772" w:type="dxa"/>
        <w:tblInd w:w="75" w:type="dxa"/>
        <w:tblCellMar>
          <w:left w:w="70" w:type="dxa"/>
          <w:right w:w="70" w:type="dxa"/>
        </w:tblCellMar>
        <w:tblLook w:val="04A0" w:firstRow="1" w:lastRow="0" w:firstColumn="1" w:lastColumn="0" w:noHBand="0" w:noVBand="1"/>
      </w:tblPr>
      <w:tblGrid>
        <w:gridCol w:w="934"/>
        <w:gridCol w:w="2981"/>
        <w:gridCol w:w="890"/>
        <w:gridCol w:w="887"/>
        <w:gridCol w:w="823"/>
        <w:gridCol w:w="823"/>
        <w:gridCol w:w="823"/>
        <w:gridCol w:w="823"/>
        <w:gridCol w:w="823"/>
        <w:gridCol w:w="823"/>
        <w:gridCol w:w="823"/>
        <w:gridCol w:w="823"/>
        <w:gridCol w:w="823"/>
        <w:gridCol w:w="826"/>
        <w:gridCol w:w="1004"/>
        <w:gridCol w:w="843"/>
      </w:tblGrid>
      <w:tr w:rsidR="004154AB" w:rsidRPr="004154AB" w14:paraId="2B56BB79" w14:textId="77777777" w:rsidTr="009E49E6">
        <w:trPr>
          <w:trHeight w:val="20"/>
          <w:tblHeader/>
        </w:trPr>
        <w:tc>
          <w:tcPr>
            <w:tcW w:w="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5EDA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0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0A058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8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83670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1581D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502200D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4386669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161A4A5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09A351F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598B259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4A2E4E6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6D81930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1EF1C7A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3C84814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426011B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7A94E85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A2D87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5521EF99" w14:textId="77777777" w:rsidTr="009E49E6">
        <w:trPr>
          <w:trHeight w:val="2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3962E8EC" w14:textId="77777777" w:rsidR="004154AB" w:rsidRPr="004154AB" w:rsidRDefault="004154AB" w:rsidP="004154AB">
            <w:pPr>
              <w:rPr>
                <w:rFonts w:ascii="Arial" w:eastAsia="Times New Roman" w:hAnsi="Arial" w:cs="Arial"/>
                <w:b/>
                <w:bCs/>
                <w:color w:val="000000"/>
                <w:sz w:val="14"/>
                <w:szCs w:val="14"/>
                <w:lang w:val="cs-CZ" w:eastAsia="cs-CZ"/>
              </w:rPr>
            </w:pPr>
          </w:p>
        </w:tc>
        <w:tc>
          <w:tcPr>
            <w:tcW w:w="3092" w:type="dxa"/>
            <w:vMerge/>
            <w:tcBorders>
              <w:top w:val="single" w:sz="4" w:space="0" w:color="auto"/>
              <w:left w:val="single" w:sz="4" w:space="0" w:color="auto"/>
              <w:bottom w:val="single" w:sz="4" w:space="0" w:color="auto"/>
              <w:right w:val="single" w:sz="4" w:space="0" w:color="auto"/>
            </w:tcBorders>
            <w:vAlign w:val="center"/>
            <w:hideMark/>
          </w:tcPr>
          <w:p w14:paraId="228E8904" w14:textId="77777777" w:rsidR="004154AB" w:rsidRPr="004154AB" w:rsidRDefault="004154AB" w:rsidP="004154AB">
            <w:pPr>
              <w:rPr>
                <w:rFonts w:ascii="Arial" w:eastAsia="Times New Roman" w:hAnsi="Arial" w:cs="Arial"/>
                <w:b/>
                <w:bCs/>
                <w:color w:val="000000"/>
                <w:sz w:val="14"/>
                <w:szCs w:val="14"/>
                <w:lang w:val="cs-CZ" w:eastAsia="cs-CZ"/>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14:paraId="512B2BC7" w14:textId="77777777" w:rsidR="004154AB" w:rsidRPr="004154AB" w:rsidRDefault="004154AB" w:rsidP="004154AB">
            <w:pPr>
              <w:rPr>
                <w:rFonts w:ascii="Arial" w:eastAsia="Times New Roman" w:hAnsi="Arial" w:cs="Arial"/>
                <w:b/>
                <w:bCs/>
                <w:color w:val="000000"/>
                <w:sz w:val="14"/>
                <w:szCs w:val="14"/>
                <w:lang w:val="cs-CZ" w:eastAsia="cs-CZ"/>
              </w:rPr>
            </w:pPr>
          </w:p>
        </w:tc>
        <w:tc>
          <w:tcPr>
            <w:tcW w:w="859" w:type="dxa"/>
            <w:vMerge/>
            <w:tcBorders>
              <w:top w:val="single" w:sz="4" w:space="0" w:color="auto"/>
              <w:left w:val="single" w:sz="4" w:space="0" w:color="auto"/>
              <w:bottom w:val="single" w:sz="4" w:space="0" w:color="000000"/>
              <w:right w:val="single" w:sz="4" w:space="0" w:color="auto"/>
            </w:tcBorders>
            <w:vAlign w:val="center"/>
            <w:hideMark/>
          </w:tcPr>
          <w:p w14:paraId="003B5C85" w14:textId="77777777" w:rsidR="004154AB" w:rsidRPr="004154AB" w:rsidRDefault="004154AB" w:rsidP="004154AB">
            <w:pPr>
              <w:rPr>
                <w:rFonts w:ascii="Arial" w:eastAsia="Times New Roman" w:hAnsi="Arial" w:cs="Arial"/>
                <w:b/>
                <w:bCs/>
                <w:color w:val="000000"/>
                <w:sz w:val="14"/>
                <w:szCs w:val="14"/>
                <w:lang w:val="cs-CZ" w:eastAsia="cs-CZ"/>
              </w:rPr>
            </w:pPr>
          </w:p>
        </w:tc>
        <w:tc>
          <w:tcPr>
            <w:tcW w:w="8433" w:type="dxa"/>
            <w:gridSpan w:val="10"/>
            <w:tcBorders>
              <w:top w:val="single" w:sz="4" w:space="0" w:color="auto"/>
              <w:left w:val="nil"/>
              <w:bottom w:val="single" w:sz="4" w:space="0" w:color="auto"/>
              <w:right w:val="single" w:sz="4" w:space="0" w:color="auto"/>
            </w:tcBorders>
            <w:shd w:val="clear" w:color="auto" w:fill="auto"/>
            <w:vAlign w:val="center"/>
            <w:hideMark/>
          </w:tcPr>
          <w:p w14:paraId="00590B0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843" w:type="dxa"/>
            <w:tcBorders>
              <w:top w:val="nil"/>
              <w:left w:val="nil"/>
              <w:bottom w:val="single" w:sz="4" w:space="0" w:color="auto"/>
              <w:right w:val="single" w:sz="4" w:space="0" w:color="auto"/>
            </w:tcBorders>
            <w:shd w:val="clear" w:color="auto" w:fill="auto"/>
            <w:vAlign w:val="center"/>
            <w:hideMark/>
          </w:tcPr>
          <w:p w14:paraId="73089B3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43" w:type="dxa"/>
            <w:vMerge/>
            <w:tcBorders>
              <w:top w:val="single" w:sz="4" w:space="0" w:color="auto"/>
              <w:left w:val="single" w:sz="4" w:space="0" w:color="auto"/>
              <w:bottom w:val="single" w:sz="4" w:space="0" w:color="000000"/>
              <w:right w:val="single" w:sz="4" w:space="0" w:color="auto"/>
            </w:tcBorders>
            <w:vAlign w:val="center"/>
            <w:hideMark/>
          </w:tcPr>
          <w:p w14:paraId="2C3700AE"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5558E5EB" w14:textId="77777777" w:rsidTr="009E49E6">
        <w:trPr>
          <w:trHeight w:val="2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11F19900" w14:textId="77777777" w:rsidR="004154AB" w:rsidRPr="004154AB" w:rsidRDefault="004154AB" w:rsidP="004154AB">
            <w:pPr>
              <w:rPr>
                <w:rFonts w:ascii="Arial" w:eastAsia="Times New Roman" w:hAnsi="Arial" w:cs="Arial"/>
                <w:b/>
                <w:bCs/>
                <w:color w:val="000000"/>
                <w:sz w:val="14"/>
                <w:szCs w:val="14"/>
                <w:lang w:val="cs-CZ" w:eastAsia="cs-CZ"/>
              </w:rPr>
            </w:pPr>
          </w:p>
        </w:tc>
        <w:tc>
          <w:tcPr>
            <w:tcW w:w="3092" w:type="dxa"/>
            <w:vMerge/>
            <w:tcBorders>
              <w:top w:val="single" w:sz="4" w:space="0" w:color="auto"/>
              <w:left w:val="single" w:sz="4" w:space="0" w:color="auto"/>
              <w:bottom w:val="single" w:sz="4" w:space="0" w:color="auto"/>
              <w:right w:val="single" w:sz="4" w:space="0" w:color="auto"/>
            </w:tcBorders>
            <w:vAlign w:val="center"/>
            <w:hideMark/>
          </w:tcPr>
          <w:p w14:paraId="7C87555C" w14:textId="77777777" w:rsidR="004154AB" w:rsidRPr="004154AB" w:rsidRDefault="004154AB" w:rsidP="004154AB">
            <w:pPr>
              <w:rPr>
                <w:rFonts w:ascii="Arial" w:eastAsia="Times New Roman" w:hAnsi="Arial" w:cs="Arial"/>
                <w:b/>
                <w:bCs/>
                <w:color w:val="000000"/>
                <w:sz w:val="14"/>
                <w:szCs w:val="14"/>
                <w:lang w:val="cs-CZ" w:eastAsia="cs-CZ"/>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14:paraId="6EE2ABBF" w14:textId="77777777" w:rsidR="004154AB" w:rsidRPr="004154AB" w:rsidRDefault="004154AB" w:rsidP="004154AB">
            <w:pPr>
              <w:rPr>
                <w:rFonts w:ascii="Arial" w:eastAsia="Times New Roman" w:hAnsi="Arial" w:cs="Arial"/>
                <w:b/>
                <w:bCs/>
                <w:color w:val="000000"/>
                <w:sz w:val="14"/>
                <w:szCs w:val="14"/>
                <w:lang w:val="cs-CZ" w:eastAsia="cs-CZ"/>
              </w:rPr>
            </w:pPr>
          </w:p>
        </w:tc>
        <w:tc>
          <w:tcPr>
            <w:tcW w:w="859" w:type="dxa"/>
            <w:vMerge/>
            <w:tcBorders>
              <w:top w:val="single" w:sz="4" w:space="0" w:color="auto"/>
              <w:left w:val="single" w:sz="4" w:space="0" w:color="auto"/>
              <w:bottom w:val="single" w:sz="4" w:space="0" w:color="000000"/>
              <w:right w:val="single" w:sz="4" w:space="0" w:color="auto"/>
            </w:tcBorders>
            <w:vAlign w:val="center"/>
            <w:hideMark/>
          </w:tcPr>
          <w:p w14:paraId="08E3AC03" w14:textId="77777777" w:rsidR="004154AB" w:rsidRPr="004154AB" w:rsidRDefault="004154AB" w:rsidP="004154AB">
            <w:pPr>
              <w:rPr>
                <w:rFonts w:ascii="Arial" w:eastAsia="Times New Roman" w:hAnsi="Arial" w:cs="Arial"/>
                <w:b/>
                <w:bCs/>
                <w:color w:val="000000"/>
                <w:sz w:val="14"/>
                <w:szCs w:val="14"/>
                <w:lang w:val="cs-CZ" w:eastAsia="cs-CZ"/>
              </w:rPr>
            </w:pPr>
          </w:p>
        </w:tc>
        <w:tc>
          <w:tcPr>
            <w:tcW w:w="843" w:type="dxa"/>
            <w:tcBorders>
              <w:top w:val="nil"/>
              <w:left w:val="nil"/>
              <w:bottom w:val="single" w:sz="4" w:space="0" w:color="auto"/>
              <w:right w:val="single" w:sz="4" w:space="0" w:color="auto"/>
            </w:tcBorders>
            <w:shd w:val="clear" w:color="auto" w:fill="auto"/>
            <w:vAlign w:val="center"/>
            <w:hideMark/>
          </w:tcPr>
          <w:p w14:paraId="214A98A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45CFF76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5653A42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61CD55A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1D5C515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79AA719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1AD4A40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6AA5188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5AAABC2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6301C89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tcBorders>
              <w:top w:val="nil"/>
              <w:left w:val="nil"/>
              <w:bottom w:val="single" w:sz="4" w:space="0" w:color="auto"/>
              <w:right w:val="single" w:sz="4" w:space="0" w:color="auto"/>
            </w:tcBorders>
            <w:shd w:val="clear" w:color="auto" w:fill="auto"/>
            <w:vAlign w:val="center"/>
            <w:hideMark/>
          </w:tcPr>
          <w:p w14:paraId="567A06B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43" w:type="dxa"/>
            <w:vMerge/>
            <w:tcBorders>
              <w:top w:val="single" w:sz="4" w:space="0" w:color="auto"/>
              <w:left w:val="single" w:sz="4" w:space="0" w:color="auto"/>
              <w:bottom w:val="single" w:sz="4" w:space="0" w:color="000000"/>
              <w:right w:val="single" w:sz="4" w:space="0" w:color="auto"/>
            </w:tcBorders>
            <w:vAlign w:val="center"/>
            <w:hideMark/>
          </w:tcPr>
          <w:p w14:paraId="225FEECD"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48F0C3F2" w14:textId="77777777" w:rsidTr="009E49E6">
        <w:trPr>
          <w:trHeight w:val="2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4E795218" w14:textId="77777777" w:rsidR="004154AB" w:rsidRPr="004154AB" w:rsidRDefault="004154AB" w:rsidP="004154AB">
            <w:pPr>
              <w:rPr>
                <w:rFonts w:ascii="Arial" w:eastAsia="Times New Roman" w:hAnsi="Arial" w:cs="Arial"/>
                <w:b/>
                <w:bCs/>
                <w:color w:val="000000"/>
                <w:sz w:val="14"/>
                <w:szCs w:val="14"/>
                <w:lang w:val="cs-CZ" w:eastAsia="cs-CZ"/>
              </w:rPr>
            </w:pPr>
          </w:p>
        </w:tc>
        <w:tc>
          <w:tcPr>
            <w:tcW w:w="3092" w:type="dxa"/>
            <w:vMerge/>
            <w:tcBorders>
              <w:top w:val="single" w:sz="4" w:space="0" w:color="auto"/>
              <w:left w:val="single" w:sz="4" w:space="0" w:color="auto"/>
              <w:bottom w:val="single" w:sz="4" w:space="0" w:color="auto"/>
              <w:right w:val="single" w:sz="4" w:space="0" w:color="auto"/>
            </w:tcBorders>
            <w:vAlign w:val="center"/>
            <w:hideMark/>
          </w:tcPr>
          <w:p w14:paraId="1F4F47E0" w14:textId="77777777" w:rsidR="004154AB" w:rsidRPr="004154AB" w:rsidRDefault="004154AB" w:rsidP="004154AB">
            <w:pPr>
              <w:rPr>
                <w:rFonts w:ascii="Arial" w:eastAsia="Times New Roman" w:hAnsi="Arial" w:cs="Arial"/>
                <w:b/>
                <w:bCs/>
                <w:color w:val="000000"/>
                <w:sz w:val="14"/>
                <w:szCs w:val="14"/>
                <w:lang w:val="cs-CZ" w:eastAsia="cs-CZ"/>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14:paraId="3F851818" w14:textId="77777777" w:rsidR="004154AB" w:rsidRPr="004154AB" w:rsidRDefault="004154AB" w:rsidP="004154AB">
            <w:pPr>
              <w:rPr>
                <w:rFonts w:ascii="Arial" w:eastAsia="Times New Roman" w:hAnsi="Arial" w:cs="Arial"/>
                <w:b/>
                <w:bCs/>
                <w:color w:val="000000"/>
                <w:sz w:val="14"/>
                <w:szCs w:val="14"/>
                <w:lang w:val="cs-CZ" w:eastAsia="cs-CZ"/>
              </w:rPr>
            </w:pPr>
          </w:p>
        </w:tc>
        <w:tc>
          <w:tcPr>
            <w:tcW w:w="859" w:type="dxa"/>
            <w:vMerge/>
            <w:tcBorders>
              <w:top w:val="single" w:sz="4" w:space="0" w:color="auto"/>
              <w:left w:val="single" w:sz="4" w:space="0" w:color="auto"/>
              <w:bottom w:val="single" w:sz="4" w:space="0" w:color="000000"/>
              <w:right w:val="single" w:sz="4" w:space="0" w:color="auto"/>
            </w:tcBorders>
            <w:vAlign w:val="center"/>
            <w:hideMark/>
          </w:tcPr>
          <w:p w14:paraId="6FFA21A4" w14:textId="77777777" w:rsidR="004154AB" w:rsidRPr="004154AB" w:rsidRDefault="004154AB" w:rsidP="004154AB">
            <w:pPr>
              <w:rPr>
                <w:rFonts w:ascii="Arial" w:eastAsia="Times New Roman" w:hAnsi="Arial" w:cs="Arial"/>
                <w:b/>
                <w:bCs/>
                <w:color w:val="000000"/>
                <w:sz w:val="14"/>
                <w:szCs w:val="14"/>
                <w:lang w:val="cs-CZ" w:eastAsia="cs-CZ"/>
              </w:rPr>
            </w:pPr>
          </w:p>
        </w:tc>
        <w:tc>
          <w:tcPr>
            <w:tcW w:w="843" w:type="dxa"/>
            <w:tcBorders>
              <w:top w:val="nil"/>
              <w:left w:val="nil"/>
              <w:bottom w:val="single" w:sz="4" w:space="0" w:color="auto"/>
              <w:right w:val="single" w:sz="4" w:space="0" w:color="auto"/>
            </w:tcBorders>
            <w:shd w:val="clear" w:color="auto" w:fill="auto"/>
            <w:vAlign w:val="center"/>
            <w:hideMark/>
          </w:tcPr>
          <w:p w14:paraId="69E9710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3BA1513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36B6602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0D92E36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572B95B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3E1BE53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4F34AD3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32E51E9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1AD2A4D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1E0B028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tcBorders>
              <w:top w:val="nil"/>
              <w:left w:val="nil"/>
              <w:bottom w:val="single" w:sz="4" w:space="0" w:color="auto"/>
              <w:right w:val="single" w:sz="4" w:space="0" w:color="auto"/>
            </w:tcBorders>
            <w:shd w:val="clear" w:color="auto" w:fill="auto"/>
            <w:vAlign w:val="center"/>
            <w:hideMark/>
          </w:tcPr>
          <w:p w14:paraId="276DE6B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43" w:type="dxa"/>
            <w:vMerge/>
            <w:tcBorders>
              <w:top w:val="single" w:sz="4" w:space="0" w:color="auto"/>
              <w:left w:val="single" w:sz="4" w:space="0" w:color="auto"/>
              <w:bottom w:val="single" w:sz="4" w:space="0" w:color="000000"/>
              <w:right w:val="single" w:sz="4" w:space="0" w:color="auto"/>
            </w:tcBorders>
            <w:vAlign w:val="center"/>
            <w:hideMark/>
          </w:tcPr>
          <w:p w14:paraId="3E39C2BE"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23020137" w14:textId="77777777" w:rsidTr="009E49E6">
        <w:trPr>
          <w:trHeight w:val="20"/>
        </w:trPr>
        <w:tc>
          <w:tcPr>
            <w:tcW w:w="810" w:type="dxa"/>
            <w:vMerge w:val="restart"/>
            <w:tcBorders>
              <w:top w:val="nil"/>
              <w:left w:val="single" w:sz="4" w:space="0" w:color="auto"/>
              <w:bottom w:val="single" w:sz="4" w:space="0" w:color="000000"/>
              <w:right w:val="single" w:sz="4" w:space="0" w:color="auto"/>
            </w:tcBorders>
            <w:shd w:val="clear" w:color="auto" w:fill="auto"/>
            <w:vAlign w:val="center"/>
            <w:hideMark/>
          </w:tcPr>
          <w:p w14:paraId="5799FB5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092" w:type="dxa"/>
            <w:vMerge w:val="restart"/>
            <w:tcBorders>
              <w:top w:val="nil"/>
              <w:left w:val="single" w:sz="4" w:space="0" w:color="auto"/>
              <w:bottom w:val="single" w:sz="4" w:space="0" w:color="000000"/>
              <w:right w:val="single" w:sz="4" w:space="0" w:color="auto"/>
            </w:tcBorders>
            <w:shd w:val="clear" w:color="auto" w:fill="auto"/>
            <w:vAlign w:val="center"/>
            <w:hideMark/>
          </w:tcPr>
          <w:p w14:paraId="494C566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14:paraId="109B9BC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59" w:type="dxa"/>
            <w:vMerge w:val="restart"/>
            <w:tcBorders>
              <w:top w:val="nil"/>
              <w:left w:val="single" w:sz="4" w:space="0" w:color="auto"/>
              <w:bottom w:val="single" w:sz="4" w:space="0" w:color="000000"/>
              <w:right w:val="single" w:sz="4" w:space="0" w:color="auto"/>
            </w:tcBorders>
            <w:shd w:val="clear" w:color="auto" w:fill="auto"/>
            <w:vAlign w:val="center"/>
            <w:hideMark/>
          </w:tcPr>
          <w:p w14:paraId="3CB45D3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88,000</w:t>
            </w:r>
          </w:p>
        </w:tc>
        <w:tc>
          <w:tcPr>
            <w:tcW w:w="8433" w:type="dxa"/>
            <w:gridSpan w:val="10"/>
            <w:tcBorders>
              <w:top w:val="single" w:sz="4" w:space="0" w:color="auto"/>
              <w:left w:val="nil"/>
              <w:bottom w:val="single" w:sz="4" w:space="0" w:color="auto"/>
              <w:right w:val="single" w:sz="4" w:space="0" w:color="000000"/>
            </w:tcBorders>
            <w:shd w:val="clear" w:color="auto" w:fill="auto"/>
            <w:vAlign w:val="center"/>
            <w:hideMark/>
          </w:tcPr>
          <w:p w14:paraId="6E68CFB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nil"/>
              <w:right w:val="single" w:sz="4" w:space="0" w:color="auto"/>
            </w:tcBorders>
            <w:shd w:val="clear" w:color="auto" w:fill="auto"/>
            <w:vAlign w:val="center"/>
            <w:hideMark/>
          </w:tcPr>
          <w:p w14:paraId="45F6477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298,000</w:t>
            </w:r>
          </w:p>
        </w:tc>
        <w:tc>
          <w:tcPr>
            <w:tcW w:w="843" w:type="dxa"/>
            <w:vMerge w:val="restart"/>
            <w:tcBorders>
              <w:top w:val="nil"/>
              <w:left w:val="single" w:sz="4" w:space="0" w:color="auto"/>
              <w:bottom w:val="single" w:sz="4" w:space="0" w:color="000000"/>
              <w:right w:val="single" w:sz="4" w:space="0" w:color="auto"/>
            </w:tcBorders>
            <w:shd w:val="clear" w:color="auto" w:fill="auto"/>
            <w:vAlign w:val="center"/>
            <w:hideMark/>
          </w:tcPr>
          <w:p w14:paraId="141FCCD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338,636</w:t>
            </w:r>
          </w:p>
        </w:tc>
      </w:tr>
      <w:tr w:rsidR="004154AB" w:rsidRPr="004154AB" w14:paraId="5986BA57" w14:textId="77777777" w:rsidTr="009E49E6">
        <w:trPr>
          <w:trHeight w:val="20"/>
        </w:trPr>
        <w:tc>
          <w:tcPr>
            <w:tcW w:w="810" w:type="dxa"/>
            <w:vMerge/>
            <w:tcBorders>
              <w:top w:val="nil"/>
              <w:left w:val="single" w:sz="4" w:space="0" w:color="auto"/>
              <w:bottom w:val="single" w:sz="4" w:space="0" w:color="000000"/>
              <w:right w:val="single" w:sz="4" w:space="0" w:color="auto"/>
            </w:tcBorders>
            <w:vAlign w:val="center"/>
            <w:hideMark/>
          </w:tcPr>
          <w:p w14:paraId="1EF55BCC" w14:textId="77777777" w:rsidR="004154AB" w:rsidRPr="004154AB" w:rsidRDefault="004154AB" w:rsidP="004154AB">
            <w:pPr>
              <w:rPr>
                <w:rFonts w:ascii="Arial" w:eastAsia="Times New Roman" w:hAnsi="Arial" w:cs="Arial"/>
                <w:color w:val="000000"/>
                <w:sz w:val="14"/>
                <w:szCs w:val="14"/>
                <w:lang w:val="cs-CZ" w:eastAsia="cs-CZ"/>
              </w:rPr>
            </w:pPr>
          </w:p>
        </w:tc>
        <w:tc>
          <w:tcPr>
            <w:tcW w:w="3092" w:type="dxa"/>
            <w:vMerge/>
            <w:tcBorders>
              <w:top w:val="nil"/>
              <w:left w:val="single" w:sz="4" w:space="0" w:color="auto"/>
              <w:bottom w:val="single" w:sz="4" w:space="0" w:color="000000"/>
              <w:right w:val="single" w:sz="4" w:space="0" w:color="auto"/>
            </w:tcBorders>
            <w:vAlign w:val="center"/>
            <w:hideMark/>
          </w:tcPr>
          <w:p w14:paraId="45CF5928"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3E9C2847" w14:textId="77777777" w:rsidR="004154AB" w:rsidRPr="004154AB" w:rsidRDefault="004154AB" w:rsidP="004154AB">
            <w:pPr>
              <w:rPr>
                <w:rFonts w:ascii="Arial" w:eastAsia="Times New Roman" w:hAnsi="Arial" w:cs="Arial"/>
                <w:color w:val="000000"/>
                <w:sz w:val="14"/>
                <w:szCs w:val="14"/>
                <w:lang w:val="cs-CZ" w:eastAsia="cs-CZ"/>
              </w:rPr>
            </w:pPr>
          </w:p>
        </w:tc>
        <w:tc>
          <w:tcPr>
            <w:tcW w:w="859" w:type="dxa"/>
            <w:vMerge/>
            <w:tcBorders>
              <w:top w:val="nil"/>
              <w:left w:val="single" w:sz="4" w:space="0" w:color="auto"/>
              <w:bottom w:val="single" w:sz="4" w:space="0" w:color="000000"/>
              <w:right w:val="single" w:sz="4" w:space="0" w:color="auto"/>
            </w:tcBorders>
            <w:vAlign w:val="center"/>
            <w:hideMark/>
          </w:tcPr>
          <w:p w14:paraId="07C1EFFB" w14:textId="77777777" w:rsidR="004154AB" w:rsidRPr="004154AB" w:rsidRDefault="004154AB" w:rsidP="004154AB">
            <w:pPr>
              <w:rPr>
                <w:rFonts w:ascii="Arial" w:eastAsia="Times New Roman" w:hAnsi="Arial" w:cs="Arial"/>
                <w:color w:val="000000"/>
                <w:sz w:val="14"/>
                <w:szCs w:val="14"/>
                <w:lang w:val="cs-CZ" w:eastAsia="cs-CZ"/>
              </w:rPr>
            </w:pPr>
          </w:p>
        </w:tc>
        <w:tc>
          <w:tcPr>
            <w:tcW w:w="843" w:type="dxa"/>
            <w:tcBorders>
              <w:top w:val="nil"/>
              <w:left w:val="nil"/>
              <w:bottom w:val="single" w:sz="4" w:space="0" w:color="auto"/>
              <w:right w:val="single" w:sz="4" w:space="0" w:color="auto"/>
            </w:tcBorders>
            <w:shd w:val="clear" w:color="auto" w:fill="auto"/>
            <w:vAlign w:val="center"/>
            <w:hideMark/>
          </w:tcPr>
          <w:p w14:paraId="36202EE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0BB408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4BD5D2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3FABF4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42C89C0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2516486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62E56AE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64393B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39876F6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BC8E58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05197D1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vMerge/>
            <w:tcBorders>
              <w:top w:val="nil"/>
              <w:left w:val="single" w:sz="4" w:space="0" w:color="auto"/>
              <w:bottom w:val="single" w:sz="4" w:space="0" w:color="000000"/>
              <w:right w:val="single" w:sz="4" w:space="0" w:color="auto"/>
            </w:tcBorders>
            <w:vAlign w:val="center"/>
            <w:hideMark/>
          </w:tcPr>
          <w:p w14:paraId="3DE01B5E"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D0F1501" w14:textId="77777777" w:rsidTr="009E49E6">
        <w:trPr>
          <w:trHeight w:val="20"/>
        </w:trPr>
        <w:tc>
          <w:tcPr>
            <w:tcW w:w="810" w:type="dxa"/>
            <w:vMerge/>
            <w:tcBorders>
              <w:top w:val="nil"/>
              <w:left w:val="single" w:sz="4" w:space="0" w:color="auto"/>
              <w:bottom w:val="single" w:sz="4" w:space="0" w:color="000000"/>
              <w:right w:val="single" w:sz="4" w:space="0" w:color="auto"/>
            </w:tcBorders>
            <w:vAlign w:val="center"/>
            <w:hideMark/>
          </w:tcPr>
          <w:p w14:paraId="20A7899A" w14:textId="77777777" w:rsidR="004154AB" w:rsidRPr="004154AB" w:rsidRDefault="004154AB" w:rsidP="004154AB">
            <w:pPr>
              <w:rPr>
                <w:rFonts w:ascii="Arial" w:eastAsia="Times New Roman" w:hAnsi="Arial" w:cs="Arial"/>
                <w:color w:val="000000"/>
                <w:sz w:val="14"/>
                <w:szCs w:val="14"/>
                <w:lang w:val="cs-CZ" w:eastAsia="cs-CZ"/>
              </w:rPr>
            </w:pPr>
          </w:p>
        </w:tc>
        <w:tc>
          <w:tcPr>
            <w:tcW w:w="3092" w:type="dxa"/>
            <w:vMerge/>
            <w:tcBorders>
              <w:top w:val="nil"/>
              <w:left w:val="single" w:sz="4" w:space="0" w:color="auto"/>
              <w:bottom w:val="single" w:sz="4" w:space="0" w:color="000000"/>
              <w:right w:val="single" w:sz="4" w:space="0" w:color="auto"/>
            </w:tcBorders>
            <w:vAlign w:val="center"/>
            <w:hideMark/>
          </w:tcPr>
          <w:p w14:paraId="5656A54C"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551031F8" w14:textId="77777777" w:rsidR="004154AB" w:rsidRPr="004154AB" w:rsidRDefault="004154AB" w:rsidP="004154AB">
            <w:pPr>
              <w:rPr>
                <w:rFonts w:ascii="Arial" w:eastAsia="Times New Roman" w:hAnsi="Arial" w:cs="Arial"/>
                <w:color w:val="000000"/>
                <w:sz w:val="14"/>
                <w:szCs w:val="14"/>
                <w:lang w:val="cs-CZ" w:eastAsia="cs-CZ"/>
              </w:rPr>
            </w:pPr>
          </w:p>
        </w:tc>
        <w:tc>
          <w:tcPr>
            <w:tcW w:w="859" w:type="dxa"/>
            <w:vMerge/>
            <w:tcBorders>
              <w:top w:val="nil"/>
              <w:left w:val="single" w:sz="4" w:space="0" w:color="auto"/>
              <w:bottom w:val="single" w:sz="4" w:space="0" w:color="000000"/>
              <w:right w:val="single" w:sz="4" w:space="0" w:color="auto"/>
            </w:tcBorders>
            <w:vAlign w:val="center"/>
            <w:hideMark/>
          </w:tcPr>
          <w:p w14:paraId="6959DD5E" w14:textId="77777777" w:rsidR="004154AB" w:rsidRPr="004154AB" w:rsidRDefault="004154AB" w:rsidP="004154AB">
            <w:pPr>
              <w:rPr>
                <w:rFonts w:ascii="Arial" w:eastAsia="Times New Roman" w:hAnsi="Arial" w:cs="Arial"/>
                <w:color w:val="000000"/>
                <w:sz w:val="14"/>
                <w:szCs w:val="14"/>
                <w:lang w:val="cs-CZ" w:eastAsia="cs-CZ"/>
              </w:rPr>
            </w:pPr>
          </w:p>
        </w:tc>
        <w:tc>
          <w:tcPr>
            <w:tcW w:w="843" w:type="dxa"/>
            <w:tcBorders>
              <w:top w:val="nil"/>
              <w:left w:val="nil"/>
              <w:bottom w:val="single" w:sz="4" w:space="0" w:color="auto"/>
              <w:right w:val="single" w:sz="4" w:space="0" w:color="auto"/>
            </w:tcBorders>
            <w:shd w:val="clear" w:color="auto" w:fill="auto"/>
            <w:vAlign w:val="center"/>
            <w:hideMark/>
          </w:tcPr>
          <w:p w14:paraId="378E5D0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6B93B56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CA209E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0F63B23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7EB9087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B870D0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270AD3B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656963C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725C80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F76616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B833EC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vMerge/>
            <w:tcBorders>
              <w:top w:val="nil"/>
              <w:left w:val="single" w:sz="4" w:space="0" w:color="auto"/>
              <w:bottom w:val="single" w:sz="4" w:space="0" w:color="000000"/>
              <w:right w:val="single" w:sz="4" w:space="0" w:color="auto"/>
            </w:tcBorders>
            <w:vAlign w:val="center"/>
            <w:hideMark/>
          </w:tcPr>
          <w:p w14:paraId="150C1F07"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DDC520C" w14:textId="77777777" w:rsidTr="009E49E6">
        <w:trPr>
          <w:trHeight w:val="20"/>
        </w:trPr>
        <w:tc>
          <w:tcPr>
            <w:tcW w:w="810" w:type="dxa"/>
            <w:vMerge w:val="restart"/>
            <w:tcBorders>
              <w:top w:val="nil"/>
              <w:left w:val="single" w:sz="4" w:space="0" w:color="auto"/>
              <w:bottom w:val="single" w:sz="4" w:space="0" w:color="000000"/>
              <w:right w:val="single" w:sz="4" w:space="0" w:color="auto"/>
            </w:tcBorders>
            <w:shd w:val="clear" w:color="auto" w:fill="auto"/>
            <w:vAlign w:val="center"/>
            <w:hideMark/>
          </w:tcPr>
          <w:p w14:paraId="16A58974"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092" w:type="dxa"/>
            <w:vMerge w:val="restart"/>
            <w:tcBorders>
              <w:top w:val="nil"/>
              <w:left w:val="single" w:sz="4" w:space="0" w:color="auto"/>
              <w:bottom w:val="single" w:sz="4" w:space="0" w:color="000000"/>
              <w:right w:val="single" w:sz="4" w:space="0" w:color="auto"/>
            </w:tcBorders>
            <w:shd w:val="clear" w:color="auto" w:fill="auto"/>
            <w:vAlign w:val="center"/>
            <w:hideMark/>
          </w:tcPr>
          <w:p w14:paraId="6796E28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14:paraId="227E635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59" w:type="dxa"/>
            <w:vMerge w:val="restart"/>
            <w:tcBorders>
              <w:top w:val="nil"/>
              <w:left w:val="single" w:sz="4" w:space="0" w:color="auto"/>
              <w:bottom w:val="single" w:sz="4" w:space="0" w:color="000000"/>
              <w:right w:val="single" w:sz="4" w:space="0" w:color="auto"/>
            </w:tcBorders>
            <w:shd w:val="clear" w:color="auto" w:fill="auto"/>
            <w:vAlign w:val="center"/>
            <w:hideMark/>
          </w:tcPr>
          <w:p w14:paraId="65B6B15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326,000</w:t>
            </w:r>
          </w:p>
        </w:tc>
        <w:tc>
          <w:tcPr>
            <w:tcW w:w="8433" w:type="dxa"/>
            <w:gridSpan w:val="10"/>
            <w:tcBorders>
              <w:top w:val="single" w:sz="4" w:space="0" w:color="auto"/>
              <w:left w:val="nil"/>
              <w:bottom w:val="single" w:sz="4" w:space="0" w:color="auto"/>
              <w:right w:val="single" w:sz="4" w:space="0" w:color="000000"/>
            </w:tcBorders>
            <w:shd w:val="clear" w:color="auto" w:fill="auto"/>
            <w:vAlign w:val="center"/>
            <w:hideMark/>
          </w:tcPr>
          <w:p w14:paraId="2CBE262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nil"/>
              <w:right w:val="single" w:sz="4" w:space="0" w:color="auto"/>
            </w:tcBorders>
            <w:shd w:val="clear" w:color="auto" w:fill="auto"/>
            <w:vAlign w:val="center"/>
            <w:hideMark/>
          </w:tcPr>
          <w:p w14:paraId="15CB88C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33,000</w:t>
            </w:r>
          </w:p>
        </w:tc>
        <w:tc>
          <w:tcPr>
            <w:tcW w:w="843" w:type="dxa"/>
            <w:vMerge w:val="restart"/>
            <w:tcBorders>
              <w:top w:val="nil"/>
              <w:left w:val="single" w:sz="4" w:space="0" w:color="auto"/>
              <w:bottom w:val="single" w:sz="4" w:space="0" w:color="000000"/>
              <w:right w:val="single" w:sz="4" w:space="0" w:color="auto"/>
            </w:tcBorders>
            <w:shd w:val="clear" w:color="auto" w:fill="auto"/>
            <w:vAlign w:val="center"/>
            <w:hideMark/>
          </w:tcPr>
          <w:p w14:paraId="3C4C155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10,123</w:t>
            </w:r>
          </w:p>
        </w:tc>
      </w:tr>
      <w:tr w:rsidR="004154AB" w:rsidRPr="004154AB" w14:paraId="16B5C55F" w14:textId="77777777" w:rsidTr="009E49E6">
        <w:trPr>
          <w:trHeight w:val="20"/>
        </w:trPr>
        <w:tc>
          <w:tcPr>
            <w:tcW w:w="810" w:type="dxa"/>
            <w:vMerge/>
            <w:tcBorders>
              <w:top w:val="nil"/>
              <w:left w:val="single" w:sz="4" w:space="0" w:color="auto"/>
              <w:bottom w:val="single" w:sz="4" w:space="0" w:color="000000"/>
              <w:right w:val="single" w:sz="4" w:space="0" w:color="auto"/>
            </w:tcBorders>
            <w:vAlign w:val="center"/>
            <w:hideMark/>
          </w:tcPr>
          <w:p w14:paraId="18447838" w14:textId="77777777" w:rsidR="004154AB" w:rsidRPr="004154AB" w:rsidRDefault="004154AB" w:rsidP="004154AB">
            <w:pPr>
              <w:rPr>
                <w:rFonts w:ascii="Arial" w:eastAsia="Times New Roman" w:hAnsi="Arial" w:cs="Arial"/>
                <w:color w:val="000000"/>
                <w:sz w:val="14"/>
                <w:szCs w:val="14"/>
                <w:lang w:val="cs-CZ" w:eastAsia="cs-CZ"/>
              </w:rPr>
            </w:pPr>
          </w:p>
        </w:tc>
        <w:tc>
          <w:tcPr>
            <w:tcW w:w="3092" w:type="dxa"/>
            <w:vMerge/>
            <w:tcBorders>
              <w:top w:val="nil"/>
              <w:left w:val="single" w:sz="4" w:space="0" w:color="auto"/>
              <w:bottom w:val="single" w:sz="4" w:space="0" w:color="000000"/>
              <w:right w:val="single" w:sz="4" w:space="0" w:color="auto"/>
            </w:tcBorders>
            <w:vAlign w:val="center"/>
            <w:hideMark/>
          </w:tcPr>
          <w:p w14:paraId="15C4B85D"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36E18E38" w14:textId="77777777" w:rsidR="004154AB" w:rsidRPr="004154AB" w:rsidRDefault="004154AB" w:rsidP="004154AB">
            <w:pPr>
              <w:rPr>
                <w:rFonts w:ascii="Arial" w:eastAsia="Times New Roman" w:hAnsi="Arial" w:cs="Arial"/>
                <w:color w:val="000000"/>
                <w:sz w:val="14"/>
                <w:szCs w:val="14"/>
                <w:lang w:val="cs-CZ" w:eastAsia="cs-CZ"/>
              </w:rPr>
            </w:pPr>
          </w:p>
        </w:tc>
        <w:tc>
          <w:tcPr>
            <w:tcW w:w="859" w:type="dxa"/>
            <w:vMerge/>
            <w:tcBorders>
              <w:top w:val="nil"/>
              <w:left w:val="single" w:sz="4" w:space="0" w:color="auto"/>
              <w:bottom w:val="single" w:sz="4" w:space="0" w:color="000000"/>
              <w:right w:val="single" w:sz="4" w:space="0" w:color="auto"/>
            </w:tcBorders>
            <w:vAlign w:val="center"/>
            <w:hideMark/>
          </w:tcPr>
          <w:p w14:paraId="0619CA4C" w14:textId="77777777" w:rsidR="004154AB" w:rsidRPr="004154AB" w:rsidRDefault="004154AB" w:rsidP="004154AB">
            <w:pPr>
              <w:rPr>
                <w:rFonts w:ascii="Arial" w:eastAsia="Times New Roman" w:hAnsi="Arial" w:cs="Arial"/>
                <w:color w:val="000000"/>
                <w:sz w:val="14"/>
                <w:szCs w:val="14"/>
                <w:lang w:val="cs-CZ" w:eastAsia="cs-CZ"/>
              </w:rPr>
            </w:pPr>
          </w:p>
        </w:tc>
        <w:tc>
          <w:tcPr>
            <w:tcW w:w="843" w:type="dxa"/>
            <w:tcBorders>
              <w:top w:val="nil"/>
              <w:left w:val="nil"/>
              <w:bottom w:val="single" w:sz="4" w:space="0" w:color="auto"/>
              <w:right w:val="single" w:sz="4" w:space="0" w:color="auto"/>
            </w:tcBorders>
            <w:shd w:val="clear" w:color="auto" w:fill="auto"/>
            <w:vAlign w:val="center"/>
            <w:hideMark/>
          </w:tcPr>
          <w:p w14:paraId="267271D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0F853F3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05D6BDC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A3A655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4D4F68D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7A76DC7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3CF3EC6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74C160A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39A668D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40120A7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0F27DD0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vMerge/>
            <w:tcBorders>
              <w:top w:val="nil"/>
              <w:left w:val="single" w:sz="4" w:space="0" w:color="auto"/>
              <w:bottom w:val="single" w:sz="4" w:space="0" w:color="000000"/>
              <w:right w:val="single" w:sz="4" w:space="0" w:color="auto"/>
            </w:tcBorders>
            <w:vAlign w:val="center"/>
            <w:hideMark/>
          </w:tcPr>
          <w:p w14:paraId="0756598A"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4B9A3ED" w14:textId="77777777" w:rsidTr="009E49E6">
        <w:trPr>
          <w:trHeight w:val="20"/>
        </w:trPr>
        <w:tc>
          <w:tcPr>
            <w:tcW w:w="810" w:type="dxa"/>
            <w:vMerge/>
            <w:tcBorders>
              <w:top w:val="nil"/>
              <w:left w:val="single" w:sz="4" w:space="0" w:color="auto"/>
              <w:bottom w:val="single" w:sz="4" w:space="0" w:color="000000"/>
              <w:right w:val="single" w:sz="4" w:space="0" w:color="auto"/>
            </w:tcBorders>
            <w:vAlign w:val="center"/>
            <w:hideMark/>
          </w:tcPr>
          <w:p w14:paraId="566196DE" w14:textId="77777777" w:rsidR="004154AB" w:rsidRPr="004154AB" w:rsidRDefault="004154AB" w:rsidP="004154AB">
            <w:pPr>
              <w:rPr>
                <w:rFonts w:ascii="Arial" w:eastAsia="Times New Roman" w:hAnsi="Arial" w:cs="Arial"/>
                <w:color w:val="000000"/>
                <w:sz w:val="14"/>
                <w:szCs w:val="14"/>
                <w:lang w:val="cs-CZ" w:eastAsia="cs-CZ"/>
              </w:rPr>
            </w:pPr>
          </w:p>
        </w:tc>
        <w:tc>
          <w:tcPr>
            <w:tcW w:w="3092" w:type="dxa"/>
            <w:vMerge/>
            <w:tcBorders>
              <w:top w:val="nil"/>
              <w:left w:val="single" w:sz="4" w:space="0" w:color="auto"/>
              <w:bottom w:val="single" w:sz="4" w:space="0" w:color="000000"/>
              <w:right w:val="single" w:sz="4" w:space="0" w:color="auto"/>
            </w:tcBorders>
            <w:vAlign w:val="center"/>
            <w:hideMark/>
          </w:tcPr>
          <w:p w14:paraId="78E595D1" w14:textId="77777777" w:rsidR="004154AB" w:rsidRPr="004154AB" w:rsidRDefault="004154AB" w:rsidP="004154AB">
            <w:pPr>
              <w:rPr>
                <w:rFonts w:ascii="Arial" w:eastAsia="Times New Roman" w:hAnsi="Arial" w:cs="Arial"/>
                <w:color w:val="000000"/>
                <w:sz w:val="14"/>
                <w:szCs w:val="14"/>
                <w:lang w:val="cs-CZ" w:eastAsia="cs-CZ"/>
              </w:rPr>
            </w:pPr>
          </w:p>
        </w:tc>
        <w:tc>
          <w:tcPr>
            <w:tcW w:w="892" w:type="dxa"/>
            <w:vMerge/>
            <w:tcBorders>
              <w:top w:val="nil"/>
              <w:left w:val="single" w:sz="4" w:space="0" w:color="auto"/>
              <w:bottom w:val="single" w:sz="4" w:space="0" w:color="000000"/>
              <w:right w:val="single" w:sz="4" w:space="0" w:color="auto"/>
            </w:tcBorders>
            <w:vAlign w:val="center"/>
            <w:hideMark/>
          </w:tcPr>
          <w:p w14:paraId="1AB16498" w14:textId="77777777" w:rsidR="004154AB" w:rsidRPr="004154AB" w:rsidRDefault="004154AB" w:rsidP="004154AB">
            <w:pPr>
              <w:rPr>
                <w:rFonts w:ascii="Arial" w:eastAsia="Times New Roman" w:hAnsi="Arial" w:cs="Arial"/>
                <w:color w:val="000000"/>
                <w:sz w:val="14"/>
                <w:szCs w:val="14"/>
                <w:lang w:val="cs-CZ" w:eastAsia="cs-CZ"/>
              </w:rPr>
            </w:pPr>
          </w:p>
        </w:tc>
        <w:tc>
          <w:tcPr>
            <w:tcW w:w="859" w:type="dxa"/>
            <w:vMerge/>
            <w:tcBorders>
              <w:top w:val="nil"/>
              <w:left w:val="single" w:sz="4" w:space="0" w:color="auto"/>
              <w:bottom w:val="single" w:sz="4" w:space="0" w:color="000000"/>
              <w:right w:val="single" w:sz="4" w:space="0" w:color="auto"/>
            </w:tcBorders>
            <w:vAlign w:val="center"/>
            <w:hideMark/>
          </w:tcPr>
          <w:p w14:paraId="226CE3D4" w14:textId="77777777" w:rsidR="004154AB" w:rsidRPr="004154AB" w:rsidRDefault="004154AB" w:rsidP="004154AB">
            <w:pPr>
              <w:rPr>
                <w:rFonts w:ascii="Arial" w:eastAsia="Times New Roman" w:hAnsi="Arial" w:cs="Arial"/>
                <w:color w:val="000000"/>
                <w:sz w:val="14"/>
                <w:szCs w:val="14"/>
                <w:lang w:val="cs-CZ" w:eastAsia="cs-CZ"/>
              </w:rPr>
            </w:pPr>
          </w:p>
        </w:tc>
        <w:tc>
          <w:tcPr>
            <w:tcW w:w="843" w:type="dxa"/>
            <w:tcBorders>
              <w:top w:val="nil"/>
              <w:left w:val="nil"/>
              <w:bottom w:val="single" w:sz="4" w:space="0" w:color="auto"/>
              <w:right w:val="single" w:sz="4" w:space="0" w:color="auto"/>
            </w:tcBorders>
            <w:shd w:val="clear" w:color="auto" w:fill="auto"/>
            <w:vAlign w:val="center"/>
            <w:hideMark/>
          </w:tcPr>
          <w:p w14:paraId="466CEFD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5C3AE5C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5A8EAE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2EBFEA1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1383BB6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3FB9833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4AEA8C5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2316155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213E2FA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69B713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tcBorders>
              <w:top w:val="nil"/>
              <w:left w:val="nil"/>
              <w:bottom w:val="single" w:sz="4" w:space="0" w:color="auto"/>
              <w:right w:val="single" w:sz="4" w:space="0" w:color="auto"/>
            </w:tcBorders>
            <w:shd w:val="clear" w:color="auto" w:fill="auto"/>
            <w:vAlign w:val="center"/>
            <w:hideMark/>
          </w:tcPr>
          <w:p w14:paraId="2F76DC8C" w14:textId="34ED133E"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43" w:type="dxa"/>
            <w:vMerge/>
            <w:tcBorders>
              <w:top w:val="nil"/>
              <w:left w:val="single" w:sz="4" w:space="0" w:color="auto"/>
              <w:bottom w:val="single" w:sz="4" w:space="0" w:color="000000"/>
              <w:right w:val="single" w:sz="4" w:space="0" w:color="auto"/>
            </w:tcBorders>
            <w:vAlign w:val="center"/>
            <w:hideMark/>
          </w:tcPr>
          <w:p w14:paraId="7DF7C125" w14:textId="77777777" w:rsidR="004154AB" w:rsidRPr="004154AB" w:rsidRDefault="004154AB" w:rsidP="004154AB">
            <w:pPr>
              <w:rPr>
                <w:rFonts w:ascii="Arial" w:eastAsia="Times New Roman" w:hAnsi="Arial" w:cs="Arial"/>
                <w:color w:val="000000"/>
                <w:sz w:val="14"/>
                <w:szCs w:val="14"/>
                <w:lang w:val="cs-CZ" w:eastAsia="cs-CZ"/>
              </w:rPr>
            </w:pPr>
          </w:p>
        </w:tc>
      </w:tr>
    </w:tbl>
    <w:p w14:paraId="303C87D3" w14:textId="77777777" w:rsidR="000A2518" w:rsidRPr="002F2BE4" w:rsidRDefault="000A2518" w:rsidP="004154AB">
      <w:pPr>
        <w:ind w:left="113" w:right="108"/>
        <w:jc w:val="both"/>
        <w:rPr>
          <w:rFonts w:ascii="Arial" w:eastAsia="Arial" w:hAnsi="Arial" w:cs="Arial"/>
          <w:color w:val="000000"/>
          <w:sz w:val="20"/>
          <w:lang w:val="cs-CZ"/>
        </w:rPr>
      </w:pPr>
    </w:p>
    <w:p w14:paraId="494B2D53" w14:textId="77777777" w:rsidR="00FD35AB" w:rsidRDefault="00FD35AB" w:rsidP="000A2518">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03.3.48 Přístup k zaměstnání pro osoby hledající zaměstnání a neaktivní osoby, včetně dlouhodobě nezaměstnaných a osob vzdálených trhu práce, také prostřednictvím místních iniciativ na podporu zaměstnanosti a mobility pracovníků</w:t>
      </w:r>
    </w:p>
    <w:tbl>
      <w:tblPr>
        <w:tblW w:w="15847" w:type="dxa"/>
        <w:tblInd w:w="75" w:type="dxa"/>
        <w:tblCellMar>
          <w:left w:w="70" w:type="dxa"/>
          <w:right w:w="70" w:type="dxa"/>
        </w:tblCellMar>
        <w:tblLook w:val="04A0" w:firstRow="1" w:lastRow="0" w:firstColumn="1" w:lastColumn="0" w:noHBand="0" w:noVBand="1"/>
      </w:tblPr>
      <w:tblGrid>
        <w:gridCol w:w="934"/>
        <w:gridCol w:w="3257"/>
        <w:gridCol w:w="1004"/>
        <w:gridCol w:w="887"/>
        <w:gridCol w:w="792"/>
        <w:gridCol w:w="792"/>
        <w:gridCol w:w="792"/>
        <w:gridCol w:w="792"/>
        <w:gridCol w:w="792"/>
        <w:gridCol w:w="792"/>
        <w:gridCol w:w="792"/>
        <w:gridCol w:w="792"/>
        <w:gridCol w:w="792"/>
        <w:gridCol w:w="792"/>
        <w:gridCol w:w="14"/>
        <w:gridCol w:w="990"/>
        <w:gridCol w:w="13"/>
        <w:gridCol w:w="828"/>
      </w:tblGrid>
      <w:tr w:rsidR="004154AB" w:rsidRPr="004154AB" w14:paraId="6AD8FE56" w14:textId="77777777" w:rsidTr="009E49E6">
        <w:trPr>
          <w:trHeight w:val="20"/>
          <w:tblHeader/>
        </w:trPr>
        <w:tc>
          <w:tcPr>
            <w:tcW w:w="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8487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3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1336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CFFE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F14D7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A35389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6C84CB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D342F9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611D02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46A3E9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AF0982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B08D8F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D7877A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193790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1967A8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74E6577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2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B7523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735D87CC" w14:textId="77777777" w:rsidTr="009E49E6">
        <w:trPr>
          <w:trHeight w:val="20"/>
          <w:tblHeader/>
        </w:trPr>
        <w:tc>
          <w:tcPr>
            <w:tcW w:w="916" w:type="dxa"/>
            <w:vMerge/>
            <w:tcBorders>
              <w:top w:val="single" w:sz="4" w:space="0" w:color="auto"/>
              <w:left w:val="single" w:sz="4" w:space="0" w:color="auto"/>
              <w:bottom w:val="single" w:sz="4" w:space="0" w:color="auto"/>
              <w:right w:val="single" w:sz="4" w:space="0" w:color="auto"/>
            </w:tcBorders>
            <w:vAlign w:val="center"/>
            <w:hideMark/>
          </w:tcPr>
          <w:p w14:paraId="21A20F99" w14:textId="77777777" w:rsidR="004154AB" w:rsidRPr="004154AB" w:rsidRDefault="004154AB" w:rsidP="004154AB">
            <w:pPr>
              <w:rPr>
                <w:rFonts w:ascii="Arial" w:eastAsia="Times New Roman" w:hAnsi="Arial" w:cs="Arial"/>
                <w:b/>
                <w:bCs/>
                <w:color w:val="000000"/>
                <w:sz w:val="14"/>
                <w:szCs w:val="14"/>
                <w:lang w:val="cs-CZ" w:eastAsia="cs-CZ"/>
              </w:rPr>
            </w:pPr>
          </w:p>
        </w:tc>
        <w:tc>
          <w:tcPr>
            <w:tcW w:w="3314" w:type="dxa"/>
            <w:vMerge/>
            <w:tcBorders>
              <w:top w:val="single" w:sz="4" w:space="0" w:color="auto"/>
              <w:left w:val="single" w:sz="4" w:space="0" w:color="auto"/>
              <w:bottom w:val="single" w:sz="4" w:space="0" w:color="auto"/>
              <w:right w:val="single" w:sz="4" w:space="0" w:color="auto"/>
            </w:tcBorders>
            <w:vAlign w:val="center"/>
            <w:hideMark/>
          </w:tcPr>
          <w:p w14:paraId="613D18DA"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7FEF4CD7" w14:textId="77777777" w:rsidR="004154AB" w:rsidRPr="004154AB" w:rsidRDefault="004154AB" w:rsidP="004154AB">
            <w:pPr>
              <w:rPr>
                <w:rFonts w:ascii="Arial" w:eastAsia="Times New Roman" w:hAnsi="Arial" w:cs="Arial"/>
                <w:b/>
                <w:bCs/>
                <w:color w:val="000000"/>
                <w:sz w:val="14"/>
                <w:szCs w:val="14"/>
                <w:lang w:val="cs-CZ" w:eastAsia="cs-CZ"/>
              </w:rPr>
            </w:pPr>
          </w:p>
        </w:tc>
        <w:tc>
          <w:tcPr>
            <w:tcW w:w="829" w:type="dxa"/>
            <w:vMerge/>
            <w:tcBorders>
              <w:top w:val="single" w:sz="4" w:space="0" w:color="auto"/>
              <w:left w:val="single" w:sz="4" w:space="0" w:color="auto"/>
              <w:bottom w:val="single" w:sz="4" w:space="0" w:color="000000"/>
              <w:right w:val="single" w:sz="4" w:space="0" w:color="auto"/>
            </w:tcBorders>
            <w:vAlign w:val="center"/>
            <w:hideMark/>
          </w:tcPr>
          <w:p w14:paraId="1A63D8A8" w14:textId="77777777" w:rsidR="004154AB" w:rsidRPr="004154AB" w:rsidRDefault="004154AB" w:rsidP="004154AB">
            <w:pPr>
              <w:rPr>
                <w:rFonts w:ascii="Arial" w:eastAsia="Times New Roman" w:hAnsi="Arial" w:cs="Arial"/>
                <w:b/>
                <w:bCs/>
                <w:color w:val="000000"/>
                <w:sz w:val="14"/>
                <w:szCs w:val="14"/>
                <w:lang w:val="cs-CZ" w:eastAsia="cs-CZ"/>
              </w:rPr>
            </w:pPr>
          </w:p>
        </w:tc>
        <w:tc>
          <w:tcPr>
            <w:tcW w:w="8018" w:type="dxa"/>
            <w:gridSpan w:val="11"/>
            <w:tcBorders>
              <w:top w:val="single" w:sz="4" w:space="0" w:color="auto"/>
              <w:left w:val="nil"/>
              <w:bottom w:val="single" w:sz="4" w:space="0" w:color="auto"/>
              <w:right w:val="single" w:sz="4" w:space="0" w:color="auto"/>
            </w:tcBorders>
            <w:shd w:val="clear" w:color="auto" w:fill="auto"/>
            <w:vAlign w:val="center"/>
            <w:hideMark/>
          </w:tcPr>
          <w:p w14:paraId="037B64F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939" w:type="dxa"/>
            <w:gridSpan w:val="2"/>
            <w:tcBorders>
              <w:top w:val="nil"/>
              <w:left w:val="nil"/>
              <w:bottom w:val="single" w:sz="4" w:space="0" w:color="auto"/>
              <w:right w:val="single" w:sz="4" w:space="0" w:color="auto"/>
            </w:tcBorders>
            <w:shd w:val="clear" w:color="auto" w:fill="auto"/>
            <w:vAlign w:val="center"/>
            <w:hideMark/>
          </w:tcPr>
          <w:p w14:paraId="2FDC6F6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23" w:type="dxa"/>
            <w:vMerge/>
            <w:tcBorders>
              <w:top w:val="single" w:sz="4" w:space="0" w:color="auto"/>
              <w:left w:val="single" w:sz="4" w:space="0" w:color="auto"/>
              <w:bottom w:val="single" w:sz="4" w:space="0" w:color="000000"/>
              <w:right w:val="single" w:sz="4" w:space="0" w:color="auto"/>
            </w:tcBorders>
            <w:vAlign w:val="center"/>
            <w:hideMark/>
          </w:tcPr>
          <w:p w14:paraId="36ABAECC"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2C4543BC" w14:textId="77777777" w:rsidTr="009E49E6">
        <w:trPr>
          <w:trHeight w:val="20"/>
          <w:tblHeader/>
        </w:trPr>
        <w:tc>
          <w:tcPr>
            <w:tcW w:w="916" w:type="dxa"/>
            <w:vMerge/>
            <w:tcBorders>
              <w:top w:val="single" w:sz="4" w:space="0" w:color="auto"/>
              <w:left w:val="single" w:sz="4" w:space="0" w:color="auto"/>
              <w:bottom w:val="single" w:sz="4" w:space="0" w:color="auto"/>
              <w:right w:val="single" w:sz="4" w:space="0" w:color="auto"/>
            </w:tcBorders>
            <w:vAlign w:val="center"/>
            <w:hideMark/>
          </w:tcPr>
          <w:p w14:paraId="662F8615" w14:textId="77777777" w:rsidR="004154AB" w:rsidRPr="004154AB" w:rsidRDefault="004154AB" w:rsidP="004154AB">
            <w:pPr>
              <w:rPr>
                <w:rFonts w:ascii="Arial" w:eastAsia="Times New Roman" w:hAnsi="Arial" w:cs="Arial"/>
                <w:b/>
                <w:bCs/>
                <w:color w:val="000000"/>
                <w:sz w:val="14"/>
                <w:szCs w:val="14"/>
                <w:lang w:val="cs-CZ" w:eastAsia="cs-CZ"/>
              </w:rPr>
            </w:pPr>
          </w:p>
        </w:tc>
        <w:tc>
          <w:tcPr>
            <w:tcW w:w="3314" w:type="dxa"/>
            <w:vMerge/>
            <w:tcBorders>
              <w:top w:val="single" w:sz="4" w:space="0" w:color="auto"/>
              <w:left w:val="single" w:sz="4" w:space="0" w:color="auto"/>
              <w:bottom w:val="single" w:sz="4" w:space="0" w:color="auto"/>
              <w:right w:val="single" w:sz="4" w:space="0" w:color="auto"/>
            </w:tcBorders>
            <w:vAlign w:val="center"/>
            <w:hideMark/>
          </w:tcPr>
          <w:p w14:paraId="4837BFE6"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1DC9C674" w14:textId="77777777" w:rsidR="004154AB" w:rsidRPr="004154AB" w:rsidRDefault="004154AB" w:rsidP="004154AB">
            <w:pPr>
              <w:rPr>
                <w:rFonts w:ascii="Arial" w:eastAsia="Times New Roman" w:hAnsi="Arial" w:cs="Arial"/>
                <w:b/>
                <w:bCs/>
                <w:color w:val="000000"/>
                <w:sz w:val="14"/>
                <w:szCs w:val="14"/>
                <w:lang w:val="cs-CZ" w:eastAsia="cs-CZ"/>
              </w:rPr>
            </w:pPr>
          </w:p>
        </w:tc>
        <w:tc>
          <w:tcPr>
            <w:tcW w:w="829" w:type="dxa"/>
            <w:vMerge/>
            <w:tcBorders>
              <w:top w:val="single" w:sz="4" w:space="0" w:color="auto"/>
              <w:left w:val="single" w:sz="4" w:space="0" w:color="auto"/>
              <w:bottom w:val="single" w:sz="4" w:space="0" w:color="000000"/>
              <w:right w:val="single" w:sz="4" w:space="0" w:color="auto"/>
            </w:tcBorders>
            <w:vAlign w:val="center"/>
            <w:hideMark/>
          </w:tcPr>
          <w:p w14:paraId="60CF1932" w14:textId="77777777" w:rsidR="004154AB" w:rsidRPr="004154AB" w:rsidRDefault="004154AB" w:rsidP="004154AB">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040670D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06232A7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0E1FF81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7B7D1EF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0A199B5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1368EF5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3BB184F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2446B45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4781922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50D0912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39" w:type="dxa"/>
            <w:gridSpan w:val="2"/>
            <w:tcBorders>
              <w:top w:val="nil"/>
              <w:left w:val="nil"/>
              <w:bottom w:val="single" w:sz="4" w:space="0" w:color="auto"/>
              <w:right w:val="single" w:sz="4" w:space="0" w:color="auto"/>
            </w:tcBorders>
            <w:shd w:val="clear" w:color="auto" w:fill="auto"/>
            <w:vAlign w:val="center"/>
            <w:hideMark/>
          </w:tcPr>
          <w:p w14:paraId="6C5D345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23" w:type="dxa"/>
            <w:gridSpan w:val="2"/>
            <w:vMerge/>
            <w:tcBorders>
              <w:top w:val="single" w:sz="4" w:space="0" w:color="auto"/>
              <w:left w:val="single" w:sz="4" w:space="0" w:color="auto"/>
              <w:bottom w:val="single" w:sz="4" w:space="0" w:color="000000"/>
              <w:right w:val="single" w:sz="4" w:space="0" w:color="auto"/>
            </w:tcBorders>
            <w:vAlign w:val="center"/>
            <w:hideMark/>
          </w:tcPr>
          <w:p w14:paraId="4EAF0AFC"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3CA1BB1C" w14:textId="77777777" w:rsidTr="009E49E6">
        <w:trPr>
          <w:trHeight w:val="20"/>
          <w:tblHeader/>
        </w:trPr>
        <w:tc>
          <w:tcPr>
            <w:tcW w:w="916" w:type="dxa"/>
            <w:vMerge/>
            <w:tcBorders>
              <w:top w:val="single" w:sz="4" w:space="0" w:color="auto"/>
              <w:left w:val="single" w:sz="4" w:space="0" w:color="auto"/>
              <w:bottom w:val="single" w:sz="4" w:space="0" w:color="auto"/>
              <w:right w:val="single" w:sz="4" w:space="0" w:color="auto"/>
            </w:tcBorders>
            <w:vAlign w:val="center"/>
            <w:hideMark/>
          </w:tcPr>
          <w:p w14:paraId="78444322" w14:textId="77777777" w:rsidR="004154AB" w:rsidRPr="004154AB" w:rsidRDefault="004154AB" w:rsidP="004154AB">
            <w:pPr>
              <w:rPr>
                <w:rFonts w:ascii="Arial" w:eastAsia="Times New Roman" w:hAnsi="Arial" w:cs="Arial"/>
                <w:b/>
                <w:bCs/>
                <w:color w:val="000000"/>
                <w:sz w:val="14"/>
                <w:szCs w:val="14"/>
                <w:lang w:val="cs-CZ" w:eastAsia="cs-CZ"/>
              </w:rPr>
            </w:pPr>
          </w:p>
        </w:tc>
        <w:tc>
          <w:tcPr>
            <w:tcW w:w="3314" w:type="dxa"/>
            <w:vMerge/>
            <w:tcBorders>
              <w:top w:val="single" w:sz="4" w:space="0" w:color="auto"/>
              <w:left w:val="single" w:sz="4" w:space="0" w:color="auto"/>
              <w:bottom w:val="single" w:sz="4" w:space="0" w:color="auto"/>
              <w:right w:val="single" w:sz="4" w:space="0" w:color="auto"/>
            </w:tcBorders>
            <w:vAlign w:val="center"/>
            <w:hideMark/>
          </w:tcPr>
          <w:p w14:paraId="6DD06643"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6EEFFC5E" w14:textId="77777777" w:rsidR="004154AB" w:rsidRPr="004154AB" w:rsidRDefault="004154AB" w:rsidP="004154AB">
            <w:pPr>
              <w:rPr>
                <w:rFonts w:ascii="Arial" w:eastAsia="Times New Roman" w:hAnsi="Arial" w:cs="Arial"/>
                <w:b/>
                <w:bCs/>
                <w:color w:val="000000"/>
                <w:sz w:val="14"/>
                <w:szCs w:val="14"/>
                <w:lang w:val="cs-CZ" w:eastAsia="cs-CZ"/>
              </w:rPr>
            </w:pPr>
          </w:p>
        </w:tc>
        <w:tc>
          <w:tcPr>
            <w:tcW w:w="829" w:type="dxa"/>
            <w:vMerge/>
            <w:tcBorders>
              <w:top w:val="single" w:sz="4" w:space="0" w:color="auto"/>
              <w:left w:val="single" w:sz="4" w:space="0" w:color="auto"/>
              <w:bottom w:val="single" w:sz="4" w:space="0" w:color="000000"/>
              <w:right w:val="single" w:sz="4" w:space="0" w:color="auto"/>
            </w:tcBorders>
            <w:vAlign w:val="center"/>
            <w:hideMark/>
          </w:tcPr>
          <w:p w14:paraId="07B18EE0" w14:textId="77777777" w:rsidR="004154AB" w:rsidRPr="004154AB" w:rsidRDefault="004154AB" w:rsidP="004154AB">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41C2CA1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68CECBD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606EAC8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10DDA47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21FA3E0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182A1DC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22C564F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09BE188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5CBF44D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30BFB6A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39" w:type="dxa"/>
            <w:gridSpan w:val="2"/>
            <w:tcBorders>
              <w:top w:val="nil"/>
              <w:left w:val="nil"/>
              <w:bottom w:val="single" w:sz="4" w:space="0" w:color="auto"/>
              <w:right w:val="single" w:sz="4" w:space="0" w:color="auto"/>
            </w:tcBorders>
            <w:shd w:val="clear" w:color="auto" w:fill="auto"/>
            <w:vAlign w:val="center"/>
            <w:hideMark/>
          </w:tcPr>
          <w:p w14:paraId="45CE1AE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23" w:type="dxa"/>
            <w:gridSpan w:val="2"/>
            <w:vMerge/>
            <w:tcBorders>
              <w:top w:val="single" w:sz="4" w:space="0" w:color="auto"/>
              <w:left w:val="single" w:sz="4" w:space="0" w:color="auto"/>
              <w:bottom w:val="single" w:sz="4" w:space="0" w:color="000000"/>
              <w:right w:val="single" w:sz="4" w:space="0" w:color="auto"/>
            </w:tcBorders>
            <w:vAlign w:val="center"/>
            <w:hideMark/>
          </w:tcPr>
          <w:p w14:paraId="0EE9DBCB"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055B04C8" w14:textId="77777777" w:rsidTr="009E49E6">
        <w:trPr>
          <w:trHeight w:val="20"/>
        </w:trPr>
        <w:tc>
          <w:tcPr>
            <w:tcW w:w="916" w:type="dxa"/>
            <w:vMerge w:val="restart"/>
            <w:tcBorders>
              <w:top w:val="nil"/>
              <w:left w:val="single" w:sz="4" w:space="0" w:color="auto"/>
              <w:bottom w:val="single" w:sz="4" w:space="0" w:color="000000"/>
              <w:right w:val="single" w:sz="4" w:space="0" w:color="auto"/>
            </w:tcBorders>
            <w:shd w:val="clear" w:color="auto" w:fill="auto"/>
            <w:vAlign w:val="center"/>
            <w:hideMark/>
          </w:tcPr>
          <w:p w14:paraId="2393FC2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3314" w:type="dxa"/>
            <w:vMerge w:val="restart"/>
            <w:tcBorders>
              <w:top w:val="nil"/>
              <w:left w:val="single" w:sz="4" w:space="0" w:color="auto"/>
              <w:bottom w:val="single" w:sz="4" w:space="0" w:color="000000"/>
              <w:right w:val="single" w:sz="4" w:space="0" w:color="auto"/>
            </w:tcBorders>
            <w:shd w:val="clear" w:color="auto" w:fill="auto"/>
            <w:vAlign w:val="center"/>
            <w:hideMark/>
          </w:tcPr>
          <w:p w14:paraId="7F3C91D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51B30D9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29" w:type="dxa"/>
            <w:vMerge w:val="restart"/>
            <w:tcBorders>
              <w:top w:val="nil"/>
              <w:left w:val="single" w:sz="4" w:space="0" w:color="auto"/>
              <w:bottom w:val="single" w:sz="4" w:space="0" w:color="000000"/>
              <w:right w:val="single" w:sz="4" w:space="0" w:color="auto"/>
            </w:tcBorders>
            <w:shd w:val="clear" w:color="auto" w:fill="auto"/>
            <w:vAlign w:val="center"/>
            <w:hideMark/>
          </w:tcPr>
          <w:p w14:paraId="5D1D2DB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8,000</w:t>
            </w:r>
          </w:p>
        </w:tc>
        <w:tc>
          <w:tcPr>
            <w:tcW w:w="801" w:type="dxa"/>
            <w:tcBorders>
              <w:top w:val="nil"/>
              <w:left w:val="nil"/>
              <w:bottom w:val="nil"/>
              <w:right w:val="nil"/>
            </w:tcBorders>
            <w:shd w:val="clear" w:color="auto" w:fill="auto"/>
            <w:vAlign w:val="center"/>
            <w:hideMark/>
          </w:tcPr>
          <w:p w14:paraId="436F0FA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6B9766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63FF3DD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1F4D37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3862A04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3AABA84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66634F2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0AE0A78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67885C8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single" w:sz="4" w:space="0" w:color="auto"/>
            </w:tcBorders>
            <w:shd w:val="clear" w:color="auto" w:fill="auto"/>
            <w:vAlign w:val="center"/>
            <w:hideMark/>
          </w:tcPr>
          <w:p w14:paraId="7553A45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nil"/>
              <w:right w:val="single" w:sz="4" w:space="0" w:color="auto"/>
            </w:tcBorders>
            <w:shd w:val="clear" w:color="auto" w:fill="auto"/>
            <w:vAlign w:val="center"/>
            <w:hideMark/>
          </w:tcPr>
          <w:p w14:paraId="24D4F8B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98,000</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1955A300"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1 225,000</w:t>
            </w:r>
          </w:p>
        </w:tc>
      </w:tr>
      <w:tr w:rsidR="004154AB" w:rsidRPr="004154AB" w14:paraId="0CB48FEC"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0FD30E9A"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2EE3E849"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78531727"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26AC1CD2"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3DA5C4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B12441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6CBFB3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A70DE9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7184BD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A22D3D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525E3A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99B63D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953328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7C77BE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4AE9329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6F46DDB6"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34F585E"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06020D81"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17CCCD41"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26EB03B7"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20FA59CD"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3F53CA8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C8DEB6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B8C64A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3FEF24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6A249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AE37DF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46563B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0B0747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C720B6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E2B102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single" w:sz="4" w:space="0" w:color="auto"/>
              <w:right w:val="single" w:sz="4" w:space="0" w:color="auto"/>
            </w:tcBorders>
            <w:shd w:val="clear" w:color="auto" w:fill="auto"/>
            <w:vAlign w:val="center"/>
            <w:hideMark/>
          </w:tcPr>
          <w:p w14:paraId="3518984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0B973816"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EE55FAF" w14:textId="77777777" w:rsidTr="009E49E6">
        <w:trPr>
          <w:trHeight w:val="20"/>
        </w:trPr>
        <w:tc>
          <w:tcPr>
            <w:tcW w:w="916" w:type="dxa"/>
            <w:vMerge w:val="restart"/>
            <w:tcBorders>
              <w:top w:val="nil"/>
              <w:left w:val="single" w:sz="4" w:space="0" w:color="auto"/>
              <w:bottom w:val="single" w:sz="4" w:space="0" w:color="000000"/>
              <w:right w:val="single" w:sz="4" w:space="0" w:color="auto"/>
            </w:tcBorders>
            <w:shd w:val="clear" w:color="auto" w:fill="auto"/>
            <w:vAlign w:val="center"/>
            <w:hideMark/>
          </w:tcPr>
          <w:p w14:paraId="55FDE6B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3314" w:type="dxa"/>
            <w:vMerge w:val="restart"/>
            <w:tcBorders>
              <w:top w:val="nil"/>
              <w:left w:val="single" w:sz="4" w:space="0" w:color="auto"/>
              <w:bottom w:val="single" w:sz="4" w:space="0" w:color="000000"/>
              <w:right w:val="single" w:sz="4" w:space="0" w:color="auto"/>
            </w:tcBorders>
            <w:shd w:val="clear" w:color="auto" w:fill="auto"/>
            <w:vAlign w:val="center"/>
            <w:hideMark/>
          </w:tcPr>
          <w:p w14:paraId="0888C8C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028B736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29" w:type="dxa"/>
            <w:vMerge w:val="restart"/>
            <w:tcBorders>
              <w:top w:val="nil"/>
              <w:left w:val="single" w:sz="4" w:space="0" w:color="auto"/>
              <w:bottom w:val="single" w:sz="4" w:space="0" w:color="000000"/>
              <w:right w:val="single" w:sz="4" w:space="0" w:color="auto"/>
            </w:tcBorders>
            <w:shd w:val="clear" w:color="auto" w:fill="auto"/>
            <w:vAlign w:val="center"/>
            <w:hideMark/>
          </w:tcPr>
          <w:p w14:paraId="3AD6181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801" w:type="dxa"/>
            <w:tcBorders>
              <w:top w:val="nil"/>
              <w:left w:val="nil"/>
              <w:bottom w:val="nil"/>
              <w:right w:val="nil"/>
            </w:tcBorders>
            <w:shd w:val="clear" w:color="auto" w:fill="auto"/>
            <w:vAlign w:val="center"/>
            <w:hideMark/>
          </w:tcPr>
          <w:p w14:paraId="426731F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0BF52BD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79EF59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0841C8E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EC50E3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8BF856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766DEBC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71FB1AF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9456DE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single" w:sz="4" w:space="0" w:color="auto"/>
            </w:tcBorders>
            <w:shd w:val="clear" w:color="auto" w:fill="auto"/>
            <w:vAlign w:val="center"/>
            <w:hideMark/>
          </w:tcPr>
          <w:p w14:paraId="07956B5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nil"/>
              <w:right w:val="single" w:sz="4" w:space="0" w:color="auto"/>
            </w:tcBorders>
            <w:shd w:val="clear" w:color="auto" w:fill="auto"/>
            <w:vAlign w:val="center"/>
            <w:hideMark/>
          </w:tcPr>
          <w:p w14:paraId="0A42D1B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98,000</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073A09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9 800,000</w:t>
            </w:r>
          </w:p>
        </w:tc>
      </w:tr>
      <w:tr w:rsidR="004154AB" w:rsidRPr="004154AB" w14:paraId="0F442542"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30947C57"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4B72DF2F"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10E8F627"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5437F51B"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1C2FCD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06A19B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168A2D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63C3FD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06AE3D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FB29D4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249345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D68DAD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A9F8A8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59123A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0C1248C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347F35EA"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FF60F9E"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445600E2"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326CC8E0"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12630D00"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7CF66162"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1302E92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1B692F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4320BB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EF8459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593ABF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D382BD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EF5E70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AAC421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D71658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2516DE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single" w:sz="4" w:space="0" w:color="auto"/>
              <w:right w:val="single" w:sz="4" w:space="0" w:color="auto"/>
            </w:tcBorders>
            <w:shd w:val="clear" w:color="auto" w:fill="auto"/>
            <w:vAlign w:val="center"/>
            <w:hideMark/>
          </w:tcPr>
          <w:p w14:paraId="28F0DED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3BA12430"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73CC1A96" w14:textId="77777777" w:rsidTr="009E49E6">
        <w:trPr>
          <w:trHeight w:val="20"/>
        </w:trPr>
        <w:tc>
          <w:tcPr>
            <w:tcW w:w="916" w:type="dxa"/>
            <w:vMerge w:val="restart"/>
            <w:tcBorders>
              <w:top w:val="nil"/>
              <w:left w:val="single" w:sz="4" w:space="0" w:color="auto"/>
              <w:bottom w:val="single" w:sz="4" w:space="0" w:color="000000"/>
              <w:right w:val="single" w:sz="4" w:space="0" w:color="auto"/>
            </w:tcBorders>
            <w:shd w:val="clear" w:color="auto" w:fill="auto"/>
            <w:vAlign w:val="center"/>
            <w:hideMark/>
          </w:tcPr>
          <w:p w14:paraId="0DC1F37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314" w:type="dxa"/>
            <w:vMerge w:val="restart"/>
            <w:tcBorders>
              <w:top w:val="nil"/>
              <w:left w:val="single" w:sz="4" w:space="0" w:color="auto"/>
              <w:bottom w:val="single" w:sz="4" w:space="0" w:color="000000"/>
              <w:right w:val="single" w:sz="4" w:space="0" w:color="auto"/>
            </w:tcBorders>
            <w:shd w:val="clear" w:color="auto" w:fill="auto"/>
            <w:vAlign w:val="center"/>
            <w:hideMark/>
          </w:tcPr>
          <w:p w14:paraId="64A7137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78A2D59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29" w:type="dxa"/>
            <w:vMerge w:val="restart"/>
            <w:tcBorders>
              <w:top w:val="nil"/>
              <w:left w:val="single" w:sz="4" w:space="0" w:color="auto"/>
              <w:bottom w:val="single" w:sz="4" w:space="0" w:color="000000"/>
              <w:right w:val="single" w:sz="4" w:space="0" w:color="auto"/>
            </w:tcBorders>
            <w:shd w:val="clear" w:color="auto" w:fill="auto"/>
            <w:vAlign w:val="center"/>
            <w:hideMark/>
          </w:tcPr>
          <w:p w14:paraId="19E9948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41,000</w:t>
            </w:r>
          </w:p>
        </w:tc>
        <w:tc>
          <w:tcPr>
            <w:tcW w:w="801" w:type="dxa"/>
            <w:tcBorders>
              <w:top w:val="nil"/>
              <w:left w:val="nil"/>
              <w:bottom w:val="nil"/>
              <w:right w:val="nil"/>
            </w:tcBorders>
            <w:shd w:val="clear" w:color="auto" w:fill="auto"/>
            <w:vAlign w:val="center"/>
            <w:hideMark/>
          </w:tcPr>
          <w:p w14:paraId="30F46E7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2C3DA5A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4084E1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DA85CB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EFA81B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0B4F5F7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7F0F0A9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7F16F87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2F468F0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single" w:sz="4" w:space="0" w:color="auto"/>
            </w:tcBorders>
            <w:shd w:val="clear" w:color="auto" w:fill="auto"/>
            <w:vAlign w:val="center"/>
            <w:hideMark/>
          </w:tcPr>
          <w:p w14:paraId="40E9B00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nil"/>
              <w:right w:val="single" w:sz="4" w:space="0" w:color="auto"/>
            </w:tcBorders>
            <w:shd w:val="clear" w:color="auto" w:fill="auto"/>
            <w:vAlign w:val="center"/>
            <w:hideMark/>
          </w:tcPr>
          <w:p w14:paraId="60129DA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53,000</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537412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129,268</w:t>
            </w:r>
          </w:p>
        </w:tc>
      </w:tr>
      <w:tr w:rsidR="004154AB" w:rsidRPr="004154AB" w14:paraId="3B7FFA84"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7824D204"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3799E874"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26776D81"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4EB0ACA7"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ADC64B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411EAA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E64A8E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6B1107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1D0AD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D99D11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0F641E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24C2F9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FCB5FF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82C8C8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1017C0C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7A4B72CC"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5D79FB56"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37BA5DEA"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03B1AA2F"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51DA8E30"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488D9B5B"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7B8DDCA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C57EB4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3E91A1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09BD4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52A95E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DC5CC6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83EA3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601B5D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AAAA31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F3FB85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single" w:sz="4" w:space="0" w:color="auto"/>
              <w:right w:val="single" w:sz="4" w:space="0" w:color="auto"/>
            </w:tcBorders>
            <w:shd w:val="clear" w:color="auto" w:fill="auto"/>
            <w:vAlign w:val="center"/>
            <w:hideMark/>
          </w:tcPr>
          <w:p w14:paraId="1A8EEB2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77DFBD9C"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4A227B6" w14:textId="77777777" w:rsidTr="009E49E6">
        <w:trPr>
          <w:trHeight w:val="20"/>
        </w:trPr>
        <w:tc>
          <w:tcPr>
            <w:tcW w:w="916" w:type="dxa"/>
            <w:vMerge w:val="restart"/>
            <w:tcBorders>
              <w:top w:val="nil"/>
              <w:left w:val="single" w:sz="4" w:space="0" w:color="auto"/>
              <w:bottom w:val="single" w:sz="4" w:space="0" w:color="000000"/>
              <w:right w:val="single" w:sz="4" w:space="0" w:color="auto"/>
            </w:tcBorders>
            <w:shd w:val="clear" w:color="auto" w:fill="auto"/>
            <w:vAlign w:val="center"/>
            <w:hideMark/>
          </w:tcPr>
          <w:p w14:paraId="2BAC013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314" w:type="dxa"/>
            <w:vMerge w:val="restart"/>
            <w:tcBorders>
              <w:top w:val="nil"/>
              <w:left w:val="single" w:sz="4" w:space="0" w:color="auto"/>
              <w:bottom w:val="single" w:sz="4" w:space="0" w:color="000000"/>
              <w:right w:val="single" w:sz="4" w:space="0" w:color="auto"/>
            </w:tcBorders>
            <w:shd w:val="clear" w:color="auto" w:fill="auto"/>
            <w:vAlign w:val="center"/>
            <w:hideMark/>
          </w:tcPr>
          <w:p w14:paraId="00B74ED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13580F8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29" w:type="dxa"/>
            <w:vMerge w:val="restart"/>
            <w:tcBorders>
              <w:top w:val="nil"/>
              <w:left w:val="single" w:sz="4" w:space="0" w:color="auto"/>
              <w:bottom w:val="single" w:sz="4" w:space="0" w:color="000000"/>
              <w:right w:val="single" w:sz="4" w:space="0" w:color="auto"/>
            </w:tcBorders>
            <w:shd w:val="clear" w:color="auto" w:fill="auto"/>
            <w:vAlign w:val="center"/>
            <w:hideMark/>
          </w:tcPr>
          <w:p w14:paraId="34589931"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6,000</w:t>
            </w:r>
          </w:p>
        </w:tc>
        <w:tc>
          <w:tcPr>
            <w:tcW w:w="801" w:type="dxa"/>
            <w:tcBorders>
              <w:top w:val="nil"/>
              <w:left w:val="nil"/>
              <w:bottom w:val="nil"/>
              <w:right w:val="nil"/>
            </w:tcBorders>
            <w:shd w:val="clear" w:color="auto" w:fill="auto"/>
            <w:vAlign w:val="center"/>
            <w:hideMark/>
          </w:tcPr>
          <w:p w14:paraId="45F9C86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A89E03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366B500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DEA29A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2B4C06D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EAE470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EE7E63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177531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9BBC9B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single" w:sz="4" w:space="0" w:color="auto"/>
            </w:tcBorders>
            <w:shd w:val="clear" w:color="auto" w:fill="auto"/>
            <w:vAlign w:val="center"/>
            <w:hideMark/>
          </w:tcPr>
          <w:p w14:paraId="5437217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nil"/>
              <w:right w:val="single" w:sz="4" w:space="0" w:color="auto"/>
            </w:tcBorders>
            <w:shd w:val="clear" w:color="auto" w:fill="auto"/>
            <w:vAlign w:val="center"/>
            <w:hideMark/>
          </w:tcPr>
          <w:p w14:paraId="620BA8D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7,000</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45965C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116,667</w:t>
            </w:r>
          </w:p>
        </w:tc>
      </w:tr>
      <w:tr w:rsidR="004154AB" w:rsidRPr="004154AB" w14:paraId="2E800196"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7BDA2F61"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7C589A44"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6E23109F"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52418F95"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82E2FA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EE702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F549A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BAB083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B65E57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F21D44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FD8DE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DEB8E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0C3848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7C0DB5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1CAC0C8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0F684732"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6F4C920F"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7FC9A8B6"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765A4A6C"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00E5F844"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1171F2E4"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5B7FD26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1B8440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5177B8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0EB4EA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E35174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5CA40D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B25D68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5A4379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7F54C0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872C7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single" w:sz="4" w:space="0" w:color="auto"/>
              <w:right w:val="single" w:sz="4" w:space="0" w:color="auto"/>
            </w:tcBorders>
            <w:shd w:val="clear" w:color="auto" w:fill="auto"/>
            <w:vAlign w:val="center"/>
            <w:hideMark/>
          </w:tcPr>
          <w:p w14:paraId="4655444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5029D13B"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38572FAB" w14:textId="77777777" w:rsidTr="009E49E6">
        <w:trPr>
          <w:trHeight w:val="20"/>
        </w:trPr>
        <w:tc>
          <w:tcPr>
            <w:tcW w:w="916" w:type="dxa"/>
            <w:vMerge w:val="restart"/>
            <w:tcBorders>
              <w:top w:val="nil"/>
              <w:left w:val="single" w:sz="4" w:space="0" w:color="auto"/>
              <w:bottom w:val="single" w:sz="4" w:space="0" w:color="000000"/>
              <w:right w:val="single" w:sz="4" w:space="0" w:color="auto"/>
            </w:tcBorders>
            <w:shd w:val="clear" w:color="auto" w:fill="auto"/>
            <w:vAlign w:val="center"/>
            <w:hideMark/>
          </w:tcPr>
          <w:p w14:paraId="678C2A2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314" w:type="dxa"/>
            <w:vMerge w:val="restart"/>
            <w:tcBorders>
              <w:top w:val="nil"/>
              <w:left w:val="single" w:sz="4" w:space="0" w:color="auto"/>
              <w:bottom w:val="single" w:sz="4" w:space="0" w:color="000000"/>
              <w:right w:val="single" w:sz="4" w:space="0" w:color="auto"/>
            </w:tcBorders>
            <w:shd w:val="clear" w:color="auto" w:fill="auto"/>
            <w:vAlign w:val="center"/>
            <w:hideMark/>
          </w:tcPr>
          <w:p w14:paraId="073B13B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0070D1C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29" w:type="dxa"/>
            <w:vMerge w:val="restart"/>
            <w:tcBorders>
              <w:top w:val="nil"/>
              <w:left w:val="single" w:sz="4" w:space="0" w:color="auto"/>
              <w:bottom w:val="single" w:sz="4" w:space="0" w:color="000000"/>
              <w:right w:val="single" w:sz="4" w:space="0" w:color="auto"/>
            </w:tcBorders>
            <w:shd w:val="clear" w:color="auto" w:fill="auto"/>
            <w:vAlign w:val="center"/>
            <w:hideMark/>
          </w:tcPr>
          <w:p w14:paraId="032CF89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1" w:type="dxa"/>
            <w:tcBorders>
              <w:top w:val="nil"/>
              <w:left w:val="nil"/>
              <w:bottom w:val="nil"/>
              <w:right w:val="nil"/>
            </w:tcBorders>
            <w:shd w:val="clear" w:color="auto" w:fill="auto"/>
            <w:vAlign w:val="center"/>
            <w:hideMark/>
          </w:tcPr>
          <w:p w14:paraId="6F499A4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75AFE6C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783510C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26D1437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516D7D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864481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A2EC8D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FDCA1B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E341A9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single" w:sz="4" w:space="0" w:color="auto"/>
            </w:tcBorders>
            <w:shd w:val="clear" w:color="auto" w:fill="auto"/>
            <w:vAlign w:val="center"/>
            <w:hideMark/>
          </w:tcPr>
          <w:p w14:paraId="0FEC95B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nil"/>
              <w:right w:val="single" w:sz="4" w:space="0" w:color="auto"/>
            </w:tcBorders>
            <w:shd w:val="clear" w:color="auto" w:fill="auto"/>
            <w:vAlign w:val="center"/>
            <w:hideMark/>
          </w:tcPr>
          <w:p w14:paraId="0237F07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5,000</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7119393"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r>
      <w:tr w:rsidR="004154AB" w:rsidRPr="004154AB" w14:paraId="69FFF7E8"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03CC859F"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582ED7B6"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18164EBD"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2AD77889"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737EB6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74D7FE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3311D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E37751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09502F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F9EF24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FC16B0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A32DDB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C70222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4DAEA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7D71F3A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179C80A5"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1996B135"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1BD66171"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0A64DD95"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5A955313"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2DA0F7B7"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134BEBF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2A83D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B453D6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A52086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8199C8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997C97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F18472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16D64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CABCBF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5BD49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single" w:sz="4" w:space="0" w:color="auto"/>
              <w:right w:val="single" w:sz="4" w:space="0" w:color="auto"/>
            </w:tcBorders>
            <w:shd w:val="clear" w:color="auto" w:fill="auto"/>
            <w:vAlign w:val="center"/>
            <w:hideMark/>
          </w:tcPr>
          <w:p w14:paraId="29AB550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2CE99F72"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C4B4E08" w14:textId="77777777" w:rsidTr="009E49E6">
        <w:trPr>
          <w:trHeight w:val="20"/>
        </w:trPr>
        <w:tc>
          <w:tcPr>
            <w:tcW w:w="916" w:type="dxa"/>
            <w:vMerge w:val="restart"/>
            <w:tcBorders>
              <w:top w:val="nil"/>
              <w:left w:val="single" w:sz="4" w:space="0" w:color="auto"/>
              <w:bottom w:val="single" w:sz="4" w:space="0" w:color="000000"/>
              <w:right w:val="single" w:sz="4" w:space="0" w:color="auto"/>
            </w:tcBorders>
            <w:shd w:val="clear" w:color="auto" w:fill="auto"/>
            <w:vAlign w:val="center"/>
            <w:hideMark/>
          </w:tcPr>
          <w:p w14:paraId="4518FB1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314" w:type="dxa"/>
            <w:vMerge w:val="restart"/>
            <w:tcBorders>
              <w:top w:val="nil"/>
              <w:left w:val="single" w:sz="4" w:space="0" w:color="auto"/>
              <w:bottom w:val="single" w:sz="4" w:space="0" w:color="000000"/>
              <w:right w:val="single" w:sz="4" w:space="0" w:color="auto"/>
            </w:tcBorders>
            <w:shd w:val="clear" w:color="auto" w:fill="auto"/>
            <w:vAlign w:val="center"/>
            <w:hideMark/>
          </w:tcPr>
          <w:p w14:paraId="6A65B47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5AC81C0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29" w:type="dxa"/>
            <w:vMerge w:val="restart"/>
            <w:tcBorders>
              <w:top w:val="nil"/>
              <w:left w:val="single" w:sz="4" w:space="0" w:color="auto"/>
              <w:bottom w:val="single" w:sz="4" w:space="0" w:color="000000"/>
              <w:right w:val="single" w:sz="4" w:space="0" w:color="auto"/>
            </w:tcBorders>
            <w:shd w:val="clear" w:color="auto" w:fill="auto"/>
            <w:vAlign w:val="center"/>
            <w:hideMark/>
          </w:tcPr>
          <w:p w14:paraId="49E8359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801" w:type="dxa"/>
            <w:tcBorders>
              <w:top w:val="nil"/>
              <w:left w:val="nil"/>
              <w:bottom w:val="nil"/>
              <w:right w:val="nil"/>
            </w:tcBorders>
            <w:shd w:val="clear" w:color="auto" w:fill="auto"/>
            <w:vAlign w:val="center"/>
            <w:hideMark/>
          </w:tcPr>
          <w:p w14:paraId="6C5D0E7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901BE6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62F366E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2EBF060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715631A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2BB8C9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00E3EA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7D872BF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5ADA62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single" w:sz="4" w:space="0" w:color="auto"/>
            </w:tcBorders>
            <w:shd w:val="clear" w:color="auto" w:fill="auto"/>
            <w:vAlign w:val="center"/>
            <w:hideMark/>
          </w:tcPr>
          <w:p w14:paraId="31CAF0E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nil"/>
              <w:right w:val="single" w:sz="4" w:space="0" w:color="auto"/>
            </w:tcBorders>
            <w:shd w:val="clear" w:color="auto" w:fill="auto"/>
            <w:vAlign w:val="center"/>
            <w:hideMark/>
          </w:tcPr>
          <w:p w14:paraId="5189324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175B800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100,000</w:t>
            </w:r>
          </w:p>
        </w:tc>
      </w:tr>
      <w:tr w:rsidR="004154AB" w:rsidRPr="004154AB" w14:paraId="2F890FE1"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5FFD594D"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1557DB5B"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6686F99D"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6322E7C8"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D22C52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9F1B59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8D1496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FFB1BC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F64EC0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DBF501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F71294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34939D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B3DF8E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381938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2D064A7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65635A38"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B62A66A"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3832F60B" w14:textId="77777777" w:rsidR="004154AB" w:rsidRPr="004154AB" w:rsidRDefault="004154AB" w:rsidP="004154AB">
            <w:pPr>
              <w:rPr>
                <w:rFonts w:ascii="Arial" w:eastAsia="Times New Roman" w:hAnsi="Arial" w:cs="Arial"/>
                <w:color w:val="000000"/>
                <w:sz w:val="14"/>
                <w:szCs w:val="14"/>
                <w:lang w:val="cs-CZ" w:eastAsia="cs-CZ"/>
              </w:rPr>
            </w:pPr>
          </w:p>
        </w:tc>
        <w:tc>
          <w:tcPr>
            <w:tcW w:w="3314" w:type="dxa"/>
            <w:vMerge/>
            <w:tcBorders>
              <w:top w:val="nil"/>
              <w:left w:val="single" w:sz="4" w:space="0" w:color="auto"/>
              <w:bottom w:val="single" w:sz="4" w:space="0" w:color="000000"/>
              <w:right w:val="single" w:sz="4" w:space="0" w:color="auto"/>
            </w:tcBorders>
            <w:vAlign w:val="center"/>
            <w:hideMark/>
          </w:tcPr>
          <w:p w14:paraId="1615CC88"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5D542A49"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00E72B29"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3F6F61F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F0D2E2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7B1283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25FFAA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720A9F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B266BB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BFFEBC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40615E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8821CA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290EF5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single" w:sz="4" w:space="0" w:color="auto"/>
              <w:right w:val="single" w:sz="4" w:space="0" w:color="auto"/>
            </w:tcBorders>
            <w:shd w:val="clear" w:color="auto" w:fill="auto"/>
            <w:vAlign w:val="center"/>
            <w:hideMark/>
          </w:tcPr>
          <w:p w14:paraId="3D3A551D" w14:textId="3E9A751D"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01E00D16" w14:textId="77777777" w:rsidR="004154AB" w:rsidRPr="004154AB" w:rsidRDefault="004154AB" w:rsidP="004154AB">
            <w:pPr>
              <w:rPr>
                <w:rFonts w:ascii="Arial" w:eastAsia="Times New Roman" w:hAnsi="Arial" w:cs="Arial"/>
                <w:color w:val="000000"/>
                <w:sz w:val="14"/>
                <w:szCs w:val="14"/>
                <w:lang w:val="cs-CZ" w:eastAsia="cs-CZ"/>
              </w:rPr>
            </w:pPr>
          </w:p>
        </w:tc>
      </w:tr>
    </w:tbl>
    <w:p w14:paraId="594E2355" w14:textId="628C1A67" w:rsidR="000A2518" w:rsidRDefault="000A2518" w:rsidP="004154AB">
      <w:pPr>
        <w:ind w:left="113" w:right="108"/>
        <w:jc w:val="both"/>
        <w:rPr>
          <w:rFonts w:ascii="Arial" w:eastAsia="Arial" w:hAnsi="Arial" w:cs="Arial"/>
          <w:color w:val="000000"/>
          <w:sz w:val="20"/>
          <w:lang w:val="cs-CZ"/>
        </w:rPr>
      </w:pPr>
    </w:p>
    <w:p w14:paraId="33DDBB7C" w14:textId="1C2E86E2" w:rsidR="009E49E6" w:rsidRDefault="009E49E6" w:rsidP="004154AB">
      <w:pPr>
        <w:ind w:left="113" w:right="108"/>
        <w:jc w:val="both"/>
        <w:rPr>
          <w:rFonts w:ascii="Arial" w:eastAsia="Arial" w:hAnsi="Arial" w:cs="Arial"/>
          <w:color w:val="000000"/>
          <w:sz w:val="20"/>
          <w:lang w:val="cs-CZ"/>
        </w:rPr>
      </w:pPr>
    </w:p>
    <w:p w14:paraId="3FF94978" w14:textId="77777777" w:rsidR="009E49E6" w:rsidRPr="002F2BE4" w:rsidRDefault="009E49E6" w:rsidP="004154AB">
      <w:pPr>
        <w:ind w:left="113" w:right="108"/>
        <w:jc w:val="both"/>
        <w:rPr>
          <w:rFonts w:ascii="Arial" w:eastAsia="Arial" w:hAnsi="Arial" w:cs="Arial"/>
          <w:color w:val="000000"/>
          <w:sz w:val="20"/>
          <w:lang w:val="cs-CZ"/>
        </w:rPr>
      </w:pPr>
    </w:p>
    <w:p w14:paraId="051AD8BF" w14:textId="77777777" w:rsidR="00FD35AB" w:rsidRDefault="00FD35AB" w:rsidP="004154AB">
      <w:pPr>
        <w:keepNext/>
        <w:ind w:left="113" w:right="108"/>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03.3.60 Aktivní začleňování, včetně začleňování s ohledem na podporu rovných příležitostí a aktivní účast a zlepšení zaměstnatelnosti</w:t>
      </w:r>
    </w:p>
    <w:tbl>
      <w:tblPr>
        <w:tblW w:w="15748" w:type="dxa"/>
        <w:tblInd w:w="75" w:type="dxa"/>
        <w:tblCellMar>
          <w:left w:w="70" w:type="dxa"/>
          <w:right w:w="70" w:type="dxa"/>
        </w:tblCellMar>
        <w:tblLook w:val="04A0" w:firstRow="1" w:lastRow="0" w:firstColumn="1" w:lastColumn="0" w:noHBand="0" w:noVBand="1"/>
      </w:tblPr>
      <w:tblGrid>
        <w:gridCol w:w="934"/>
        <w:gridCol w:w="3226"/>
        <w:gridCol w:w="996"/>
        <w:gridCol w:w="887"/>
        <w:gridCol w:w="786"/>
        <w:gridCol w:w="786"/>
        <w:gridCol w:w="786"/>
        <w:gridCol w:w="786"/>
        <w:gridCol w:w="786"/>
        <w:gridCol w:w="786"/>
        <w:gridCol w:w="786"/>
        <w:gridCol w:w="786"/>
        <w:gridCol w:w="786"/>
        <w:gridCol w:w="786"/>
        <w:gridCol w:w="14"/>
        <w:gridCol w:w="990"/>
        <w:gridCol w:w="13"/>
        <w:gridCol w:w="828"/>
      </w:tblGrid>
      <w:tr w:rsidR="004154AB" w:rsidRPr="004154AB" w14:paraId="026AA66F" w14:textId="77777777" w:rsidTr="009E49E6">
        <w:trPr>
          <w:trHeight w:val="20"/>
          <w:tblHeader/>
        </w:trPr>
        <w:tc>
          <w:tcPr>
            <w:tcW w:w="9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0529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2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C58D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38497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66C6D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12E664D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BB7844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3A5AF23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E0AC79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E982B7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EC79FB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B46E72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A1E9B8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340A9F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2C607C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933" w:type="dxa"/>
            <w:gridSpan w:val="2"/>
            <w:tcBorders>
              <w:top w:val="single" w:sz="4" w:space="0" w:color="auto"/>
              <w:left w:val="nil"/>
              <w:bottom w:val="single" w:sz="4" w:space="0" w:color="auto"/>
              <w:right w:val="single" w:sz="4" w:space="0" w:color="auto"/>
            </w:tcBorders>
            <w:shd w:val="clear" w:color="auto" w:fill="auto"/>
            <w:vAlign w:val="center"/>
            <w:hideMark/>
          </w:tcPr>
          <w:p w14:paraId="6225585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1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BA62B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247FA5CF" w14:textId="77777777" w:rsidTr="009E49E6">
        <w:trPr>
          <w:trHeight w:val="20"/>
          <w:tblHeader/>
        </w:trPr>
        <w:tc>
          <w:tcPr>
            <w:tcW w:w="910" w:type="dxa"/>
            <w:vMerge/>
            <w:tcBorders>
              <w:top w:val="single" w:sz="4" w:space="0" w:color="auto"/>
              <w:left w:val="single" w:sz="4" w:space="0" w:color="auto"/>
              <w:bottom w:val="single" w:sz="4" w:space="0" w:color="auto"/>
              <w:right w:val="single" w:sz="4" w:space="0" w:color="auto"/>
            </w:tcBorders>
            <w:vAlign w:val="center"/>
            <w:hideMark/>
          </w:tcPr>
          <w:p w14:paraId="507FA586" w14:textId="77777777" w:rsidR="004154AB" w:rsidRPr="004154AB" w:rsidRDefault="004154AB" w:rsidP="004154AB">
            <w:pPr>
              <w:rPr>
                <w:rFonts w:ascii="Arial" w:eastAsia="Times New Roman" w:hAnsi="Arial" w:cs="Arial"/>
                <w:b/>
                <w:bCs/>
                <w:color w:val="000000"/>
                <w:sz w:val="14"/>
                <w:szCs w:val="14"/>
                <w:lang w:val="cs-CZ" w:eastAsia="cs-CZ"/>
              </w:rPr>
            </w:pPr>
          </w:p>
        </w:tc>
        <w:tc>
          <w:tcPr>
            <w:tcW w:w="3293" w:type="dxa"/>
            <w:vMerge/>
            <w:tcBorders>
              <w:top w:val="single" w:sz="4" w:space="0" w:color="auto"/>
              <w:left w:val="single" w:sz="4" w:space="0" w:color="auto"/>
              <w:bottom w:val="single" w:sz="4" w:space="0" w:color="auto"/>
              <w:right w:val="single" w:sz="4" w:space="0" w:color="auto"/>
            </w:tcBorders>
            <w:vAlign w:val="center"/>
            <w:hideMark/>
          </w:tcPr>
          <w:p w14:paraId="4BFDDE2C"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2" w:type="dxa"/>
            <w:vMerge/>
            <w:tcBorders>
              <w:top w:val="single" w:sz="4" w:space="0" w:color="auto"/>
              <w:left w:val="single" w:sz="4" w:space="0" w:color="auto"/>
              <w:bottom w:val="single" w:sz="4" w:space="0" w:color="auto"/>
              <w:right w:val="single" w:sz="4" w:space="0" w:color="auto"/>
            </w:tcBorders>
            <w:vAlign w:val="center"/>
            <w:hideMark/>
          </w:tcPr>
          <w:p w14:paraId="65411C51" w14:textId="77777777" w:rsidR="004154AB" w:rsidRPr="004154AB" w:rsidRDefault="004154AB" w:rsidP="004154AB">
            <w:pPr>
              <w:rPr>
                <w:rFonts w:ascii="Arial" w:eastAsia="Times New Roman" w:hAnsi="Arial" w:cs="Arial"/>
                <w:b/>
                <w:bCs/>
                <w:color w:val="000000"/>
                <w:sz w:val="14"/>
                <w:szCs w:val="14"/>
                <w:lang w:val="cs-CZ" w:eastAsia="cs-CZ"/>
              </w:rPr>
            </w:pPr>
          </w:p>
        </w:tc>
        <w:tc>
          <w:tcPr>
            <w:tcW w:w="824" w:type="dxa"/>
            <w:vMerge/>
            <w:tcBorders>
              <w:top w:val="single" w:sz="4" w:space="0" w:color="auto"/>
              <w:left w:val="single" w:sz="4" w:space="0" w:color="auto"/>
              <w:bottom w:val="single" w:sz="4" w:space="0" w:color="000000"/>
              <w:right w:val="single" w:sz="4" w:space="0" w:color="auto"/>
            </w:tcBorders>
            <w:vAlign w:val="center"/>
            <w:hideMark/>
          </w:tcPr>
          <w:p w14:paraId="0DE84391" w14:textId="77777777" w:rsidR="004154AB" w:rsidRPr="004154AB" w:rsidRDefault="004154AB" w:rsidP="004154AB">
            <w:pPr>
              <w:rPr>
                <w:rFonts w:ascii="Arial" w:eastAsia="Times New Roman" w:hAnsi="Arial" w:cs="Arial"/>
                <w:b/>
                <w:bCs/>
                <w:color w:val="000000"/>
                <w:sz w:val="14"/>
                <w:szCs w:val="14"/>
                <w:lang w:val="cs-CZ" w:eastAsia="cs-CZ"/>
              </w:rPr>
            </w:pPr>
          </w:p>
        </w:tc>
        <w:tc>
          <w:tcPr>
            <w:tcW w:w="7968" w:type="dxa"/>
            <w:gridSpan w:val="11"/>
            <w:tcBorders>
              <w:top w:val="single" w:sz="4" w:space="0" w:color="auto"/>
              <w:left w:val="nil"/>
              <w:bottom w:val="single" w:sz="4" w:space="0" w:color="auto"/>
              <w:right w:val="single" w:sz="4" w:space="0" w:color="auto"/>
            </w:tcBorders>
            <w:shd w:val="clear" w:color="auto" w:fill="auto"/>
            <w:vAlign w:val="center"/>
            <w:hideMark/>
          </w:tcPr>
          <w:p w14:paraId="2274D9F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933" w:type="dxa"/>
            <w:gridSpan w:val="2"/>
            <w:tcBorders>
              <w:top w:val="nil"/>
              <w:left w:val="nil"/>
              <w:bottom w:val="single" w:sz="4" w:space="0" w:color="auto"/>
              <w:right w:val="single" w:sz="4" w:space="0" w:color="auto"/>
            </w:tcBorders>
            <w:shd w:val="clear" w:color="auto" w:fill="auto"/>
            <w:vAlign w:val="center"/>
            <w:hideMark/>
          </w:tcPr>
          <w:p w14:paraId="77DB56E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18" w:type="dxa"/>
            <w:vMerge/>
            <w:tcBorders>
              <w:top w:val="single" w:sz="4" w:space="0" w:color="auto"/>
              <w:left w:val="single" w:sz="4" w:space="0" w:color="auto"/>
              <w:bottom w:val="single" w:sz="4" w:space="0" w:color="000000"/>
              <w:right w:val="single" w:sz="4" w:space="0" w:color="auto"/>
            </w:tcBorders>
            <w:vAlign w:val="center"/>
            <w:hideMark/>
          </w:tcPr>
          <w:p w14:paraId="34A1211A"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6AEF2470" w14:textId="77777777" w:rsidTr="009E49E6">
        <w:trPr>
          <w:trHeight w:val="20"/>
          <w:tblHeader/>
        </w:trPr>
        <w:tc>
          <w:tcPr>
            <w:tcW w:w="910" w:type="dxa"/>
            <w:vMerge/>
            <w:tcBorders>
              <w:top w:val="single" w:sz="4" w:space="0" w:color="auto"/>
              <w:left w:val="single" w:sz="4" w:space="0" w:color="auto"/>
              <w:bottom w:val="single" w:sz="4" w:space="0" w:color="auto"/>
              <w:right w:val="single" w:sz="4" w:space="0" w:color="auto"/>
            </w:tcBorders>
            <w:vAlign w:val="center"/>
            <w:hideMark/>
          </w:tcPr>
          <w:p w14:paraId="5008B4FD" w14:textId="77777777" w:rsidR="004154AB" w:rsidRPr="004154AB" w:rsidRDefault="004154AB" w:rsidP="004154AB">
            <w:pPr>
              <w:rPr>
                <w:rFonts w:ascii="Arial" w:eastAsia="Times New Roman" w:hAnsi="Arial" w:cs="Arial"/>
                <w:b/>
                <w:bCs/>
                <w:color w:val="000000"/>
                <w:sz w:val="14"/>
                <w:szCs w:val="14"/>
                <w:lang w:val="cs-CZ" w:eastAsia="cs-CZ"/>
              </w:rPr>
            </w:pPr>
          </w:p>
        </w:tc>
        <w:tc>
          <w:tcPr>
            <w:tcW w:w="3293" w:type="dxa"/>
            <w:vMerge/>
            <w:tcBorders>
              <w:top w:val="single" w:sz="4" w:space="0" w:color="auto"/>
              <w:left w:val="single" w:sz="4" w:space="0" w:color="auto"/>
              <w:bottom w:val="single" w:sz="4" w:space="0" w:color="auto"/>
              <w:right w:val="single" w:sz="4" w:space="0" w:color="auto"/>
            </w:tcBorders>
            <w:vAlign w:val="center"/>
            <w:hideMark/>
          </w:tcPr>
          <w:p w14:paraId="79142FFD"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2" w:type="dxa"/>
            <w:vMerge/>
            <w:tcBorders>
              <w:top w:val="single" w:sz="4" w:space="0" w:color="auto"/>
              <w:left w:val="single" w:sz="4" w:space="0" w:color="auto"/>
              <w:bottom w:val="single" w:sz="4" w:space="0" w:color="auto"/>
              <w:right w:val="single" w:sz="4" w:space="0" w:color="auto"/>
            </w:tcBorders>
            <w:vAlign w:val="center"/>
            <w:hideMark/>
          </w:tcPr>
          <w:p w14:paraId="1681F433" w14:textId="77777777" w:rsidR="004154AB" w:rsidRPr="004154AB" w:rsidRDefault="004154AB" w:rsidP="004154AB">
            <w:pPr>
              <w:rPr>
                <w:rFonts w:ascii="Arial" w:eastAsia="Times New Roman" w:hAnsi="Arial" w:cs="Arial"/>
                <w:b/>
                <w:bCs/>
                <w:color w:val="000000"/>
                <w:sz w:val="14"/>
                <w:szCs w:val="14"/>
                <w:lang w:val="cs-CZ" w:eastAsia="cs-CZ"/>
              </w:rPr>
            </w:pPr>
          </w:p>
        </w:tc>
        <w:tc>
          <w:tcPr>
            <w:tcW w:w="824" w:type="dxa"/>
            <w:vMerge/>
            <w:tcBorders>
              <w:top w:val="single" w:sz="4" w:space="0" w:color="auto"/>
              <w:left w:val="single" w:sz="4" w:space="0" w:color="auto"/>
              <w:bottom w:val="single" w:sz="4" w:space="0" w:color="000000"/>
              <w:right w:val="single" w:sz="4" w:space="0" w:color="auto"/>
            </w:tcBorders>
            <w:vAlign w:val="center"/>
            <w:hideMark/>
          </w:tcPr>
          <w:p w14:paraId="1282029A" w14:textId="77777777" w:rsidR="004154AB" w:rsidRPr="004154AB" w:rsidRDefault="004154AB" w:rsidP="004154AB">
            <w:pPr>
              <w:rPr>
                <w:rFonts w:ascii="Arial" w:eastAsia="Times New Roman" w:hAnsi="Arial" w:cs="Arial"/>
                <w:b/>
                <w:bCs/>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20AA78A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46E38D0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22A6817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68C17AF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6197FDB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1EEC81F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724199B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59B3174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4690431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796" w:type="dxa"/>
            <w:tcBorders>
              <w:top w:val="nil"/>
              <w:left w:val="nil"/>
              <w:bottom w:val="single" w:sz="4" w:space="0" w:color="auto"/>
              <w:right w:val="single" w:sz="4" w:space="0" w:color="auto"/>
            </w:tcBorders>
            <w:shd w:val="clear" w:color="auto" w:fill="auto"/>
            <w:vAlign w:val="center"/>
            <w:hideMark/>
          </w:tcPr>
          <w:p w14:paraId="276A12A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33" w:type="dxa"/>
            <w:gridSpan w:val="2"/>
            <w:tcBorders>
              <w:top w:val="nil"/>
              <w:left w:val="nil"/>
              <w:bottom w:val="single" w:sz="4" w:space="0" w:color="auto"/>
              <w:right w:val="single" w:sz="4" w:space="0" w:color="auto"/>
            </w:tcBorders>
            <w:shd w:val="clear" w:color="auto" w:fill="auto"/>
            <w:vAlign w:val="center"/>
            <w:hideMark/>
          </w:tcPr>
          <w:p w14:paraId="2B5AA04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18" w:type="dxa"/>
            <w:gridSpan w:val="2"/>
            <w:vMerge/>
            <w:tcBorders>
              <w:top w:val="single" w:sz="4" w:space="0" w:color="auto"/>
              <w:left w:val="single" w:sz="4" w:space="0" w:color="auto"/>
              <w:bottom w:val="single" w:sz="4" w:space="0" w:color="000000"/>
              <w:right w:val="single" w:sz="4" w:space="0" w:color="auto"/>
            </w:tcBorders>
            <w:vAlign w:val="center"/>
            <w:hideMark/>
          </w:tcPr>
          <w:p w14:paraId="4EC4B20B"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0CD91CEB" w14:textId="77777777" w:rsidTr="009E49E6">
        <w:trPr>
          <w:trHeight w:val="20"/>
          <w:tblHeader/>
        </w:trPr>
        <w:tc>
          <w:tcPr>
            <w:tcW w:w="910" w:type="dxa"/>
            <w:vMerge/>
            <w:tcBorders>
              <w:top w:val="single" w:sz="4" w:space="0" w:color="auto"/>
              <w:left w:val="single" w:sz="4" w:space="0" w:color="auto"/>
              <w:bottom w:val="single" w:sz="4" w:space="0" w:color="auto"/>
              <w:right w:val="single" w:sz="4" w:space="0" w:color="auto"/>
            </w:tcBorders>
            <w:vAlign w:val="center"/>
            <w:hideMark/>
          </w:tcPr>
          <w:p w14:paraId="7355D1B9" w14:textId="77777777" w:rsidR="004154AB" w:rsidRPr="004154AB" w:rsidRDefault="004154AB" w:rsidP="004154AB">
            <w:pPr>
              <w:rPr>
                <w:rFonts w:ascii="Arial" w:eastAsia="Times New Roman" w:hAnsi="Arial" w:cs="Arial"/>
                <w:b/>
                <w:bCs/>
                <w:color w:val="000000"/>
                <w:sz w:val="14"/>
                <w:szCs w:val="14"/>
                <w:lang w:val="cs-CZ" w:eastAsia="cs-CZ"/>
              </w:rPr>
            </w:pPr>
          </w:p>
        </w:tc>
        <w:tc>
          <w:tcPr>
            <w:tcW w:w="3293" w:type="dxa"/>
            <w:vMerge/>
            <w:tcBorders>
              <w:top w:val="single" w:sz="4" w:space="0" w:color="auto"/>
              <w:left w:val="single" w:sz="4" w:space="0" w:color="auto"/>
              <w:bottom w:val="single" w:sz="4" w:space="0" w:color="auto"/>
              <w:right w:val="single" w:sz="4" w:space="0" w:color="auto"/>
            </w:tcBorders>
            <w:vAlign w:val="center"/>
            <w:hideMark/>
          </w:tcPr>
          <w:p w14:paraId="3E5B9BEB"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2" w:type="dxa"/>
            <w:vMerge/>
            <w:tcBorders>
              <w:top w:val="single" w:sz="4" w:space="0" w:color="auto"/>
              <w:left w:val="single" w:sz="4" w:space="0" w:color="auto"/>
              <w:bottom w:val="single" w:sz="4" w:space="0" w:color="auto"/>
              <w:right w:val="single" w:sz="4" w:space="0" w:color="auto"/>
            </w:tcBorders>
            <w:vAlign w:val="center"/>
            <w:hideMark/>
          </w:tcPr>
          <w:p w14:paraId="5B796DFF" w14:textId="77777777" w:rsidR="004154AB" w:rsidRPr="004154AB" w:rsidRDefault="004154AB" w:rsidP="004154AB">
            <w:pPr>
              <w:rPr>
                <w:rFonts w:ascii="Arial" w:eastAsia="Times New Roman" w:hAnsi="Arial" w:cs="Arial"/>
                <w:b/>
                <w:bCs/>
                <w:color w:val="000000"/>
                <w:sz w:val="14"/>
                <w:szCs w:val="14"/>
                <w:lang w:val="cs-CZ" w:eastAsia="cs-CZ"/>
              </w:rPr>
            </w:pPr>
          </w:p>
        </w:tc>
        <w:tc>
          <w:tcPr>
            <w:tcW w:w="824" w:type="dxa"/>
            <w:vMerge/>
            <w:tcBorders>
              <w:top w:val="single" w:sz="4" w:space="0" w:color="auto"/>
              <w:left w:val="single" w:sz="4" w:space="0" w:color="auto"/>
              <w:bottom w:val="single" w:sz="4" w:space="0" w:color="000000"/>
              <w:right w:val="single" w:sz="4" w:space="0" w:color="auto"/>
            </w:tcBorders>
            <w:vAlign w:val="center"/>
            <w:hideMark/>
          </w:tcPr>
          <w:p w14:paraId="5C7DB17E" w14:textId="77777777" w:rsidR="004154AB" w:rsidRPr="004154AB" w:rsidRDefault="004154AB" w:rsidP="004154AB">
            <w:pPr>
              <w:rPr>
                <w:rFonts w:ascii="Arial" w:eastAsia="Times New Roman" w:hAnsi="Arial" w:cs="Arial"/>
                <w:b/>
                <w:bCs/>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5D0F112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2611F1F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197C60A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5395C5C8"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33D169F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03DA05B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5E19012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004F568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7EB6FC1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796" w:type="dxa"/>
            <w:tcBorders>
              <w:top w:val="nil"/>
              <w:left w:val="nil"/>
              <w:bottom w:val="single" w:sz="4" w:space="0" w:color="auto"/>
              <w:right w:val="single" w:sz="4" w:space="0" w:color="auto"/>
            </w:tcBorders>
            <w:shd w:val="clear" w:color="auto" w:fill="auto"/>
            <w:vAlign w:val="center"/>
            <w:hideMark/>
          </w:tcPr>
          <w:p w14:paraId="4CF2CF8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33" w:type="dxa"/>
            <w:gridSpan w:val="2"/>
            <w:tcBorders>
              <w:top w:val="nil"/>
              <w:left w:val="nil"/>
              <w:bottom w:val="single" w:sz="4" w:space="0" w:color="auto"/>
              <w:right w:val="single" w:sz="4" w:space="0" w:color="auto"/>
            </w:tcBorders>
            <w:shd w:val="clear" w:color="auto" w:fill="auto"/>
            <w:vAlign w:val="center"/>
            <w:hideMark/>
          </w:tcPr>
          <w:p w14:paraId="1A108B5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18" w:type="dxa"/>
            <w:gridSpan w:val="2"/>
            <w:vMerge/>
            <w:tcBorders>
              <w:top w:val="single" w:sz="4" w:space="0" w:color="auto"/>
              <w:left w:val="single" w:sz="4" w:space="0" w:color="auto"/>
              <w:bottom w:val="single" w:sz="4" w:space="0" w:color="000000"/>
              <w:right w:val="single" w:sz="4" w:space="0" w:color="auto"/>
            </w:tcBorders>
            <w:vAlign w:val="center"/>
            <w:hideMark/>
          </w:tcPr>
          <w:p w14:paraId="07BD8662"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3ADAAF0C" w14:textId="77777777" w:rsidTr="009E49E6">
        <w:trPr>
          <w:trHeight w:val="20"/>
        </w:trPr>
        <w:tc>
          <w:tcPr>
            <w:tcW w:w="910" w:type="dxa"/>
            <w:vMerge w:val="restart"/>
            <w:tcBorders>
              <w:top w:val="nil"/>
              <w:left w:val="single" w:sz="4" w:space="0" w:color="auto"/>
              <w:bottom w:val="single" w:sz="4" w:space="0" w:color="000000"/>
              <w:right w:val="single" w:sz="4" w:space="0" w:color="auto"/>
            </w:tcBorders>
            <w:shd w:val="clear" w:color="auto" w:fill="auto"/>
            <w:vAlign w:val="center"/>
            <w:hideMark/>
          </w:tcPr>
          <w:p w14:paraId="0037298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3293" w:type="dxa"/>
            <w:vMerge w:val="restart"/>
            <w:tcBorders>
              <w:top w:val="nil"/>
              <w:left w:val="single" w:sz="4" w:space="0" w:color="auto"/>
              <w:bottom w:val="single" w:sz="4" w:space="0" w:color="000000"/>
              <w:right w:val="single" w:sz="4" w:space="0" w:color="auto"/>
            </w:tcBorders>
            <w:shd w:val="clear" w:color="auto" w:fill="auto"/>
            <w:vAlign w:val="center"/>
            <w:hideMark/>
          </w:tcPr>
          <w:p w14:paraId="5F40144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1002" w:type="dxa"/>
            <w:vMerge w:val="restart"/>
            <w:tcBorders>
              <w:top w:val="nil"/>
              <w:left w:val="single" w:sz="4" w:space="0" w:color="auto"/>
              <w:bottom w:val="single" w:sz="4" w:space="0" w:color="000000"/>
              <w:right w:val="single" w:sz="4" w:space="0" w:color="auto"/>
            </w:tcBorders>
            <w:shd w:val="clear" w:color="auto" w:fill="auto"/>
            <w:vAlign w:val="center"/>
            <w:hideMark/>
          </w:tcPr>
          <w:p w14:paraId="3857B10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24" w:type="dxa"/>
            <w:vMerge w:val="restart"/>
            <w:tcBorders>
              <w:top w:val="nil"/>
              <w:left w:val="single" w:sz="4" w:space="0" w:color="auto"/>
              <w:bottom w:val="single" w:sz="4" w:space="0" w:color="000000"/>
              <w:right w:val="single" w:sz="4" w:space="0" w:color="auto"/>
            </w:tcBorders>
            <w:shd w:val="clear" w:color="auto" w:fill="auto"/>
            <w:vAlign w:val="center"/>
            <w:hideMark/>
          </w:tcPr>
          <w:p w14:paraId="172F46B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10,000</w:t>
            </w:r>
          </w:p>
        </w:tc>
        <w:tc>
          <w:tcPr>
            <w:tcW w:w="796" w:type="dxa"/>
            <w:tcBorders>
              <w:top w:val="nil"/>
              <w:left w:val="nil"/>
              <w:bottom w:val="nil"/>
              <w:right w:val="nil"/>
            </w:tcBorders>
            <w:shd w:val="clear" w:color="auto" w:fill="auto"/>
            <w:vAlign w:val="center"/>
            <w:hideMark/>
          </w:tcPr>
          <w:p w14:paraId="0BB8A6E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5E7F69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6EECA0D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06E2BCE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375ECA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1E05348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8BD527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2212AD1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187858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single" w:sz="4" w:space="0" w:color="auto"/>
            </w:tcBorders>
            <w:shd w:val="clear" w:color="auto" w:fill="auto"/>
            <w:vAlign w:val="center"/>
            <w:hideMark/>
          </w:tcPr>
          <w:p w14:paraId="071B5A8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nil"/>
              <w:right w:val="single" w:sz="4" w:space="0" w:color="auto"/>
            </w:tcBorders>
            <w:shd w:val="clear" w:color="auto" w:fill="auto"/>
            <w:vAlign w:val="center"/>
            <w:hideMark/>
          </w:tcPr>
          <w:p w14:paraId="3F6C9A8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86,000</w:t>
            </w:r>
          </w:p>
        </w:tc>
        <w:tc>
          <w:tcPr>
            <w:tcW w:w="8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470EA5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860,000</w:t>
            </w:r>
          </w:p>
        </w:tc>
      </w:tr>
      <w:tr w:rsidR="004154AB" w:rsidRPr="004154AB" w14:paraId="570319A8"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727A35F9"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557590C2"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1A3F53B2"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0A7A98C0"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1C42C35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84D707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5DDF9EF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6E1D2C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060EC5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157DF1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3151C4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1BEB22F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6A84C2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17E040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single" w:sz="4" w:space="0" w:color="auto"/>
              <w:left w:val="nil"/>
              <w:bottom w:val="single" w:sz="4" w:space="0" w:color="auto"/>
              <w:right w:val="single" w:sz="4" w:space="0" w:color="auto"/>
            </w:tcBorders>
            <w:shd w:val="clear" w:color="auto" w:fill="auto"/>
            <w:vAlign w:val="center"/>
            <w:hideMark/>
          </w:tcPr>
          <w:p w14:paraId="7A6E54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759B045B"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6D6A9596"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2CFC32F3"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623B63D9"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1B72784A"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117D7D69"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1640E66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2D405A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AE9209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C94540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167ED6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B0B5AF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DAE7C5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9E50D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332270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60F1A3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single" w:sz="4" w:space="0" w:color="auto"/>
              <w:right w:val="single" w:sz="4" w:space="0" w:color="auto"/>
            </w:tcBorders>
            <w:shd w:val="clear" w:color="auto" w:fill="auto"/>
            <w:vAlign w:val="center"/>
            <w:hideMark/>
          </w:tcPr>
          <w:p w14:paraId="0C6CB8E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41FEF786"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606C889F" w14:textId="77777777" w:rsidTr="009E49E6">
        <w:trPr>
          <w:trHeight w:val="20"/>
        </w:trPr>
        <w:tc>
          <w:tcPr>
            <w:tcW w:w="910" w:type="dxa"/>
            <w:vMerge w:val="restart"/>
            <w:tcBorders>
              <w:top w:val="nil"/>
              <w:left w:val="single" w:sz="4" w:space="0" w:color="auto"/>
              <w:bottom w:val="single" w:sz="4" w:space="0" w:color="000000"/>
              <w:right w:val="single" w:sz="4" w:space="0" w:color="auto"/>
            </w:tcBorders>
            <w:shd w:val="clear" w:color="auto" w:fill="auto"/>
            <w:vAlign w:val="center"/>
            <w:hideMark/>
          </w:tcPr>
          <w:p w14:paraId="2CF98764"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10106/CO23</w:t>
            </w:r>
          </w:p>
        </w:tc>
        <w:tc>
          <w:tcPr>
            <w:tcW w:w="3293" w:type="dxa"/>
            <w:vMerge w:val="restart"/>
            <w:tcBorders>
              <w:top w:val="nil"/>
              <w:left w:val="single" w:sz="4" w:space="0" w:color="auto"/>
              <w:bottom w:val="single" w:sz="4" w:space="0" w:color="000000"/>
              <w:right w:val="single" w:sz="4" w:space="0" w:color="auto"/>
            </w:tcBorders>
            <w:shd w:val="clear" w:color="auto" w:fill="auto"/>
            <w:vAlign w:val="center"/>
            <w:hideMark/>
          </w:tcPr>
          <w:p w14:paraId="7BCBD06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podporovaných mikropodniků, malých a středních podniků</w:t>
            </w:r>
          </w:p>
        </w:tc>
        <w:tc>
          <w:tcPr>
            <w:tcW w:w="1002" w:type="dxa"/>
            <w:vMerge w:val="restart"/>
            <w:tcBorders>
              <w:top w:val="nil"/>
              <w:left w:val="single" w:sz="4" w:space="0" w:color="auto"/>
              <w:bottom w:val="single" w:sz="4" w:space="0" w:color="000000"/>
              <w:right w:val="single" w:sz="4" w:space="0" w:color="auto"/>
            </w:tcBorders>
            <w:shd w:val="clear" w:color="auto" w:fill="auto"/>
            <w:vAlign w:val="center"/>
            <w:hideMark/>
          </w:tcPr>
          <w:p w14:paraId="55061D4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24" w:type="dxa"/>
            <w:vMerge w:val="restart"/>
            <w:tcBorders>
              <w:top w:val="nil"/>
              <w:left w:val="single" w:sz="4" w:space="0" w:color="auto"/>
              <w:bottom w:val="single" w:sz="4" w:space="0" w:color="000000"/>
              <w:right w:val="single" w:sz="4" w:space="0" w:color="auto"/>
            </w:tcBorders>
            <w:shd w:val="clear" w:color="auto" w:fill="auto"/>
            <w:vAlign w:val="center"/>
            <w:hideMark/>
          </w:tcPr>
          <w:p w14:paraId="669D6F4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796" w:type="dxa"/>
            <w:tcBorders>
              <w:top w:val="nil"/>
              <w:left w:val="nil"/>
              <w:bottom w:val="nil"/>
              <w:right w:val="nil"/>
            </w:tcBorders>
            <w:shd w:val="clear" w:color="auto" w:fill="auto"/>
            <w:vAlign w:val="center"/>
            <w:hideMark/>
          </w:tcPr>
          <w:p w14:paraId="40C2CBC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0C0FD0E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55CF132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041F819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7BB21F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113160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04423E0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C5260B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F54517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single" w:sz="4" w:space="0" w:color="auto"/>
            </w:tcBorders>
            <w:shd w:val="clear" w:color="auto" w:fill="auto"/>
            <w:vAlign w:val="center"/>
            <w:hideMark/>
          </w:tcPr>
          <w:p w14:paraId="60C5790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nil"/>
              <w:right w:val="single" w:sz="4" w:space="0" w:color="auto"/>
            </w:tcBorders>
            <w:shd w:val="clear" w:color="auto" w:fill="auto"/>
            <w:vAlign w:val="center"/>
            <w:hideMark/>
          </w:tcPr>
          <w:p w14:paraId="12C0C9B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86,000</w:t>
            </w:r>
          </w:p>
        </w:tc>
        <w:tc>
          <w:tcPr>
            <w:tcW w:w="8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906AEC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8 600,000</w:t>
            </w:r>
          </w:p>
        </w:tc>
      </w:tr>
      <w:tr w:rsidR="004154AB" w:rsidRPr="004154AB" w14:paraId="26F7EFCB"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3EC224A9"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39054CA0"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1B5958D0"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4DB0F05D"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1802009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1FDD94C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12A1235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AD53E9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1CEB7A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267DC6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580375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2D6B9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28DA7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F51D03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single" w:sz="4" w:space="0" w:color="auto"/>
              <w:left w:val="nil"/>
              <w:bottom w:val="single" w:sz="4" w:space="0" w:color="auto"/>
              <w:right w:val="single" w:sz="4" w:space="0" w:color="auto"/>
            </w:tcBorders>
            <w:shd w:val="clear" w:color="auto" w:fill="auto"/>
            <w:vAlign w:val="center"/>
            <w:hideMark/>
          </w:tcPr>
          <w:p w14:paraId="70ADBA6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53D4D4E3"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99B7838"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10B704BB"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583D466F"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41C3FB9F"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1698E0CD"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01F4CA6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7049DA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72165F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751921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F5E62C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300781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40CA1E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3AC5C6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660F54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0AF01F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single" w:sz="4" w:space="0" w:color="auto"/>
              <w:right w:val="single" w:sz="4" w:space="0" w:color="auto"/>
            </w:tcBorders>
            <w:shd w:val="clear" w:color="auto" w:fill="auto"/>
            <w:vAlign w:val="center"/>
            <w:hideMark/>
          </w:tcPr>
          <w:p w14:paraId="24EBDBD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075CAE68"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41FD5D86" w14:textId="77777777" w:rsidTr="009E49E6">
        <w:trPr>
          <w:trHeight w:val="20"/>
        </w:trPr>
        <w:tc>
          <w:tcPr>
            <w:tcW w:w="910" w:type="dxa"/>
            <w:vMerge w:val="restart"/>
            <w:tcBorders>
              <w:top w:val="nil"/>
              <w:left w:val="single" w:sz="4" w:space="0" w:color="auto"/>
              <w:bottom w:val="single" w:sz="4" w:space="0" w:color="000000"/>
              <w:right w:val="single" w:sz="4" w:space="0" w:color="auto"/>
            </w:tcBorders>
            <w:shd w:val="clear" w:color="auto" w:fill="auto"/>
            <w:vAlign w:val="center"/>
            <w:hideMark/>
          </w:tcPr>
          <w:p w14:paraId="2C5FA4C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293" w:type="dxa"/>
            <w:vMerge w:val="restart"/>
            <w:tcBorders>
              <w:top w:val="nil"/>
              <w:left w:val="single" w:sz="4" w:space="0" w:color="auto"/>
              <w:bottom w:val="single" w:sz="4" w:space="0" w:color="000000"/>
              <w:right w:val="single" w:sz="4" w:space="0" w:color="auto"/>
            </w:tcBorders>
            <w:shd w:val="clear" w:color="auto" w:fill="auto"/>
            <w:vAlign w:val="center"/>
            <w:hideMark/>
          </w:tcPr>
          <w:p w14:paraId="6C424FF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1002" w:type="dxa"/>
            <w:vMerge w:val="restart"/>
            <w:tcBorders>
              <w:top w:val="nil"/>
              <w:left w:val="single" w:sz="4" w:space="0" w:color="auto"/>
              <w:bottom w:val="single" w:sz="4" w:space="0" w:color="000000"/>
              <w:right w:val="single" w:sz="4" w:space="0" w:color="auto"/>
            </w:tcBorders>
            <w:shd w:val="clear" w:color="auto" w:fill="auto"/>
            <w:vAlign w:val="center"/>
            <w:hideMark/>
          </w:tcPr>
          <w:p w14:paraId="4702D4D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24" w:type="dxa"/>
            <w:vMerge w:val="restart"/>
            <w:tcBorders>
              <w:top w:val="nil"/>
              <w:left w:val="single" w:sz="4" w:space="0" w:color="auto"/>
              <w:bottom w:val="single" w:sz="4" w:space="0" w:color="000000"/>
              <w:right w:val="single" w:sz="4" w:space="0" w:color="auto"/>
            </w:tcBorders>
            <w:shd w:val="clear" w:color="auto" w:fill="auto"/>
            <w:vAlign w:val="center"/>
            <w:hideMark/>
          </w:tcPr>
          <w:p w14:paraId="52ABAD0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47,000</w:t>
            </w:r>
          </w:p>
        </w:tc>
        <w:tc>
          <w:tcPr>
            <w:tcW w:w="796" w:type="dxa"/>
            <w:tcBorders>
              <w:top w:val="nil"/>
              <w:left w:val="nil"/>
              <w:bottom w:val="nil"/>
              <w:right w:val="nil"/>
            </w:tcBorders>
            <w:shd w:val="clear" w:color="auto" w:fill="auto"/>
            <w:vAlign w:val="center"/>
            <w:hideMark/>
          </w:tcPr>
          <w:p w14:paraId="1F1A6BA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53A05AF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9CE1D7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034CCAA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3408190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35B4F4A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A1A12E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555484F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267D7ED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single" w:sz="4" w:space="0" w:color="auto"/>
            </w:tcBorders>
            <w:shd w:val="clear" w:color="auto" w:fill="auto"/>
            <w:vAlign w:val="center"/>
            <w:hideMark/>
          </w:tcPr>
          <w:p w14:paraId="37782E7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nil"/>
              <w:right w:val="single" w:sz="4" w:space="0" w:color="auto"/>
            </w:tcBorders>
            <w:shd w:val="clear" w:color="auto" w:fill="auto"/>
            <w:vAlign w:val="center"/>
            <w:hideMark/>
          </w:tcPr>
          <w:p w14:paraId="189C3B3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30,000</w:t>
            </w:r>
          </w:p>
        </w:tc>
        <w:tc>
          <w:tcPr>
            <w:tcW w:w="8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C988399"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63,830</w:t>
            </w:r>
          </w:p>
        </w:tc>
      </w:tr>
      <w:tr w:rsidR="004154AB" w:rsidRPr="004154AB" w14:paraId="3A25AA97"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2FF9A876"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17C074FC"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4D54B147"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4521C071"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3AE08C1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536BFE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120252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93F80C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143BF9C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5BEA3D0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43336E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BCE89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3D8CFCB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4C6FEB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single" w:sz="4" w:space="0" w:color="auto"/>
              <w:left w:val="nil"/>
              <w:bottom w:val="single" w:sz="4" w:space="0" w:color="auto"/>
              <w:right w:val="single" w:sz="4" w:space="0" w:color="auto"/>
            </w:tcBorders>
            <w:shd w:val="clear" w:color="auto" w:fill="auto"/>
            <w:vAlign w:val="center"/>
            <w:hideMark/>
          </w:tcPr>
          <w:p w14:paraId="4126D2A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096D1E07"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91BE298"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520E3799"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0677D322"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3DEB7E11"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0E502D4B"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34E644E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0EF182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F7E8B1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4AC273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B6A21A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19A035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C7F349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71154C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EEF356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69E0B73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single" w:sz="4" w:space="0" w:color="auto"/>
              <w:right w:val="single" w:sz="4" w:space="0" w:color="auto"/>
            </w:tcBorders>
            <w:shd w:val="clear" w:color="auto" w:fill="auto"/>
            <w:vAlign w:val="center"/>
            <w:hideMark/>
          </w:tcPr>
          <w:p w14:paraId="6CE18A2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237CE2F7"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25E02FC3" w14:textId="77777777" w:rsidTr="009E49E6">
        <w:trPr>
          <w:trHeight w:val="20"/>
        </w:trPr>
        <w:tc>
          <w:tcPr>
            <w:tcW w:w="910" w:type="dxa"/>
            <w:vMerge w:val="restart"/>
            <w:tcBorders>
              <w:top w:val="nil"/>
              <w:left w:val="single" w:sz="4" w:space="0" w:color="auto"/>
              <w:bottom w:val="single" w:sz="4" w:space="0" w:color="000000"/>
              <w:right w:val="single" w:sz="4" w:space="0" w:color="auto"/>
            </w:tcBorders>
            <w:shd w:val="clear" w:color="auto" w:fill="auto"/>
            <w:vAlign w:val="center"/>
            <w:hideMark/>
          </w:tcPr>
          <w:p w14:paraId="0DD091ED"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62000/CO20</w:t>
            </w:r>
          </w:p>
        </w:tc>
        <w:tc>
          <w:tcPr>
            <w:tcW w:w="3293" w:type="dxa"/>
            <w:vMerge w:val="restart"/>
            <w:tcBorders>
              <w:top w:val="nil"/>
              <w:left w:val="single" w:sz="4" w:space="0" w:color="auto"/>
              <w:bottom w:val="single" w:sz="4" w:space="0" w:color="000000"/>
              <w:right w:val="single" w:sz="4" w:space="0" w:color="auto"/>
            </w:tcBorders>
            <w:shd w:val="clear" w:color="auto" w:fill="auto"/>
            <w:vAlign w:val="center"/>
            <w:hideMark/>
          </w:tcPr>
          <w:p w14:paraId="157AE72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které zcela nebo zčásti provádějí sociální partneři nebo nevládní organizace</w:t>
            </w:r>
          </w:p>
        </w:tc>
        <w:tc>
          <w:tcPr>
            <w:tcW w:w="1002" w:type="dxa"/>
            <w:vMerge w:val="restart"/>
            <w:tcBorders>
              <w:top w:val="nil"/>
              <w:left w:val="single" w:sz="4" w:space="0" w:color="auto"/>
              <w:bottom w:val="single" w:sz="4" w:space="0" w:color="000000"/>
              <w:right w:val="single" w:sz="4" w:space="0" w:color="auto"/>
            </w:tcBorders>
            <w:shd w:val="clear" w:color="auto" w:fill="auto"/>
            <w:vAlign w:val="center"/>
            <w:hideMark/>
          </w:tcPr>
          <w:p w14:paraId="270168A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24" w:type="dxa"/>
            <w:vMerge w:val="restart"/>
            <w:tcBorders>
              <w:top w:val="nil"/>
              <w:left w:val="single" w:sz="4" w:space="0" w:color="auto"/>
              <w:bottom w:val="single" w:sz="4" w:space="0" w:color="000000"/>
              <w:right w:val="single" w:sz="4" w:space="0" w:color="auto"/>
            </w:tcBorders>
            <w:shd w:val="clear" w:color="auto" w:fill="auto"/>
            <w:vAlign w:val="center"/>
            <w:hideMark/>
          </w:tcPr>
          <w:p w14:paraId="7C199B9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6,000</w:t>
            </w:r>
          </w:p>
        </w:tc>
        <w:tc>
          <w:tcPr>
            <w:tcW w:w="796" w:type="dxa"/>
            <w:tcBorders>
              <w:top w:val="nil"/>
              <w:left w:val="nil"/>
              <w:bottom w:val="nil"/>
              <w:right w:val="nil"/>
            </w:tcBorders>
            <w:shd w:val="clear" w:color="auto" w:fill="auto"/>
            <w:vAlign w:val="center"/>
            <w:hideMark/>
          </w:tcPr>
          <w:p w14:paraId="7D72315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20DCAA6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C8227BB"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383B038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B024C2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323010F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906BDC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12AC298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1C2FC88"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single" w:sz="4" w:space="0" w:color="auto"/>
            </w:tcBorders>
            <w:shd w:val="clear" w:color="auto" w:fill="auto"/>
            <w:vAlign w:val="center"/>
            <w:hideMark/>
          </w:tcPr>
          <w:p w14:paraId="605EE657"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nil"/>
              <w:right w:val="single" w:sz="4" w:space="0" w:color="auto"/>
            </w:tcBorders>
            <w:shd w:val="clear" w:color="auto" w:fill="auto"/>
            <w:vAlign w:val="center"/>
            <w:hideMark/>
          </w:tcPr>
          <w:p w14:paraId="33B778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4,000</w:t>
            </w:r>
          </w:p>
        </w:tc>
        <w:tc>
          <w:tcPr>
            <w:tcW w:w="8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084E8B5"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66,667</w:t>
            </w:r>
          </w:p>
        </w:tc>
      </w:tr>
      <w:tr w:rsidR="004154AB" w:rsidRPr="004154AB" w14:paraId="042816F6"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249514AC"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0646D33E"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6622B34F"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5C45C9F8"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C621AF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5AB24B5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500B3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6E9810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706ECA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FB10AE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5FCD42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F64B77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55DF00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7140EB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single" w:sz="4" w:space="0" w:color="auto"/>
              <w:left w:val="nil"/>
              <w:bottom w:val="single" w:sz="4" w:space="0" w:color="auto"/>
              <w:right w:val="single" w:sz="4" w:space="0" w:color="auto"/>
            </w:tcBorders>
            <w:shd w:val="clear" w:color="auto" w:fill="auto"/>
            <w:vAlign w:val="center"/>
            <w:hideMark/>
          </w:tcPr>
          <w:p w14:paraId="07851C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1894164C"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7D193769"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11059B6F"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1F28B06B"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7704AA19"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08FE67E3"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22E42B0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653BB4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543954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CC3083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11EA84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02B840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074527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98C5DD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8FA082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B17BFB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single" w:sz="4" w:space="0" w:color="auto"/>
              <w:right w:val="single" w:sz="4" w:space="0" w:color="auto"/>
            </w:tcBorders>
            <w:shd w:val="clear" w:color="auto" w:fill="auto"/>
            <w:vAlign w:val="center"/>
            <w:hideMark/>
          </w:tcPr>
          <w:p w14:paraId="4921EF7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35EDC131"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5DE8BD3" w14:textId="77777777" w:rsidTr="009E49E6">
        <w:trPr>
          <w:trHeight w:val="20"/>
        </w:trPr>
        <w:tc>
          <w:tcPr>
            <w:tcW w:w="910" w:type="dxa"/>
            <w:vMerge w:val="restart"/>
            <w:tcBorders>
              <w:top w:val="nil"/>
              <w:left w:val="single" w:sz="4" w:space="0" w:color="auto"/>
              <w:bottom w:val="single" w:sz="4" w:space="0" w:color="000000"/>
              <w:right w:val="single" w:sz="4" w:space="0" w:color="auto"/>
            </w:tcBorders>
            <w:shd w:val="clear" w:color="auto" w:fill="auto"/>
            <w:vAlign w:val="center"/>
            <w:hideMark/>
          </w:tcPr>
          <w:p w14:paraId="4B6FA35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293" w:type="dxa"/>
            <w:vMerge w:val="restart"/>
            <w:tcBorders>
              <w:top w:val="nil"/>
              <w:left w:val="single" w:sz="4" w:space="0" w:color="auto"/>
              <w:bottom w:val="single" w:sz="4" w:space="0" w:color="000000"/>
              <w:right w:val="single" w:sz="4" w:space="0" w:color="auto"/>
            </w:tcBorders>
            <w:shd w:val="clear" w:color="auto" w:fill="auto"/>
            <w:vAlign w:val="center"/>
            <w:hideMark/>
          </w:tcPr>
          <w:p w14:paraId="14DA258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02" w:type="dxa"/>
            <w:vMerge w:val="restart"/>
            <w:tcBorders>
              <w:top w:val="nil"/>
              <w:left w:val="single" w:sz="4" w:space="0" w:color="auto"/>
              <w:bottom w:val="single" w:sz="4" w:space="0" w:color="000000"/>
              <w:right w:val="single" w:sz="4" w:space="0" w:color="auto"/>
            </w:tcBorders>
            <w:shd w:val="clear" w:color="auto" w:fill="auto"/>
            <w:vAlign w:val="center"/>
            <w:hideMark/>
          </w:tcPr>
          <w:p w14:paraId="0FDEC5F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24" w:type="dxa"/>
            <w:vMerge w:val="restart"/>
            <w:tcBorders>
              <w:top w:val="nil"/>
              <w:left w:val="single" w:sz="4" w:space="0" w:color="auto"/>
              <w:bottom w:val="single" w:sz="4" w:space="0" w:color="000000"/>
              <w:right w:val="single" w:sz="4" w:space="0" w:color="auto"/>
            </w:tcBorders>
            <w:shd w:val="clear" w:color="auto" w:fill="auto"/>
            <w:vAlign w:val="center"/>
            <w:hideMark/>
          </w:tcPr>
          <w:p w14:paraId="705CB232"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3,000</w:t>
            </w:r>
          </w:p>
        </w:tc>
        <w:tc>
          <w:tcPr>
            <w:tcW w:w="796" w:type="dxa"/>
            <w:tcBorders>
              <w:top w:val="nil"/>
              <w:left w:val="nil"/>
              <w:bottom w:val="nil"/>
              <w:right w:val="nil"/>
            </w:tcBorders>
            <w:shd w:val="clear" w:color="auto" w:fill="auto"/>
            <w:vAlign w:val="center"/>
            <w:hideMark/>
          </w:tcPr>
          <w:p w14:paraId="2F2D2DD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344466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1D4CD6B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27D5546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3E133F1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036943F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861C51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59D37D3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217884A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single" w:sz="4" w:space="0" w:color="auto"/>
            </w:tcBorders>
            <w:shd w:val="clear" w:color="auto" w:fill="auto"/>
            <w:vAlign w:val="center"/>
            <w:hideMark/>
          </w:tcPr>
          <w:p w14:paraId="27868976"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nil"/>
              <w:right w:val="single" w:sz="4" w:space="0" w:color="auto"/>
            </w:tcBorders>
            <w:shd w:val="clear" w:color="auto" w:fill="auto"/>
            <w:vAlign w:val="center"/>
            <w:hideMark/>
          </w:tcPr>
          <w:p w14:paraId="6F54389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5,000</w:t>
            </w:r>
          </w:p>
        </w:tc>
        <w:tc>
          <w:tcPr>
            <w:tcW w:w="8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D0B4EE6"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166,667</w:t>
            </w:r>
          </w:p>
        </w:tc>
      </w:tr>
      <w:tr w:rsidR="004154AB" w:rsidRPr="004154AB" w14:paraId="1D510A6B"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45A6CEF5"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2B5E546A"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5CD91DF4"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105F035E"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810EBF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C38384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3D37FF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3E1ED5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D5B1A0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5B02E00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18584F4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EE5D9C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2E0FE6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C8CEEC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single" w:sz="4" w:space="0" w:color="auto"/>
              <w:left w:val="nil"/>
              <w:bottom w:val="single" w:sz="4" w:space="0" w:color="auto"/>
              <w:right w:val="single" w:sz="4" w:space="0" w:color="auto"/>
            </w:tcBorders>
            <w:shd w:val="clear" w:color="auto" w:fill="auto"/>
            <w:vAlign w:val="center"/>
            <w:hideMark/>
          </w:tcPr>
          <w:p w14:paraId="35B1A3C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7AE42449"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67A09639"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49097520"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0ADF26B1"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2DDC1484"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6F0BD8FA"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348FE48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F3F1D0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3499DC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A36243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A18652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4ECFD0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2B3E56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A74CE4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2E1956A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D1EF42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single" w:sz="4" w:space="0" w:color="auto"/>
              <w:right w:val="single" w:sz="4" w:space="0" w:color="auto"/>
            </w:tcBorders>
            <w:shd w:val="clear" w:color="auto" w:fill="auto"/>
            <w:vAlign w:val="center"/>
            <w:hideMark/>
          </w:tcPr>
          <w:p w14:paraId="4788623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562BC139"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2CA7FF9" w14:textId="77777777" w:rsidTr="009E49E6">
        <w:trPr>
          <w:trHeight w:val="20"/>
        </w:trPr>
        <w:tc>
          <w:tcPr>
            <w:tcW w:w="910" w:type="dxa"/>
            <w:vMerge w:val="restart"/>
            <w:tcBorders>
              <w:top w:val="nil"/>
              <w:left w:val="single" w:sz="4" w:space="0" w:color="auto"/>
              <w:bottom w:val="single" w:sz="4" w:space="0" w:color="000000"/>
              <w:right w:val="single" w:sz="4" w:space="0" w:color="auto"/>
            </w:tcBorders>
            <w:shd w:val="clear" w:color="auto" w:fill="auto"/>
            <w:vAlign w:val="center"/>
            <w:hideMark/>
          </w:tcPr>
          <w:p w14:paraId="16B005D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293" w:type="dxa"/>
            <w:vMerge w:val="restart"/>
            <w:tcBorders>
              <w:top w:val="nil"/>
              <w:left w:val="single" w:sz="4" w:space="0" w:color="auto"/>
              <w:bottom w:val="single" w:sz="4" w:space="0" w:color="000000"/>
              <w:right w:val="single" w:sz="4" w:space="0" w:color="auto"/>
            </w:tcBorders>
            <w:shd w:val="clear" w:color="auto" w:fill="auto"/>
            <w:vAlign w:val="center"/>
            <w:hideMark/>
          </w:tcPr>
          <w:p w14:paraId="79DCC99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02" w:type="dxa"/>
            <w:vMerge w:val="restart"/>
            <w:tcBorders>
              <w:top w:val="nil"/>
              <w:left w:val="single" w:sz="4" w:space="0" w:color="auto"/>
              <w:bottom w:val="single" w:sz="4" w:space="0" w:color="000000"/>
              <w:right w:val="single" w:sz="4" w:space="0" w:color="auto"/>
            </w:tcBorders>
            <w:shd w:val="clear" w:color="auto" w:fill="auto"/>
            <w:vAlign w:val="center"/>
            <w:hideMark/>
          </w:tcPr>
          <w:p w14:paraId="262F9B4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24" w:type="dxa"/>
            <w:vMerge w:val="restart"/>
            <w:tcBorders>
              <w:top w:val="nil"/>
              <w:left w:val="single" w:sz="4" w:space="0" w:color="auto"/>
              <w:bottom w:val="single" w:sz="4" w:space="0" w:color="000000"/>
              <w:right w:val="single" w:sz="4" w:space="0" w:color="auto"/>
            </w:tcBorders>
            <w:shd w:val="clear" w:color="auto" w:fill="auto"/>
            <w:vAlign w:val="center"/>
            <w:hideMark/>
          </w:tcPr>
          <w:p w14:paraId="0B6597D7"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796" w:type="dxa"/>
            <w:tcBorders>
              <w:top w:val="nil"/>
              <w:left w:val="nil"/>
              <w:bottom w:val="nil"/>
              <w:right w:val="nil"/>
            </w:tcBorders>
            <w:shd w:val="clear" w:color="auto" w:fill="auto"/>
            <w:vAlign w:val="center"/>
            <w:hideMark/>
          </w:tcPr>
          <w:p w14:paraId="537ED5C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3DC998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00FB70A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91E1DA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2365294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7AEC526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5722A85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67A1DB5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nil"/>
            </w:tcBorders>
            <w:shd w:val="clear" w:color="auto" w:fill="auto"/>
            <w:vAlign w:val="center"/>
            <w:hideMark/>
          </w:tcPr>
          <w:p w14:paraId="476967F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nil"/>
              <w:right w:val="single" w:sz="4" w:space="0" w:color="auto"/>
            </w:tcBorders>
            <w:shd w:val="clear" w:color="auto" w:fill="auto"/>
            <w:vAlign w:val="center"/>
            <w:hideMark/>
          </w:tcPr>
          <w:p w14:paraId="31C7094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nil"/>
              <w:right w:val="single" w:sz="4" w:space="0" w:color="auto"/>
            </w:tcBorders>
            <w:shd w:val="clear" w:color="auto" w:fill="auto"/>
            <w:vAlign w:val="center"/>
            <w:hideMark/>
          </w:tcPr>
          <w:p w14:paraId="3BBC0E1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1,000</w:t>
            </w:r>
          </w:p>
        </w:tc>
        <w:tc>
          <w:tcPr>
            <w:tcW w:w="8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875304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r>
      <w:tr w:rsidR="004154AB" w:rsidRPr="004154AB" w14:paraId="5490EF47"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2D9C14F4"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57DC8F89"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437B62C5"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6F88FDE6"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58154B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D9AF91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3D53E69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56C2F27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FDCD2D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591558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5389EFB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DBDD54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26AC25E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353663A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single" w:sz="4" w:space="0" w:color="auto"/>
              <w:left w:val="nil"/>
              <w:bottom w:val="single" w:sz="4" w:space="0" w:color="auto"/>
              <w:right w:val="single" w:sz="4" w:space="0" w:color="auto"/>
            </w:tcBorders>
            <w:shd w:val="clear" w:color="auto" w:fill="auto"/>
            <w:vAlign w:val="center"/>
            <w:hideMark/>
          </w:tcPr>
          <w:p w14:paraId="029B11D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1207E961"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5CA356B0" w14:textId="77777777" w:rsidTr="009E49E6">
        <w:trPr>
          <w:trHeight w:val="20"/>
        </w:trPr>
        <w:tc>
          <w:tcPr>
            <w:tcW w:w="910" w:type="dxa"/>
            <w:vMerge/>
            <w:tcBorders>
              <w:top w:val="nil"/>
              <w:left w:val="single" w:sz="4" w:space="0" w:color="auto"/>
              <w:bottom w:val="single" w:sz="4" w:space="0" w:color="000000"/>
              <w:right w:val="single" w:sz="4" w:space="0" w:color="auto"/>
            </w:tcBorders>
            <w:vAlign w:val="center"/>
            <w:hideMark/>
          </w:tcPr>
          <w:p w14:paraId="57385ABF" w14:textId="77777777" w:rsidR="004154AB" w:rsidRPr="004154AB" w:rsidRDefault="004154AB" w:rsidP="004154AB">
            <w:pPr>
              <w:rPr>
                <w:rFonts w:ascii="Arial" w:eastAsia="Times New Roman" w:hAnsi="Arial" w:cs="Arial"/>
                <w:color w:val="000000"/>
                <w:sz w:val="14"/>
                <w:szCs w:val="14"/>
                <w:lang w:val="cs-CZ" w:eastAsia="cs-CZ"/>
              </w:rPr>
            </w:pPr>
          </w:p>
        </w:tc>
        <w:tc>
          <w:tcPr>
            <w:tcW w:w="3293" w:type="dxa"/>
            <w:vMerge/>
            <w:tcBorders>
              <w:top w:val="nil"/>
              <w:left w:val="single" w:sz="4" w:space="0" w:color="auto"/>
              <w:bottom w:val="single" w:sz="4" w:space="0" w:color="000000"/>
              <w:right w:val="single" w:sz="4" w:space="0" w:color="auto"/>
            </w:tcBorders>
            <w:vAlign w:val="center"/>
            <w:hideMark/>
          </w:tcPr>
          <w:p w14:paraId="27FE3711" w14:textId="77777777" w:rsidR="004154AB" w:rsidRPr="004154AB" w:rsidRDefault="004154AB" w:rsidP="004154AB">
            <w:pPr>
              <w:rPr>
                <w:rFonts w:ascii="Arial" w:eastAsia="Times New Roman" w:hAnsi="Arial" w:cs="Arial"/>
                <w:color w:val="000000"/>
                <w:sz w:val="14"/>
                <w:szCs w:val="14"/>
                <w:lang w:val="cs-CZ" w:eastAsia="cs-CZ"/>
              </w:rPr>
            </w:pPr>
          </w:p>
        </w:tc>
        <w:tc>
          <w:tcPr>
            <w:tcW w:w="1002" w:type="dxa"/>
            <w:vMerge/>
            <w:tcBorders>
              <w:top w:val="nil"/>
              <w:left w:val="single" w:sz="4" w:space="0" w:color="auto"/>
              <w:bottom w:val="single" w:sz="4" w:space="0" w:color="000000"/>
              <w:right w:val="single" w:sz="4" w:space="0" w:color="auto"/>
            </w:tcBorders>
            <w:vAlign w:val="center"/>
            <w:hideMark/>
          </w:tcPr>
          <w:p w14:paraId="5E934D4F" w14:textId="77777777" w:rsidR="004154AB" w:rsidRPr="004154AB" w:rsidRDefault="004154AB" w:rsidP="004154AB">
            <w:pPr>
              <w:rPr>
                <w:rFonts w:ascii="Arial" w:eastAsia="Times New Roman" w:hAnsi="Arial" w:cs="Arial"/>
                <w:color w:val="000000"/>
                <w:sz w:val="14"/>
                <w:szCs w:val="14"/>
                <w:lang w:val="cs-CZ" w:eastAsia="cs-CZ"/>
              </w:rPr>
            </w:pPr>
          </w:p>
        </w:tc>
        <w:tc>
          <w:tcPr>
            <w:tcW w:w="824" w:type="dxa"/>
            <w:vMerge/>
            <w:tcBorders>
              <w:top w:val="nil"/>
              <w:left w:val="single" w:sz="4" w:space="0" w:color="auto"/>
              <w:bottom w:val="single" w:sz="4" w:space="0" w:color="000000"/>
              <w:right w:val="single" w:sz="4" w:space="0" w:color="auto"/>
            </w:tcBorders>
            <w:vAlign w:val="center"/>
            <w:hideMark/>
          </w:tcPr>
          <w:p w14:paraId="5409AA23" w14:textId="77777777" w:rsidR="004154AB" w:rsidRPr="004154AB" w:rsidRDefault="004154AB" w:rsidP="004154AB">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11D0E3C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5BEDB5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5F1DCE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AB4F9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4BCD590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1FDCB7F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718A131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590C029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3CCC70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796" w:type="dxa"/>
            <w:tcBorders>
              <w:top w:val="nil"/>
              <w:left w:val="nil"/>
              <w:bottom w:val="single" w:sz="4" w:space="0" w:color="auto"/>
              <w:right w:val="single" w:sz="4" w:space="0" w:color="auto"/>
            </w:tcBorders>
            <w:shd w:val="clear" w:color="auto" w:fill="auto"/>
            <w:vAlign w:val="center"/>
            <w:hideMark/>
          </w:tcPr>
          <w:p w14:paraId="0A157A5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3" w:type="dxa"/>
            <w:gridSpan w:val="2"/>
            <w:tcBorders>
              <w:top w:val="nil"/>
              <w:left w:val="nil"/>
              <w:bottom w:val="single" w:sz="4" w:space="0" w:color="auto"/>
              <w:right w:val="single" w:sz="4" w:space="0" w:color="auto"/>
            </w:tcBorders>
            <w:shd w:val="clear" w:color="auto" w:fill="auto"/>
            <w:vAlign w:val="center"/>
            <w:hideMark/>
          </w:tcPr>
          <w:p w14:paraId="7503E6B9" w14:textId="32B3CFCC"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18" w:type="dxa"/>
            <w:gridSpan w:val="2"/>
            <w:vMerge/>
            <w:tcBorders>
              <w:top w:val="nil"/>
              <w:left w:val="single" w:sz="4" w:space="0" w:color="auto"/>
              <w:bottom w:val="single" w:sz="4" w:space="0" w:color="000000"/>
              <w:right w:val="single" w:sz="4" w:space="0" w:color="auto"/>
            </w:tcBorders>
            <w:vAlign w:val="center"/>
            <w:hideMark/>
          </w:tcPr>
          <w:p w14:paraId="31B7361A" w14:textId="77777777" w:rsidR="004154AB" w:rsidRPr="004154AB" w:rsidRDefault="004154AB" w:rsidP="004154AB">
            <w:pPr>
              <w:rPr>
                <w:rFonts w:ascii="Arial" w:eastAsia="Times New Roman" w:hAnsi="Arial" w:cs="Arial"/>
                <w:color w:val="000000"/>
                <w:sz w:val="14"/>
                <w:szCs w:val="14"/>
                <w:lang w:val="cs-CZ" w:eastAsia="cs-CZ"/>
              </w:rPr>
            </w:pPr>
          </w:p>
        </w:tc>
      </w:tr>
    </w:tbl>
    <w:p w14:paraId="5D5FDD94" w14:textId="77777777" w:rsidR="000A2518" w:rsidRPr="002F2BE4" w:rsidRDefault="000A2518" w:rsidP="004154AB">
      <w:pPr>
        <w:ind w:right="108"/>
        <w:jc w:val="both"/>
        <w:rPr>
          <w:rFonts w:ascii="Arial" w:eastAsia="Arial" w:hAnsi="Arial" w:cs="Arial"/>
          <w:color w:val="000000"/>
          <w:sz w:val="20"/>
          <w:lang w:val="cs-CZ"/>
        </w:rPr>
      </w:pPr>
    </w:p>
    <w:p w14:paraId="4473A189" w14:textId="77777777" w:rsidR="00FD35AB" w:rsidRDefault="00FD35AB" w:rsidP="000A2518">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03.3.74 Investice do institucionální kapacity a efektivnosti veřejné správy a veřejných služeb na celostátní, regionální a místní úrovni za účelem reforem, zlepšování právní úpravy a řádné správy</w:t>
      </w:r>
    </w:p>
    <w:tbl>
      <w:tblPr>
        <w:tblW w:w="15846" w:type="dxa"/>
        <w:tblInd w:w="75" w:type="dxa"/>
        <w:tblCellMar>
          <w:left w:w="70" w:type="dxa"/>
          <w:right w:w="70" w:type="dxa"/>
        </w:tblCellMar>
        <w:tblLook w:val="04A0" w:firstRow="1" w:lastRow="0" w:firstColumn="1" w:lastColumn="0" w:noHBand="0" w:noVBand="1"/>
      </w:tblPr>
      <w:tblGrid>
        <w:gridCol w:w="935"/>
        <w:gridCol w:w="3254"/>
        <w:gridCol w:w="1005"/>
        <w:gridCol w:w="887"/>
        <w:gridCol w:w="792"/>
        <w:gridCol w:w="792"/>
        <w:gridCol w:w="792"/>
        <w:gridCol w:w="792"/>
        <w:gridCol w:w="792"/>
        <w:gridCol w:w="792"/>
        <w:gridCol w:w="792"/>
        <w:gridCol w:w="792"/>
        <w:gridCol w:w="792"/>
        <w:gridCol w:w="792"/>
        <w:gridCol w:w="14"/>
        <w:gridCol w:w="990"/>
        <w:gridCol w:w="13"/>
        <w:gridCol w:w="828"/>
      </w:tblGrid>
      <w:tr w:rsidR="004154AB" w:rsidRPr="004154AB" w14:paraId="582422ED" w14:textId="77777777" w:rsidTr="009E49E6">
        <w:trPr>
          <w:trHeight w:val="20"/>
          <w:tblHeader/>
        </w:trPr>
        <w:tc>
          <w:tcPr>
            <w:tcW w:w="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5B64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ID</w:t>
            </w:r>
          </w:p>
        </w:tc>
        <w:tc>
          <w:tcPr>
            <w:tcW w:w="33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8FA33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Indikátor (název indikátoru)</w:t>
            </w:r>
          </w:p>
        </w:tc>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75E08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Kategorie regionu (je-li relevantní)</w:t>
            </w:r>
          </w:p>
        </w:tc>
        <w:tc>
          <w:tcPr>
            <w:tcW w:w="8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34846C"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Cílová hodnota (2023) (Rozdělení podle pohlaví je pro cíl nepovinné)</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BC8FF1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2014</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8EF301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2015</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B1472D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2016</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A867A7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2017</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414473F"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2018</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8FE21F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2019</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868DD2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2020</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9F95A2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2021</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E04E92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2022</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D716C9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2023</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135F943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Kumulativní hodnota (vypočítána automaticky)</w:t>
            </w:r>
          </w:p>
        </w:tc>
        <w:tc>
          <w:tcPr>
            <w:tcW w:w="82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C657D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Míra splnění Rozdělení podle pohlaví je nepovinné</w:t>
            </w:r>
          </w:p>
        </w:tc>
      </w:tr>
      <w:tr w:rsidR="004154AB" w:rsidRPr="004154AB" w14:paraId="2768EDD1" w14:textId="77777777" w:rsidTr="009E49E6">
        <w:trPr>
          <w:trHeight w:val="20"/>
          <w:tblHeader/>
        </w:trPr>
        <w:tc>
          <w:tcPr>
            <w:tcW w:w="916" w:type="dxa"/>
            <w:vMerge/>
            <w:tcBorders>
              <w:top w:val="single" w:sz="4" w:space="0" w:color="auto"/>
              <w:left w:val="single" w:sz="4" w:space="0" w:color="auto"/>
              <w:bottom w:val="single" w:sz="4" w:space="0" w:color="auto"/>
              <w:right w:val="single" w:sz="4" w:space="0" w:color="auto"/>
            </w:tcBorders>
            <w:vAlign w:val="center"/>
            <w:hideMark/>
          </w:tcPr>
          <w:p w14:paraId="7D5CBFCD" w14:textId="77777777" w:rsidR="004154AB" w:rsidRPr="004154AB" w:rsidRDefault="004154AB" w:rsidP="004154AB">
            <w:pPr>
              <w:rPr>
                <w:rFonts w:ascii="Arial" w:eastAsia="Times New Roman" w:hAnsi="Arial" w:cs="Arial"/>
                <w:b/>
                <w:bCs/>
                <w:color w:val="000000"/>
                <w:sz w:val="14"/>
                <w:szCs w:val="14"/>
                <w:lang w:val="cs-CZ" w:eastAsia="cs-CZ"/>
              </w:rPr>
            </w:pPr>
          </w:p>
        </w:tc>
        <w:tc>
          <w:tcPr>
            <w:tcW w:w="3313" w:type="dxa"/>
            <w:vMerge/>
            <w:tcBorders>
              <w:top w:val="single" w:sz="4" w:space="0" w:color="auto"/>
              <w:left w:val="single" w:sz="4" w:space="0" w:color="auto"/>
              <w:bottom w:val="single" w:sz="4" w:space="0" w:color="auto"/>
              <w:right w:val="single" w:sz="4" w:space="0" w:color="auto"/>
            </w:tcBorders>
            <w:vAlign w:val="center"/>
            <w:hideMark/>
          </w:tcPr>
          <w:p w14:paraId="6A371647"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5E5E96E8" w14:textId="77777777" w:rsidR="004154AB" w:rsidRPr="004154AB" w:rsidRDefault="004154AB" w:rsidP="004154AB">
            <w:pPr>
              <w:rPr>
                <w:rFonts w:ascii="Arial" w:eastAsia="Times New Roman" w:hAnsi="Arial" w:cs="Arial"/>
                <w:b/>
                <w:bCs/>
                <w:color w:val="000000"/>
                <w:sz w:val="14"/>
                <w:szCs w:val="14"/>
                <w:lang w:val="cs-CZ" w:eastAsia="cs-CZ"/>
              </w:rPr>
            </w:pPr>
          </w:p>
        </w:tc>
        <w:tc>
          <w:tcPr>
            <w:tcW w:w="829" w:type="dxa"/>
            <w:vMerge/>
            <w:tcBorders>
              <w:top w:val="single" w:sz="4" w:space="0" w:color="auto"/>
              <w:left w:val="single" w:sz="4" w:space="0" w:color="auto"/>
              <w:bottom w:val="single" w:sz="4" w:space="0" w:color="000000"/>
              <w:right w:val="single" w:sz="4" w:space="0" w:color="auto"/>
            </w:tcBorders>
            <w:vAlign w:val="center"/>
            <w:hideMark/>
          </w:tcPr>
          <w:p w14:paraId="6DD01872" w14:textId="77777777" w:rsidR="004154AB" w:rsidRPr="004154AB" w:rsidRDefault="004154AB" w:rsidP="004154AB">
            <w:pPr>
              <w:rPr>
                <w:rFonts w:ascii="Arial" w:eastAsia="Times New Roman" w:hAnsi="Arial" w:cs="Arial"/>
                <w:b/>
                <w:bCs/>
                <w:color w:val="000000"/>
                <w:sz w:val="14"/>
                <w:szCs w:val="14"/>
                <w:lang w:val="cs-CZ" w:eastAsia="cs-CZ"/>
              </w:rPr>
            </w:pPr>
          </w:p>
        </w:tc>
        <w:tc>
          <w:tcPr>
            <w:tcW w:w="8018" w:type="dxa"/>
            <w:gridSpan w:val="11"/>
            <w:tcBorders>
              <w:top w:val="single" w:sz="4" w:space="0" w:color="auto"/>
              <w:left w:val="nil"/>
              <w:bottom w:val="single" w:sz="4" w:space="0" w:color="auto"/>
              <w:right w:val="single" w:sz="4" w:space="0" w:color="auto"/>
            </w:tcBorders>
            <w:shd w:val="clear" w:color="auto" w:fill="auto"/>
            <w:vAlign w:val="center"/>
            <w:hideMark/>
          </w:tcPr>
          <w:p w14:paraId="6346C94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Roční hodnota</w:t>
            </w:r>
          </w:p>
        </w:tc>
        <w:tc>
          <w:tcPr>
            <w:tcW w:w="939" w:type="dxa"/>
            <w:gridSpan w:val="2"/>
            <w:tcBorders>
              <w:top w:val="nil"/>
              <w:left w:val="nil"/>
              <w:bottom w:val="single" w:sz="4" w:space="0" w:color="auto"/>
              <w:right w:val="single" w:sz="4" w:space="0" w:color="auto"/>
            </w:tcBorders>
            <w:shd w:val="clear" w:color="auto" w:fill="auto"/>
            <w:vAlign w:val="center"/>
            <w:hideMark/>
          </w:tcPr>
          <w:p w14:paraId="2DA43FA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Celkem</w:t>
            </w:r>
          </w:p>
        </w:tc>
        <w:tc>
          <w:tcPr>
            <w:tcW w:w="823" w:type="dxa"/>
            <w:vMerge/>
            <w:tcBorders>
              <w:top w:val="single" w:sz="4" w:space="0" w:color="auto"/>
              <w:left w:val="single" w:sz="4" w:space="0" w:color="auto"/>
              <w:bottom w:val="single" w:sz="4" w:space="0" w:color="000000"/>
              <w:right w:val="single" w:sz="4" w:space="0" w:color="auto"/>
            </w:tcBorders>
            <w:vAlign w:val="center"/>
            <w:hideMark/>
          </w:tcPr>
          <w:p w14:paraId="112A8625"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4871716A" w14:textId="77777777" w:rsidTr="009E49E6">
        <w:trPr>
          <w:trHeight w:val="20"/>
          <w:tblHeader/>
        </w:trPr>
        <w:tc>
          <w:tcPr>
            <w:tcW w:w="916" w:type="dxa"/>
            <w:vMerge/>
            <w:tcBorders>
              <w:top w:val="single" w:sz="4" w:space="0" w:color="auto"/>
              <w:left w:val="single" w:sz="4" w:space="0" w:color="auto"/>
              <w:bottom w:val="single" w:sz="4" w:space="0" w:color="auto"/>
              <w:right w:val="single" w:sz="4" w:space="0" w:color="auto"/>
            </w:tcBorders>
            <w:vAlign w:val="center"/>
            <w:hideMark/>
          </w:tcPr>
          <w:p w14:paraId="7F78437D" w14:textId="77777777" w:rsidR="004154AB" w:rsidRPr="004154AB" w:rsidRDefault="004154AB" w:rsidP="004154AB">
            <w:pPr>
              <w:rPr>
                <w:rFonts w:ascii="Arial" w:eastAsia="Times New Roman" w:hAnsi="Arial" w:cs="Arial"/>
                <w:b/>
                <w:bCs/>
                <w:color w:val="000000"/>
                <w:sz w:val="14"/>
                <w:szCs w:val="14"/>
                <w:lang w:val="cs-CZ" w:eastAsia="cs-CZ"/>
              </w:rPr>
            </w:pPr>
          </w:p>
        </w:tc>
        <w:tc>
          <w:tcPr>
            <w:tcW w:w="3313" w:type="dxa"/>
            <w:vMerge/>
            <w:tcBorders>
              <w:top w:val="single" w:sz="4" w:space="0" w:color="auto"/>
              <w:left w:val="single" w:sz="4" w:space="0" w:color="auto"/>
              <w:bottom w:val="single" w:sz="4" w:space="0" w:color="auto"/>
              <w:right w:val="single" w:sz="4" w:space="0" w:color="auto"/>
            </w:tcBorders>
            <w:vAlign w:val="center"/>
            <w:hideMark/>
          </w:tcPr>
          <w:p w14:paraId="43C20713"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059636B4" w14:textId="77777777" w:rsidR="004154AB" w:rsidRPr="004154AB" w:rsidRDefault="004154AB" w:rsidP="004154AB">
            <w:pPr>
              <w:rPr>
                <w:rFonts w:ascii="Arial" w:eastAsia="Times New Roman" w:hAnsi="Arial" w:cs="Arial"/>
                <w:b/>
                <w:bCs/>
                <w:color w:val="000000"/>
                <w:sz w:val="14"/>
                <w:szCs w:val="14"/>
                <w:lang w:val="cs-CZ" w:eastAsia="cs-CZ"/>
              </w:rPr>
            </w:pPr>
          </w:p>
        </w:tc>
        <w:tc>
          <w:tcPr>
            <w:tcW w:w="829" w:type="dxa"/>
            <w:vMerge/>
            <w:tcBorders>
              <w:top w:val="single" w:sz="4" w:space="0" w:color="auto"/>
              <w:left w:val="single" w:sz="4" w:space="0" w:color="auto"/>
              <w:bottom w:val="single" w:sz="4" w:space="0" w:color="000000"/>
              <w:right w:val="single" w:sz="4" w:space="0" w:color="auto"/>
            </w:tcBorders>
            <w:vAlign w:val="center"/>
            <w:hideMark/>
          </w:tcPr>
          <w:p w14:paraId="6EBD3FD9" w14:textId="77777777" w:rsidR="004154AB" w:rsidRPr="004154AB" w:rsidRDefault="004154AB" w:rsidP="004154AB">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6D476B5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67ED6D53"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1A87F414"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6CAB5E7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05539B61"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737C88DD"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0B9B821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67D9A2B6"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2344067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01" w:type="dxa"/>
            <w:tcBorders>
              <w:top w:val="nil"/>
              <w:left w:val="nil"/>
              <w:bottom w:val="single" w:sz="4" w:space="0" w:color="auto"/>
              <w:right w:val="single" w:sz="4" w:space="0" w:color="auto"/>
            </w:tcBorders>
            <w:shd w:val="clear" w:color="auto" w:fill="auto"/>
            <w:vAlign w:val="center"/>
            <w:hideMark/>
          </w:tcPr>
          <w:p w14:paraId="03B90815"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939" w:type="dxa"/>
            <w:gridSpan w:val="2"/>
            <w:tcBorders>
              <w:top w:val="nil"/>
              <w:left w:val="nil"/>
              <w:bottom w:val="single" w:sz="4" w:space="0" w:color="auto"/>
              <w:right w:val="single" w:sz="4" w:space="0" w:color="auto"/>
            </w:tcBorders>
            <w:shd w:val="clear" w:color="auto" w:fill="auto"/>
            <w:vAlign w:val="center"/>
            <w:hideMark/>
          </w:tcPr>
          <w:p w14:paraId="6C77C2F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M</w:t>
            </w:r>
          </w:p>
        </w:tc>
        <w:tc>
          <w:tcPr>
            <w:tcW w:w="823" w:type="dxa"/>
            <w:gridSpan w:val="2"/>
            <w:vMerge/>
            <w:tcBorders>
              <w:top w:val="single" w:sz="4" w:space="0" w:color="auto"/>
              <w:left w:val="single" w:sz="4" w:space="0" w:color="auto"/>
              <w:bottom w:val="single" w:sz="4" w:space="0" w:color="000000"/>
              <w:right w:val="single" w:sz="4" w:space="0" w:color="auto"/>
            </w:tcBorders>
            <w:vAlign w:val="center"/>
            <w:hideMark/>
          </w:tcPr>
          <w:p w14:paraId="497FD73F"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37631312" w14:textId="77777777" w:rsidTr="009E49E6">
        <w:trPr>
          <w:trHeight w:val="20"/>
          <w:tblHeader/>
        </w:trPr>
        <w:tc>
          <w:tcPr>
            <w:tcW w:w="916" w:type="dxa"/>
            <w:vMerge/>
            <w:tcBorders>
              <w:top w:val="single" w:sz="4" w:space="0" w:color="auto"/>
              <w:left w:val="single" w:sz="4" w:space="0" w:color="auto"/>
              <w:bottom w:val="single" w:sz="4" w:space="0" w:color="auto"/>
              <w:right w:val="single" w:sz="4" w:space="0" w:color="auto"/>
            </w:tcBorders>
            <w:vAlign w:val="center"/>
            <w:hideMark/>
          </w:tcPr>
          <w:p w14:paraId="4318CE11" w14:textId="77777777" w:rsidR="004154AB" w:rsidRPr="004154AB" w:rsidRDefault="004154AB" w:rsidP="004154AB">
            <w:pPr>
              <w:rPr>
                <w:rFonts w:ascii="Arial" w:eastAsia="Times New Roman" w:hAnsi="Arial" w:cs="Arial"/>
                <w:b/>
                <w:bCs/>
                <w:color w:val="000000"/>
                <w:sz w:val="14"/>
                <w:szCs w:val="14"/>
                <w:lang w:val="cs-CZ" w:eastAsia="cs-CZ"/>
              </w:rPr>
            </w:pPr>
          </w:p>
        </w:tc>
        <w:tc>
          <w:tcPr>
            <w:tcW w:w="3313" w:type="dxa"/>
            <w:vMerge/>
            <w:tcBorders>
              <w:top w:val="single" w:sz="4" w:space="0" w:color="auto"/>
              <w:left w:val="single" w:sz="4" w:space="0" w:color="auto"/>
              <w:bottom w:val="single" w:sz="4" w:space="0" w:color="auto"/>
              <w:right w:val="single" w:sz="4" w:space="0" w:color="auto"/>
            </w:tcBorders>
            <w:vAlign w:val="center"/>
            <w:hideMark/>
          </w:tcPr>
          <w:p w14:paraId="29A644DC" w14:textId="77777777" w:rsidR="004154AB" w:rsidRPr="004154AB" w:rsidRDefault="004154AB" w:rsidP="004154AB">
            <w:pPr>
              <w:rPr>
                <w:rFonts w:ascii="Arial" w:eastAsia="Times New Roman" w:hAnsi="Arial" w:cs="Arial"/>
                <w:b/>
                <w:bCs/>
                <w:color w:val="000000"/>
                <w:sz w:val="14"/>
                <w:szCs w:val="14"/>
                <w:lang w:val="cs-CZ" w:eastAsia="cs-CZ"/>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6AAC67DD" w14:textId="77777777" w:rsidR="004154AB" w:rsidRPr="004154AB" w:rsidRDefault="004154AB" w:rsidP="004154AB">
            <w:pPr>
              <w:rPr>
                <w:rFonts w:ascii="Arial" w:eastAsia="Times New Roman" w:hAnsi="Arial" w:cs="Arial"/>
                <w:b/>
                <w:bCs/>
                <w:color w:val="000000"/>
                <w:sz w:val="14"/>
                <w:szCs w:val="14"/>
                <w:lang w:val="cs-CZ" w:eastAsia="cs-CZ"/>
              </w:rPr>
            </w:pPr>
          </w:p>
        </w:tc>
        <w:tc>
          <w:tcPr>
            <w:tcW w:w="829" w:type="dxa"/>
            <w:vMerge/>
            <w:tcBorders>
              <w:top w:val="single" w:sz="4" w:space="0" w:color="auto"/>
              <w:left w:val="single" w:sz="4" w:space="0" w:color="auto"/>
              <w:bottom w:val="single" w:sz="4" w:space="0" w:color="000000"/>
              <w:right w:val="single" w:sz="4" w:space="0" w:color="auto"/>
            </w:tcBorders>
            <w:vAlign w:val="center"/>
            <w:hideMark/>
          </w:tcPr>
          <w:p w14:paraId="73196F1C" w14:textId="77777777" w:rsidR="004154AB" w:rsidRPr="004154AB" w:rsidRDefault="004154AB" w:rsidP="004154AB">
            <w:pPr>
              <w:rPr>
                <w:rFonts w:ascii="Arial" w:eastAsia="Times New Roman" w:hAnsi="Arial" w:cs="Arial"/>
                <w:b/>
                <w:bCs/>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31C87F9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73D42FA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2E350B69"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44038ACB"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56F06ACE"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603E519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51CD68F2"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503FEA40"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3F0A6707"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01" w:type="dxa"/>
            <w:tcBorders>
              <w:top w:val="nil"/>
              <w:left w:val="nil"/>
              <w:bottom w:val="single" w:sz="4" w:space="0" w:color="auto"/>
              <w:right w:val="single" w:sz="4" w:space="0" w:color="auto"/>
            </w:tcBorders>
            <w:shd w:val="clear" w:color="auto" w:fill="auto"/>
            <w:vAlign w:val="center"/>
            <w:hideMark/>
          </w:tcPr>
          <w:p w14:paraId="0D1F3FD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939" w:type="dxa"/>
            <w:gridSpan w:val="2"/>
            <w:tcBorders>
              <w:top w:val="nil"/>
              <w:left w:val="nil"/>
              <w:bottom w:val="single" w:sz="4" w:space="0" w:color="auto"/>
              <w:right w:val="single" w:sz="4" w:space="0" w:color="auto"/>
            </w:tcBorders>
            <w:shd w:val="clear" w:color="auto" w:fill="auto"/>
            <w:vAlign w:val="center"/>
            <w:hideMark/>
          </w:tcPr>
          <w:p w14:paraId="02E14C8A" w14:textId="77777777" w:rsidR="004154AB" w:rsidRPr="004154AB" w:rsidRDefault="004154AB" w:rsidP="004154AB">
            <w:pPr>
              <w:jc w:val="center"/>
              <w:rPr>
                <w:rFonts w:ascii="Arial" w:eastAsia="Times New Roman" w:hAnsi="Arial" w:cs="Arial"/>
                <w:b/>
                <w:bCs/>
                <w:color w:val="000000"/>
                <w:sz w:val="14"/>
                <w:szCs w:val="14"/>
                <w:lang w:val="cs-CZ" w:eastAsia="cs-CZ"/>
              </w:rPr>
            </w:pPr>
            <w:r w:rsidRPr="004154AB">
              <w:rPr>
                <w:rFonts w:ascii="Arial" w:eastAsia="Times New Roman" w:hAnsi="Arial" w:cs="Arial"/>
                <w:b/>
                <w:bCs/>
                <w:color w:val="000000"/>
                <w:sz w:val="14"/>
                <w:szCs w:val="14"/>
                <w:lang w:val="cs-CZ" w:eastAsia="cs-CZ"/>
              </w:rPr>
              <w:t>Ž</w:t>
            </w:r>
          </w:p>
        </w:tc>
        <w:tc>
          <w:tcPr>
            <w:tcW w:w="823" w:type="dxa"/>
            <w:gridSpan w:val="2"/>
            <w:vMerge/>
            <w:tcBorders>
              <w:top w:val="single" w:sz="4" w:space="0" w:color="auto"/>
              <w:left w:val="single" w:sz="4" w:space="0" w:color="auto"/>
              <w:bottom w:val="single" w:sz="4" w:space="0" w:color="000000"/>
              <w:right w:val="single" w:sz="4" w:space="0" w:color="auto"/>
            </w:tcBorders>
            <w:vAlign w:val="center"/>
            <w:hideMark/>
          </w:tcPr>
          <w:p w14:paraId="18420268" w14:textId="77777777" w:rsidR="004154AB" w:rsidRPr="004154AB" w:rsidRDefault="004154AB" w:rsidP="004154AB">
            <w:pPr>
              <w:rPr>
                <w:rFonts w:ascii="Arial" w:eastAsia="Times New Roman" w:hAnsi="Arial" w:cs="Arial"/>
                <w:b/>
                <w:bCs/>
                <w:color w:val="000000"/>
                <w:sz w:val="14"/>
                <w:szCs w:val="14"/>
                <w:lang w:val="cs-CZ" w:eastAsia="cs-CZ"/>
              </w:rPr>
            </w:pPr>
          </w:p>
        </w:tc>
      </w:tr>
      <w:tr w:rsidR="004154AB" w:rsidRPr="004154AB" w14:paraId="06FE0FF0" w14:textId="77777777" w:rsidTr="009E49E6">
        <w:trPr>
          <w:trHeight w:val="20"/>
        </w:trPr>
        <w:tc>
          <w:tcPr>
            <w:tcW w:w="916" w:type="dxa"/>
            <w:vMerge w:val="restart"/>
            <w:tcBorders>
              <w:top w:val="nil"/>
              <w:left w:val="single" w:sz="4" w:space="0" w:color="auto"/>
              <w:bottom w:val="single" w:sz="4" w:space="0" w:color="000000"/>
              <w:right w:val="single" w:sz="4" w:space="0" w:color="auto"/>
            </w:tcBorders>
            <w:shd w:val="clear" w:color="auto" w:fill="auto"/>
            <w:vAlign w:val="center"/>
            <w:hideMark/>
          </w:tcPr>
          <w:p w14:paraId="6EDF685C"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313" w:type="dxa"/>
            <w:vMerge w:val="restart"/>
            <w:tcBorders>
              <w:top w:val="nil"/>
              <w:left w:val="single" w:sz="4" w:space="0" w:color="auto"/>
              <w:bottom w:val="single" w:sz="4" w:space="0" w:color="000000"/>
              <w:right w:val="single" w:sz="4" w:space="0" w:color="auto"/>
            </w:tcBorders>
            <w:shd w:val="clear" w:color="auto" w:fill="auto"/>
            <w:vAlign w:val="center"/>
            <w:hideMark/>
          </w:tcPr>
          <w:p w14:paraId="0BB394E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0364F32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Méně rozvinuté regiony</w:t>
            </w:r>
          </w:p>
        </w:tc>
        <w:tc>
          <w:tcPr>
            <w:tcW w:w="829" w:type="dxa"/>
            <w:vMerge w:val="restart"/>
            <w:tcBorders>
              <w:top w:val="nil"/>
              <w:left w:val="single" w:sz="4" w:space="0" w:color="auto"/>
              <w:bottom w:val="single" w:sz="4" w:space="0" w:color="000000"/>
              <w:right w:val="single" w:sz="4" w:space="0" w:color="auto"/>
            </w:tcBorders>
            <w:shd w:val="clear" w:color="auto" w:fill="auto"/>
            <w:vAlign w:val="center"/>
            <w:hideMark/>
          </w:tcPr>
          <w:p w14:paraId="52D2168F"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4,000</w:t>
            </w:r>
          </w:p>
        </w:tc>
        <w:tc>
          <w:tcPr>
            <w:tcW w:w="801" w:type="dxa"/>
            <w:tcBorders>
              <w:top w:val="nil"/>
              <w:left w:val="nil"/>
              <w:bottom w:val="nil"/>
              <w:right w:val="nil"/>
            </w:tcBorders>
            <w:shd w:val="clear" w:color="auto" w:fill="auto"/>
            <w:vAlign w:val="center"/>
            <w:hideMark/>
          </w:tcPr>
          <w:p w14:paraId="60B8468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876E6C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247F9D62"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EC58A9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0B61F84E"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487F861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F477A8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433FE35"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69AC1270"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single" w:sz="4" w:space="0" w:color="auto"/>
            </w:tcBorders>
            <w:shd w:val="clear" w:color="auto" w:fill="auto"/>
            <w:vAlign w:val="center"/>
            <w:hideMark/>
          </w:tcPr>
          <w:p w14:paraId="094C551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nil"/>
              <w:right w:val="single" w:sz="4" w:space="0" w:color="auto"/>
            </w:tcBorders>
            <w:shd w:val="clear" w:color="auto" w:fill="auto"/>
            <w:vAlign w:val="center"/>
            <w:hideMark/>
          </w:tcPr>
          <w:p w14:paraId="506822C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2,000</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609F4B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50,000</w:t>
            </w:r>
          </w:p>
        </w:tc>
      </w:tr>
      <w:tr w:rsidR="004154AB" w:rsidRPr="004154AB" w14:paraId="04B12603"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5BB61C8A" w14:textId="77777777" w:rsidR="004154AB" w:rsidRPr="004154AB" w:rsidRDefault="004154AB" w:rsidP="004154AB">
            <w:pPr>
              <w:rPr>
                <w:rFonts w:ascii="Arial" w:eastAsia="Times New Roman" w:hAnsi="Arial" w:cs="Arial"/>
                <w:color w:val="000000"/>
                <w:sz w:val="14"/>
                <w:szCs w:val="14"/>
                <w:lang w:val="cs-CZ" w:eastAsia="cs-CZ"/>
              </w:rPr>
            </w:pPr>
          </w:p>
        </w:tc>
        <w:tc>
          <w:tcPr>
            <w:tcW w:w="3313" w:type="dxa"/>
            <w:vMerge/>
            <w:tcBorders>
              <w:top w:val="nil"/>
              <w:left w:val="single" w:sz="4" w:space="0" w:color="auto"/>
              <w:bottom w:val="single" w:sz="4" w:space="0" w:color="000000"/>
              <w:right w:val="single" w:sz="4" w:space="0" w:color="auto"/>
            </w:tcBorders>
            <w:vAlign w:val="center"/>
            <w:hideMark/>
          </w:tcPr>
          <w:p w14:paraId="7471B65E"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496E24FD"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218DED08"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CCB0DB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4D92B9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A696BE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95E9F3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E0FEB2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3BE45D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58AF65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F1862C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591847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A92C67C"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0BD537F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0DD021E6"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0616D858"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1B0BF013" w14:textId="77777777" w:rsidR="004154AB" w:rsidRPr="004154AB" w:rsidRDefault="004154AB" w:rsidP="004154AB">
            <w:pPr>
              <w:rPr>
                <w:rFonts w:ascii="Arial" w:eastAsia="Times New Roman" w:hAnsi="Arial" w:cs="Arial"/>
                <w:color w:val="000000"/>
                <w:sz w:val="14"/>
                <w:szCs w:val="14"/>
                <w:lang w:val="cs-CZ" w:eastAsia="cs-CZ"/>
              </w:rPr>
            </w:pPr>
          </w:p>
        </w:tc>
        <w:tc>
          <w:tcPr>
            <w:tcW w:w="3313" w:type="dxa"/>
            <w:vMerge/>
            <w:tcBorders>
              <w:top w:val="nil"/>
              <w:left w:val="single" w:sz="4" w:space="0" w:color="auto"/>
              <w:bottom w:val="single" w:sz="4" w:space="0" w:color="000000"/>
              <w:right w:val="single" w:sz="4" w:space="0" w:color="auto"/>
            </w:tcBorders>
            <w:vAlign w:val="center"/>
            <w:hideMark/>
          </w:tcPr>
          <w:p w14:paraId="3405B81C"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5A74CE48"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4E1A7E44"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696AD5E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29E2CD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92BB12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2C3774E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68D0FB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4CA1EAF4"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ABF60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AF6D04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9A0D54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7A2332C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single" w:sz="4" w:space="0" w:color="auto"/>
              <w:right w:val="single" w:sz="4" w:space="0" w:color="auto"/>
            </w:tcBorders>
            <w:shd w:val="clear" w:color="auto" w:fill="auto"/>
            <w:vAlign w:val="center"/>
            <w:hideMark/>
          </w:tcPr>
          <w:p w14:paraId="335FCD4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7D53775B"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76F33EA5" w14:textId="77777777" w:rsidTr="009E49E6">
        <w:trPr>
          <w:trHeight w:val="20"/>
        </w:trPr>
        <w:tc>
          <w:tcPr>
            <w:tcW w:w="916" w:type="dxa"/>
            <w:vMerge w:val="restart"/>
            <w:tcBorders>
              <w:top w:val="nil"/>
              <w:left w:val="single" w:sz="4" w:space="0" w:color="auto"/>
              <w:bottom w:val="single" w:sz="4" w:space="0" w:color="000000"/>
              <w:right w:val="single" w:sz="4" w:space="0" w:color="auto"/>
            </w:tcBorders>
            <w:shd w:val="clear" w:color="auto" w:fill="auto"/>
            <w:vAlign w:val="center"/>
            <w:hideMark/>
          </w:tcPr>
          <w:p w14:paraId="35766C3B"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62200/CO22</w:t>
            </w:r>
          </w:p>
        </w:tc>
        <w:tc>
          <w:tcPr>
            <w:tcW w:w="3313" w:type="dxa"/>
            <w:vMerge w:val="restart"/>
            <w:tcBorders>
              <w:top w:val="nil"/>
              <w:left w:val="single" w:sz="4" w:space="0" w:color="auto"/>
              <w:bottom w:val="single" w:sz="4" w:space="0" w:color="000000"/>
              <w:right w:val="single" w:sz="4" w:space="0" w:color="auto"/>
            </w:tcBorders>
            <w:shd w:val="clear" w:color="auto" w:fill="auto"/>
            <w:vAlign w:val="center"/>
            <w:hideMark/>
          </w:tcPr>
          <w:p w14:paraId="1B22D91F"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22F02AE4"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Více rozvinuté regiony</w:t>
            </w:r>
          </w:p>
        </w:tc>
        <w:tc>
          <w:tcPr>
            <w:tcW w:w="829" w:type="dxa"/>
            <w:vMerge w:val="restart"/>
            <w:tcBorders>
              <w:top w:val="nil"/>
              <w:left w:val="single" w:sz="4" w:space="0" w:color="auto"/>
              <w:bottom w:val="single" w:sz="4" w:space="0" w:color="000000"/>
              <w:right w:val="single" w:sz="4" w:space="0" w:color="auto"/>
            </w:tcBorders>
            <w:shd w:val="clear" w:color="auto" w:fill="auto"/>
            <w:vAlign w:val="center"/>
            <w:hideMark/>
          </w:tcPr>
          <w:p w14:paraId="72AA423E"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01" w:type="dxa"/>
            <w:tcBorders>
              <w:top w:val="nil"/>
              <w:left w:val="nil"/>
              <w:bottom w:val="nil"/>
              <w:right w:val="nil"/>
            </w:tcBorders>
            <w:shd w:val="clear" w:color="auto" w:fill="auto"/>
            <w:vAlign w:val="center"/>
            <w:hideMark/>
          </w:tcPr>
          <w:p w14:paraId="08BC476D"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3A0CE0A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1B1398DA"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9DB946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7D9DA0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B8E6D33"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020026E1"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5AE0480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nil"/>
            </w:tcBorders>
            <w:shd w:val="clear" w:color="auto" w:fill="auto"/>
            <w:vAlign w:val="center"/>
            <w:hideMark/>
          </w:tcPr>
          <w:p w14:paraId="6938EB0C"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nil"/>
              <w:right w:val="single" w:sz="4" w:space="0" w:color="auto"/>
            </w:tcBorders>
            <w:shd w:val="clear" w:color="auto" w:fill="auto"/>
            <w:vAlign w:val="center"/>
            <w:hideMark/>
          </w:tcPr>
          <w:p w14:paraId="479E1169" w14:textId="77777777" w:rsidR="004154AB" w:rsidRPr="004154AB" w:rsidRDefault="004154AB" w:rsidP="004154AB">
            <w:pP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nil"/>
              <w:right w:val="single" w:sz="4" w:space="0" w:color="auto"/>
            </w:tcBorders>
            <w:shd w:val="clear" w:color="auto" w:fill="auto"/>
            <w:vAlign w:val="center"/>
            <w:hideMark/>
          </w:tcPr>
          <w:p w14:paraId="160ED21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19FB518" w14:textId="77777777" w:rsidR="004154AB" w:rsidRPr="004154AB" w:rsidRDefault="004154AB" w:rsidP="004154AB">
            <w:pPr>
              <w:jc w:val="center"/>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0,000</w:t>
            </w:r>
          </w:p>
        </w:tc>
      </w:tr>
      <w:tr w:rsidR="004154AB" w:rsidRPr="004154AB" w14:paraId="0A286952"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6CB7337A" w14:textId="77777777" w:rsidR="004154AB" w:rsidRPr="004154AB" w:rsidRDefault="004154AB" w:rsidP="004154AB">
            <w:pPr>
              <w:rPr>
                <w:rFonts w:ascii="Arial" w:eastAsia="Times New Roman" w:hAnsi="Arial" w:cs="Arial"/>
                <w:color w:val="000000"/>
                <w:sz w:val="14"/>
                <w:szCs w:val="14"/>
                <w:lang w:val="cs-CZ" w:eastAsia="cs-CZ"/>
              </w:rPr>
            </w:pPr>
          </w:p>
        </w:tc>
        <w:tc>
          <w:tcPr>
            <w:tcW w:w="3313" w:type="dxa"/>
            <w:vMerge/>
            <w:tcBorders>
              <w:top w:val="nil"/>
              <w:left w:val="single" w:sz="4" w:space="0" w:color="auto"/>
              <w:bottom w:val="single" w:sz="4" w:space="0" w:color="000000"/>
              <w:right w:val="single" w:sz="4" w:space="0" w:color="auto"/>
            </w:tcBorders>
            <w:vAlign w:val="center"/>
            <w:hideMark/>
          </w:tcPr>
          <w:p w14:paraId="4B3ED31E"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44361338"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698C25B4"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408F6CD7"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94F570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3C9DEF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027A76A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2F26B9DD"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7BB51AEA"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6DD68CB9"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AE1900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1A5EB835"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ECD790F"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single" w:sz="4" w:space="0" w:color="auto"/>
              <w:left w:val="nil"/>
              <w:bottom w:val="single" w:sz="4" w:space="0" w:color="auto"/>
              <w:right w:val="single" w:sz="4" w:space="0" w:color="auto"/>
            </w:tcBorders>
            <w:shd w:val="clear" w:color="auto" w:fill="auto"/>
            <w:vAlign w:val="center"/>
            <w:hideMark/>
          </w:tcPr>
          <w:p w14:paraId="6BAA09F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754C460D" w14:textId="77777777" w:rsidR="004154AB" w:rsidRPr="004154AB" w:rsidRDefault="004154AB" w:rsidP="004154AB">
            <w:pPr>
              <w:rPr>
                <w:rFonts w:ascii="Arial" w:eastAsia="Times New Roman" w:hAnsi="Arial" w:cs="Arial"/>
                <w:color w:val="000000"/>
                <w:sz w:val="14"/>
                <w:szCs w:val="14"/>
                <w:lang w:val="cs-CZ" w:eastAsia="cs-CZ"/>
              </w:rPr>
            </w:pPr>
          </w:p>
        </w:tc>
      </w:tr>
      <w:tr w:rsidR="004154AB" w:rsidRPr="004154AB" w14:paraId="1CA09993" w14:textId="77777777" w:rsidTr="009E49E6">
        <w:trPr>
          <w:trHeight w:val="20"/>
        </w:trPr>
        <w:tc>
          <w:tcPr>
            <w:tcW w:w="916" w:type="dxa"/>
            <w:vMerge/>
            <w:tcBorders>
              <w:top w:val="nil"/>
              <w:left w:val="single" w:sz="4" w:space="0" w:color="auto"/>
              <w:bottom w:val="single" w:sz="4" w:space="0" w:color="000000"/>
              <w:right w:val="single" w:sz="4" w:space="0" w:color="auto"/>
            </w:tcBorders>
            <w:vAlign w:val="center"/>
            <w:hideMark/>
          </w:tcPr>
          <w:p w14:paraId="4B5D275C" w14:textId="77777777" w:rsidR="004154AB" w:rsidRPr="004154AB" w:rsidRDefault="004154AB" w:rsidP="004154AB">
            <w:pPr>
              <w:rPr>
                <w:rFonts w:ascii="Arial" w:eastAsia="Times New Roman" w:hAnsi="Arial" w:cs="Arial"/>
                <w:color w:val="000000"/>
                <w:sz w:val="14"/>
                <w:szCs w:val="14"/>
                <w:lang w:val="cs-CZ" w:eastAsia="cs-CZ"/>
              </w:rPr>
            </w:pPr>
          </w:p>
        </w:tc>
        <w:tc>
          <w:tcPr>
            <w:tcW w:w="3313" w:type="dxa"/>
            <w:vMerge/>
            <w:tcBorders>
              <w:top w:val="nil"/>
              <w:left w:val="single" w:sz="4" w:space="0" w:color="auto"/>
              <w:bottom w:val="single" w:sz="4" w:space="0" w:color="000000"/>
              <w:right w:val="single" w:sz="4" w:space="0" w:color="auto"/>
            </w:tcBorders>
            <w:vAlign w:val="center"/>
            <w:hideMark/>
          </w:tcPr>
          <w:p w14:paraId="4FBBD395" w14:textId="77777777" w:rsidR="004154AB" w:rsidRPr="004154AB" w:rsidRDefault="004154AB" w:rsidP="004154AB">
            <w:pPr>
              <w:rPr>
                <w:rFonts w:ascii="Arial" w:eastAsia="Times New Roman" w:hAnsi="Arial" w:cs="Arial"/>
                <w:color w:val="000000"/>
                <w:sz w:val="14"/>
                <w:szCs w:val="14"/>
                <w:lang w:val="cs-CZ" w:eastAsia="cs-CZ"/>
              </w:rPr>
            </w:pPr>
          </w:p>
        </w:tc>
        <w:tc>
          <w:tcPr>
            <w:tcW w:w="1008" w:type="dxa"/>
            <w:vMerge/>
            <w:tcBorders>
              <w:top w:val="nil"/>
              <w:left w:val="single" w:sz="4" w:space="0" w:color="auto"/>
              <w:bottom w:val="single" w:sz="4" w:space="0" w:color="000000"/>
              <w:right w:val="single" w:sz="4" w:space="0" w:color="auto"/>
            </w:tcBorders>
            <w:vAlign w:val="center"/>
            <w:hideMark/>
          </w:tcPr>
          <w:p w14:paraId="73B0C8D4" w14:textId="77777777" w:rsidR="004154AB" w:rsidRPr="004154AB" w:rsidRDefault="004154AB" w:rsidP="004154AB">
            <w:pPr>
              <w:rPr>
                <w:rFonts w:ascii="Arial" w:eastAsia="Times New Roman" w:hAnsi="Arial" w:cs="Arial"/>
                <w:color w:val="000000"/>
                <w:sz w:val="14"/>
                <w:szCs w:val="14"/>
                <w:lang w:val="cs-CZ" w:eastAsia="cs-CZ"/>
              </w:rPr>
            </w:pPr>
          </w:p>
        </w:tc>
        <w:tc>
          <w:tcPr>
            <w:tcW w:w="829" w:type="dxa"/>
            <w:vMerge/>
            <w:tcBorders>
              <w:top w:val="nil"/>
              <w:left w:val="single" w:sz="4" w:space="0" w:color="auto"/>
              <w:bottom w:val="single" w:sz="4" w:space="0" w:color="000000"/>
              <w:right w:val="single" w:sz="4" w:space="0" w:color="auto"/>
            </w:tcBorders>
            <w:vAlign w:val="center"/>
            <w:hideMark/>
          </w:tcPr>
          <w:p w14:paraId="601554B7" w14:textId="77777777" w:rsidR="004154AB" w:rsidRPr="004154AB" w:rsidRDefault="004154AB" w:rsidP="004154AB">
            <w:pPr>
              <w:rPr>
                <w:rFonts w:ascii="Arial" w:eastAsia="Times New Roman" w:hAnsi="Arial" w:cs="Arial"/>
                <w:color w:val="000000"/>
                <w:sz w:val="14"/>
                <w:szCs w:val="14"/>
                <w:lang w:val="cs-CZ" w:eastAsia="cs-CZ"/>
              </w:rPr>
            </w:pPr>
          </w:p>
        </w:tc>
        <w:tc>
          <w:tcPr>
            <w:tcW w:w="801" w:type="dxa"/>
            <w:tcBorders>
              <w:top w:val="nil"/>
              <w:left w:val="nil"/>
              <w:bottom w:val="single" w:sz="4" w:space="0" w:color="auto"/>
              <w:right w:val="single" w:sz="4" w:space="0" w:color="auto"/>
            </w:tcBorders>
            <w:shd w:val="clear" w:color="auto" w:fill="auto"/>
            <w:vAlign w:val="center"/>
            <w:hideMark/>
          </w:tcPr>
          <w:p w14:paraId="2D5FD94E"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51206398"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299AB63"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3C50E7C1"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6D7BB7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D3EC03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0B608926"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17A2CC2"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1713B990"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01" w:type="dxa"/>
            <w:tcBorders>
              <w:top w:val="nil"/>
              <w:left w:val="nil"/>
              <w:bottom w:val="single" w:sz="4" w:space="0" w:color="auto"/>
              <w:right w:val="single" w:sz="4" w:space="0" w:color="auto"/>
            </w:tcBorders>
            <w:shd w:val="clear" w:color="auto" w:fill="auto"/>
            <w:vAlign w:val="center"/>
            <w:hideMark/>
          </w:tcPr>
          <w:p w14:paraId="6AC28DCB" w14:textId="77777777"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939" w:type="dxa"/>
            <w:gridSpan w:val="2"/>
            <w:tcBorders>
              <w:top w:val="nil"/>
              <w:left w:val="nil"/>
              <w:bottom w:val="single" w:sz="4" w:space="0" w:color="auto"/>
              <w:right w:val="single" w:sz="4" w:space="0" w:color="auto"/>
            </w:tcBorders>
            <w:shd w:val="clear" w:color="auto" w:fill="auto"/>
            <w:vAlign w:val="center"/>
            <w:hideMark/>
          </w:tcPr>
          <w:p w14:paraId="44C6A5B3" w14:textId="302933AB" w:rsidR="004154AB" w:rsidRPr="004154AB" w:rsidRDefault="004154AB" w:rsidP="004154AB">
            <w:pPr>
              <w:jc w:val="right"/>
              <w:rPr>
                <w:rFonts w:ascii="Arial" w:eastAsia="Times New Roman" w:hAnsi="Arial" w:cs="Arial"/>
                <w:color w:val="000000"/>
                <w:sz w:val="14"/>
                <w:szCs w:val="14"/>
                <w:lang w:val="cs-CZ" w:eastAsia="cs-CZ"/>
              </w:rPr>
            </w:pPr>
            <w:r w:rsidRPr="004154AB">
              <w:rPr>
                <w:rFonts w:ascii="Arial" w:eastAsia="Times New Roman" w:hAnsi="Arial" w:cs="Arial"/>
                <w:color w:val="000000"/>
                <w:sz w:val="14"/>
                <w:szCs w:val="14"/>
                <w:lang w:val="cs-CZ" w:eastAsia="cs-CZ"/>
              </w:rPr>
              <w:t> </w:t>
            </w:r>
          </w:p>
        </w:tc>
        <w:tc>
          <w:tcPr>
            <w:tcW w:w="823" w:type="dxa"/>
            <w:gridSpan w:val="2"/>
            <w:vMerge/>
            <w:tcBorders>
              <w:top w:val="nil"/>
              <w:left w:val="single" w:sz="4" w:space="0" w:color="auto"/>
              <w:bottom w:val="single" w:sz="4" w:space="0" w:color="000000"/>
              <w:right w:val="single" w:sz="4" w:space="0" w:color="auto"/>
            </w:tcBorders>
            <w:vAlign w:val="center"/>
            <w:hideMark/>
          </w:tcPr>
          <w:p w14:paraId="13CF8EA9" w14:textId="77777777" w:rsidR="004154AB" w:rsidRPr="004154AB" w:rsidRDefault="004154AB" w:rsidP="004154AB">
            <w:pPr>
              <w:rPr>
                <w:rFonts w:ascii="Arial" w:eastAsia="Times New Roman" w:hAnsi="Arial" w:cs="Arial"/>
                <w:color w:val="000000"/>
                <w:sz w:val="14"/>
                <w:szCs w:val="14"/>
                <w:lang w:val="cs-CZ" w:eastAsia="cs-CZ"/>
              </w:rPr>
            </w:pPr>
          </w:p>
        </w:tc>
      </w:tr>
    </w:tbl>
    <w:p w14:paraId="5F4594AF" w14:textId="77777777" w:rsidR="000A2518" w:rsidRPr="002F2BE4" w:rsidRDefault="000A2518" w:rsidP="004154AB">
      <w:pPr>
        <w:ind w:left="113" w:right="108"/>
        <w:jc w:val="both"/>
        <w:rPr>
          <w:rFonts w:ascii="Arial" w:eastAsia="Arial" w:hAnsi="Arial" w:cs="Arial"/>
          <w:color w:val="000000"/>
          <w:sz w:val="20"/>
          <w:lang w:val="cs-CZ"/>
        </w:rPr>
      </w:pPr>
    </w:p>
    <w:p w14:paraId="70BC1396" w14:textId="77777777" w:rsidR="00FD35AB" w:rsidRDefault="00FD35AB" w:rsidP="00B819FC">
      <w:pPr>
        <w:keepNext/>
        <w:ind w:left="113" w:right="108"/>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03.4.74 Investice do institucionální kapacity a efektivnosti veřejné správy a veřejných služeb na celostátní, regionální a místní úrovni za účelem reforem, zlepšování právní úpravy a řádné správy.</w:t>
      </w:r>
    </w:p>
    <w:tbl>
      <w:tblPr>
        <w:tblW w:w="15818" w:type="dxa"/>
        <w:tblInd w:w="75" w:type="dxa"/>
        <w:tblCellMar>
          <w:left w:w="70" w:type="dxa"/>
          <w:right w:w="70" w:type="dxa"/>
        </w:tblCellMar>
        <w:tblLook w:val="04A0" w:firstRow="1" w:lastRow="0" w:firstColumn="1" w:lastColumn="0" w:noHBand="0" w:noVBand="1"/>
      </w:tblPr>
      <w:tblGrid>
        <w:gridCol w:w="989"/>
        <w:gridCol w:w="3167"/>
        <w:gridCol w:w="1024"/>
        <w:gridCol w:w="887"/>
        <w:gridCol w:w="789"/>
        <w:gridCol w:w="790"/>
        <w:gridCol w:w="790"/>
        <w:gridCol w:w="790"/>
        <w:gridCol w:w="790"/>
        <w:gridCol w:w="790"/>
        <w:gridCol w:w="790"/>
        <w:gridCol w:w="790"/>
        <w:gridCol w:w="790"/>
        <w:gridCol w:w="790"/>
        <w:gridCol w:w="12"/>
        <w:gridCol w:w="992"/>
        <w:gridCol w:w="12"/>
        <w:gridCol w:w="829"/>
        <w:gridCol w:w="7"/>
      </w:tblGrid>
      <w:tr w:rsidR="009E49E6" w:rsidRPr="00B819FC" w14:paraId="58E97C68" w14:textId="77777777" w:rsidTr="009E49E6">
        <w:trPr>
          <w:gridAfter w:val="1"/>
          <w:wAfter w:w="7" w:type="dxa"/>
          <w:trHeight w:val="20"/>
          <w:tblHeader/>
        </w:trPr>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8D3D2B"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ID</w:t>
            </w:r>
          </w:p>
        </w:tc>
        <w:tc>
          <w:tcPr>
            <w:tcW w:w="32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08A69"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Indikátor (název indikátoru)</w:t>
            </w:r>
          </w:p>
        </w:tc>
        <w:tc>
          <w:tcPr>
            <w:tcW w:w="10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7ADEA5"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Kategorie regionu (je-li relevantní)</w:t>
            </w:r>
          </w:p>
        </w:tc>
        <w:tc>
          <w:tcPr>
            <w:tcW w:w="8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BC4D90"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Cílová hodnota (2023) (Rozdělení podle pohlaví je pro cíl nepovinné)</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CF85D30"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2014</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6F1BC60A"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2015</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1789520A"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2016</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0A1D0C66"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2017</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17715277"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2018</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7175558D"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2019</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3D5FF683"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2020</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2580D5D6"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2021</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5A9828D7"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2022</w:t>
            </w:r>
          </w:p>
        </w:tc>
        <w:tc>
          <w:tcPr>
            <w:tcW w:w="797" w:type="dxa"/>
            <w:tcBorders>
              <w:top w:val="single" w:sz="4" w:space="0" w:color="auto"/>
              <w:left w:val="nil"/>
              <w:bottom w:val="single" w:sz="4" w:space="0" w:color="auto"/>
              <w:right w:val="single" w:sz="4" w:space="0" w:color="auto"/>
            </w:tcBorders>
            <w:shd w:val="clear" w:color="auto" w:fill="auto"/>
            <w:vAlign w:val="center"/>
            <w:hideMark/>
          </w:tcPr>
          <w:p w14:paraId="1A639F7E"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2023</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14:paraId="7AEA6103"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Kumulativní hodnota (vypočítána automaticky)</w:t>
            </w:r>
          </w:p>
        </w:tc>
        <w:tc>
          <w:tcPr>
            <w:tcW w:w="80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98B1CB"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Míra splnění Rozdělení podle pohlaví je nepovinné</w:t>
            </w:r>
          </w:p>
        </w:tc>
      </w:tr>
      <w:tr w:rsidR="00B819FC" w:rsidRPr="00B819FC" w14:paraId="615AD09B" w14:textId="77777777" w:rsidTr="009E49E6">
        <w:trPr>
          <w:trHeight w:val="20"/>
          <w:tblHeader/>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10567C73" w14:textId="77777777" w:rsidR="00B819FC" w:rsidRPr="00B819FC" w:rsidRDefault="00B819FC" w:rsidP="00B819FC">
            <w:pPr>
              <w:rPr>
                <w:rFonts w:ascii="Arial" w:eastAsia="Times New Roman" w:hAnsi="Arial" w:cs="Arial"/>
                <w:b/>
                <w:bCs/>
                <w:color w:val="000000"/>
                <w:sz w:val="14"/>
                <w:szCs w:val="14"/>
                <w:lang w:val="cs-CZ" w:eastAsia="cs-CZ"/>
              </w:rPr>
            </w:pPr>
          </w:p>
        </w:tc>
        <w:tc>
          <w:tcPr>
            <w:tcW w:w="3214" w:type="dxa"/>
            <w:vMerge/>
            <w:tcBorders>
              <w:top w:val="single" w:sz="4" w:space="0" w:color="auto"/>
              <w:left w:val="single" w:sz="4" w:space="0" w:color="auto"/>
              <w:bottom w:val="single" w:sz="4" w:space="0" w:color="auto"/>
              <w:right w:val="single" w:sz="4" w:space="0" w:color="auto"/>
            </w:tcBorders>
            <w:vAlign w:val="center"/>
            <w:hideMark/>
          </w:tcPr>
          <w:p w14:paraId="60F0F302" w14:textId="77777777" w:rsidR="00B819FC" w:rsidRPr="00B819FC" w:rsidRDefault="00B819FC" w:rsidP="00B819FC">
            <w:pPr>
              <w:rPr>
                <w:rFonts w:ascii="Arial" w:eastAsia="Times New Roman" w:hAnsi="Arial" w:cs="Arial"/>
                <w:b/>
                <w:bCs/>
                <w:color w:val="000000"/>
                <w:sz w:val="14"/>
                <w:szCs w:val="14"/>
                <w:lang w:val="cs-CZ" w:eastAsia="cs-CZ"/>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16A78C84" w14:textId="77777777" w:rsidR="00B819FC" w:rsidRPr="00B819FC" w:rsidRDefault="00B819FC" w:rsidP="00B819FC">
            <w:pPr>
              <w:rPr>
                <w:rFonts w:ascii="Arial" w:eastAsia="Times New Roman" w:hAnsi="Arial" w:cs="Arial"/>
                <w:b/>
                <w:bCs/>
                <w:color w:val="000000"/>
                <w:sz w:val="14"/>
                <w:szCs w:val="14"/>
                <w:lang w:val="cs-CZ" w:eastAsia="cs-CZ"/>
              </w:rPr>
            </w:pPr>
          </w:p>
        </w:tc>
        <w:tc>
          <w:tcPr>
            <w:tcW w:w="847" w:type="dxa"/>
            <w:vMerge/>
            <w:tcBorders>
              <w:top w:val="single" w:sz="4" w:space="0" w:color="auto"/>
              <w:left w:val="single" w:sz="4" w:space="0" w:color="auto"/>
              <w:bottom w:val="single" w:sz="4" w:space="0" w:color="000000"/>
              <w:right w:val="single" w:sz="4" w:space="0" w:color="auto"/>
            </w:tcBorders>
            <w:vAlign w:val="center"/>
            <w:hideMark/>
          </w:tcPr>
          <w:p w14:paraId="34C64FF0" w14:textId="77777777" w:rsidR="00B819FC" w:rsidRPr="00B819FC" w:rsidRDefault="00B819FC" w:rsidP="00B819FC">
            <w:pPr>
              <w:rPr>
                <w:rFonts w:ascii="Arial" w:eastAsia="Times New Roman" w:hAnsi="Arial" w:cs="Arial"/>
                <w:b/>
                <w:bCs/>
                <w:color w:val="000000"/>
                <w:sz w:val="14"/>
                <w:szCs w:val="14"/>
                <w:lang w:val="cs-CZ" w:eastAsia="cs-CZ"/>
              </w:rPr>
            </w:pPr>
          </w:p>
        </w:tc>
        <w:tc>
          <w:tcPr>
            <w:tcW w:w="7976" w:type="dxa"/>
            <w:gridSpan w:val="11"/>
            <w:tcBorders>
              <w:top w:val="single" w:sz="4" w:space="0" w:color="auto"/>
              <w:left w:val="nil"/>
              <w:bottom w:val="single" w:sz="4" w:space="0" w:color="auto"/>
              <w:right w:val="single" w:sz="4" w:space="0" w:color="auto"/>
            </w:tcBorders>
            <w:shd w:val="clear" w:color="auto" w:fill="auto"/>
            <w:vAlign w:val="center"/>
            <w:hideMark/>
          </w:tcPr>
          <w:p w14:paraId="36F57591"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Roční hodnota</w:t>
            </w:r>
          </w:p>
        </w:tc>
        <w:tc>
          <w:tcPr>
            <w:tcW w:w="959" w:type="dxa"/>
            <w:gridSpan w:val="2"/>
            <w:tcBorders>
              <w:top w:val="nil"/>
              <w:left w:val="nil"/>
              <w:bottom w:val="single" w:sz="4" w:space="0" w:color="auto"/>
              <w:right w:val="single" w:sz="4" w:space="0" w:color="auto"/>
            </w:tcBorders>
            <w:shd w:val="clear" w:color="auto" w:fill="auto"/>
            <w:vAlign w:val="center"/>
            <w:hideMark/>
          </w:tcPr>
          <w:p w14:paraId="01AC0B2E"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Celkem</w:t>
            </w:r>
          </w:p>
        </w:tc>
        <w:tc>
          <w:tcPr>
            <w:tcW w:w="803" w:type="dxa"/>
            <w:gridSpan w:val="2"/>
            <w:vMerge/>
            <w:tcBorders>
              <w:top w:val="single" w:sz="4" w:space="0" w:color="auto"/>
              <w:left w:val="single" w:sz="4" w:space="0" w:color="auto"/>
              <w:bottom w:val="single" w:sz="4" w:space="0" w:color="000000"/>
              <w:right w:val="single" w:sz="4" w:space="0" w:color="auto"/>
            </w:tcBorders>
            <w:vAlign w:val="center"/>
            <w:hideMark/>
          </w:tcPr>
          <w:p w14:paraId="40358C79" w14:textId="77777777" w:rsidR="00B819FC" w:rsidRPr="00B819FC" w:rsidRDefault="00B819FC" w:rsidP="00B819FC">
            <w:pPr>
              <w:rPr>
                <w:rFonts w:ascii="Arial" w:eastAsia="Times New Roman" w:hAnsi="Arial" w:cs="Arial"/>
                <w:b/>
                <w:bCs/>
                <w:color w:val="000000"/>
                <w:sz w:val="14"/>
                <w:szCs w:val="14"/>
                <w:lang w:val="cs-CZ" w:eastAsia="cs-CZ"/>
              </w:rPr>
            </w:pPr>
          </w:p>
        </w:tc>
      </w:tr>
      <w:tr w:rsidR="009E49E6" w:rsidRPr="00B819FC" w14:paraId="3FB56A12" w14:textId="77777777" w:rsidTr="009E49E6">
        <w:trPr>
          <w:gridAfter w:val="1"/>
          <w:wAfter w:w="7" w:type="dxa"/>
          <w:trHeight w:val="20"/>
          <w:tblHeader/>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7401A232" w14:textId="77777777" w:rsidR="00B819FC" w:rsidRPr="00B819FC" w:rsidRDefault="00B819FC" w:rsidP="00B819FC">
            <w:pPr>
              <w:rPr>
                <w:rFonts w:ascii="Arial" w:eastAsia="Times New Roman" w:hAnsi="Arial" w:cs="Arial"/>
                <w:b/>
                <w:bCs/>
                <w:color w:val="000000"/>
                <w:sz w:val="14"/>
                <w:szCs w:val="14"/>
                <w:lang w:val="cs-CZ" w:eastAsia="cs-CZ"/>
              </w:rPr>
            </w:pPr>
          </w:p>
        </w:tc>
        <w:tc>
          <w:tcPr>
            <w:tcW w:w="3214" w:type="dxa"/>
            <w:vMerge/>
            <w:tcBorders>
              <w:top w:val="single" w:sz="4" w:space="0" w:color="auto"/>
              <w:left w:val="single" w:sz="4" w:space="0" w:color="auto"/>
              <w:bottom w:val="single" w:sz="4" w:space="0" w:color="auto"/>
              <w:right w:val="single" w:sz="4" w:space="0" w:color="auto"/>
            </w:tcBorders>
            <w:vAlign w:val="center"/>
            <w:hideMark/>
          </w:tcPr>
          <w:p w14:paraId="7DB85AD6" w14:textId="77777777" w:rsidR="00B819FC" w:rsidRPr="00B819FC" w:rsidRDefault="00B819FC" w:rsidP="00B819FC">
            <w:pPr>
              <w:rPr>
                <w:rFonts w:ascii="Arial" w:eastAsia="Times New Roman" w:hAnsi="Arial" w:cs="Arial"/>
                <w:b/>
                <w:bCs/>
                <w:color w:val="000000"/>
                <w:sz w:val="14"/>
                <w:szCs w:val="14"/>
                <w:lang w:val="cs-CZ" w:eastAsia="cs-CZ"/>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2481BB8E" w14:textId="77777777" w:rsidR="00B819FC" w:rsidRPr="00B819FC" w:rsidRDefault="00B819FC" w:rsidP="00B819FC">
            <w:pPr>
              <w:rPr>
                <w:rFonts w:ascii="Arial" w:eastAsia="Times New Roman" w:hAnsi="Arial" w:cs="Arial"/>
                <w:b/>
                <w:bCs/>
                <w:color w:val="000000"/>
                <w:sz w:val="14"/>
                <w:szCs w:val="14"/>
                <w:lang w:val="cs-CZ" w:eastAsia="cs-CZ"/>
              </w:rPr>
            </w:pPr>
          </w:p>
        </w:tc>
        <w:tc>
          <w:tcPr>
            <w:tcW w:w="847" w:type="dxa"/>
            <w:vMerge/>
            <w:tcBorders>
              <w:top w:val="single" w:sz="4" w:space="0" w:color="auto"/>
              <w:left w:val="single" w:sz="4" w:space="0" w:color="auto"/>
              <w:bottom w:val="single" w:sz="4" w:space="0" w:color="000000"/>
              <w:right w:val="single" w:sz="4" w:space="0" w:color="auto"/>
            </w:tcBorders>
            <w:vAlign w:val="center"/>
            <w:hideMark/>
          </w:tcPr>
          <w:p w14:paraId="2004FB26" w14:textId="77777777" w:rsidR="00B819FC" w:rsidRPr="00B819FC" w:rsidRDefault="00B819FC" w:rsidP="00B819FC">
            <w:pPr>
              <w:rPr>
                <w:rFonts w:ascii="Arial" w:eastAsia="Times New Roman" w:hAnsi="Arial" w:cs="Arial"/>
                <w:b/>
                <w:bCs/>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7A239BFF"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43247282"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6849BC37"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6FC685C2"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2E066661"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4692574D"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772C0A6C"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6F98CF30"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54514B50"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97" w:type="dxa"/>
            <w:tcBorders>
              <w:top w:val="nil"/>
              <w:left w:val="nil"/>
              <w:bottom w:val="single" w:sz="4" w:space="0" w:color="auto"/>
              <w:right w:val="single" w:sz="4" w:space="0" w:color="auto"/>
            </w:tcBorders>
            <w:shd w:val="clear" w:color="auto" w:fill="auto"/>
            <w:vAlign w:val="center"/>
            <w:hideMark/>
          </w:tcPr>
          <w:p w14:paraId="4DC32509"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959" w:type="dxa"/>
            <w:gridSpan w:val="2"/>
            <w:tcBorders>
              <w:top w:val="nil"/>
              <w:left w:val="nil"/>
              <w:bottom w:val="single" w:sz="4" w:space="0" w:color="auto"/>
              <w:right w:val="single" w:sz="4" w:space="0" w:color="auto"/>
            </w:tcBorders>
            <w:shd w:val="clear" w:color="auto" w:fill="auto"/>
            <w:vAlign w:val="center"/>
            <w:hideMark/>
          </w:tcPr>
          <w:p w14:paraId="5270B677"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803" w:type="dxa"/>
            <w:gridSpan w:val="2"/>
            <w:vMerge/>
            <w:tcBorders>
              <w:top w:val="single" w:sz="4" w:space="0" w:color="auto"/>
              <w:left w:val="single" w:sz="4" w:space="0" w:color="auto"/>
              <w:bottom w:val="single" w:sz="4" w:space="0" w:color="000000"/>
              <w:right w:val="single" w:sz="4" w:space="0" w:color="auto"/>
            </w:tcBorders>
            <w:vAlign w:val="center"/>
            <w:hideMark/>
          </w:tcPr>
          <w:p w14:paraId="4914D829" w14:textId="77777777" w:rsidR="00B819FC" w:rsidRPr="00B819FC" w:rsidRDefault="00B819FC" w:rsidP="00B819FC">
            <w:pPr>
              <w:rPr>
                <w:rFonts w:ascii="Arial" w:eastAsia="Times New Roman" w:hAnsi="Arial" w:cs="Arial"/>
                <w:b/>
                <w:bCs/>
                <w:color w:val="000000"/>
                <w:sz w:val="14"/>
                <w:szCs w:val="14"/>
                <w:lang w:val="cs-CZ" w:eastAsia="cs-CZ"/>
              </w:rPr>
            </w:pPr>
          </w:p>
        </w:tc>
      </w:tr>
      <w:tr w:rsidR="009E49E6" w:rsidRPr="00B819FC" w14:paraId="4016D428" w14:textId="77777777" w:rsidTr="009E49E6">
        <w:trPr>
          <w:gridAfter w:val="1"/>
          <w:wAfter w:w="7" w:type="dxa"/>
          <w:trHeight w:val="20"/>
          <w:tblHeader/>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2DB311D4" w14:textId="77777777" w:rsidR="00B819FC" w:rsidRPr="00B819FC" w:rsidRDefault="00B819FC" w:rsidP="00B819FC">
            <w:pPr>
              <w:rPr>
                <w:rFonts w:ascii="Arial" w:eastAsia="Times New Roman" w:hAnsi="Arial" w:cs="Arial"/>
                <w:b/>
                <w:bCs/>
                <w:color w:val="000000"/>
                <w:sz w:val="14"/>
                <w:szCs w:val="14"/>
                <w:lang w:val="cs-CZ" w:eastAsia="cs-CZ"/>
              </w:rPr>
            </w:pPr>
          </w:p>
        </w:tc>
        <w:tc>
          <w:tcPr>
            <w:tcW w:w="3214" w:type="dxa"/>
            <w:vMerge/>
            <w:tcBorders>
              <w:top w:val="single" w:sz="4" w:space="0" w:color="auto"/>
              <w:left w:val="single" w:sz="4" w:space="0" w:color="auto"/>
              <w:bottom w:val="single" w:sz="4" w:space="0" w:color="auto"/>
              <w:right w:val="single" w:sz="4" w:space="0" w:color="auto"/>
            </w:tcBorders>
            <w:vAlign w:val="center"/>
            <w:hideMark/>
          </w:tcPr>
          <w:p w14:paraId="49BFAAF6" w14:textId="77777777" w:rsidR="00B819FC" w:rsidRPr="00B819FC" w:rsidRDefault="00B819FC" w:rsidP="00B819FC">
            <w:pPr>
              <w:rPr>
                <w:rFonts w:ascii="Arial" w:eastAsia="Times New Roman" w:hAnsi="Arial" w:cs="Arial"/>
                <w:b/>
                <w:bCs/>
                <w:color w:val="000000"/>
                <w:sz w:val="14"/>
                <w:szCs w:val="14"/>
                <w:lang w:val="cs-CZ" w:eastAsia="cs-CZ"/>
              </w:rPr>
            </w:pP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590E7B01" w14:textId="77777777" w:rsidR="00B819FC" w:rsidRPr="00B819FC" w:rsidRDefault="00B819FC" w:rsidP="00B819FC">
            <w:pPr>
              <w:rPr>
                <w:rFonts w:ascii="Arial" w:eastAsia="Times New Roman" w:hAnsi="Arial" w:cs="Arial"/>
                <w:b/>
                <w:bCs/>
                <w:color w:val="000000"/>
                <w:sz w:val="14"/>
                <w:szCs w:val="14"/>
                <w:lang w:val="cs-CZ" w:eastAsia="cs-CZ"/>
              </w:rPr>
            </w:pPr>
          </w:p>
        </w:tc>
        <w:tc>
          <w:tcPr>
            <w:tcW w:w="847" w:type="dxa"/>
            <w:vMerge/>
            <w:tcBorders>
              <w:top w:val="single" w:sz="4" w:space="0" w:color="auto"/>
              <w:left w:val="single" w:sz="4" w:space="0" w:color="auto"/>
              <w:bottom w:val="single" w:sz="4" w:space="0" w:color="000000"/>
              <w:right w:val="single" w:sz="4" w:space="0" w:color="auto"/>
            </w:tcBorders>
            <w:vAlign w:val="center"/>
            <w:hideMark/>
          </w:tcPr>
          <w:p w14:paraId="1B91B4D3" w14:textId="77777777" w:rsidR="00B819FC" w:rsidRPr="00B819FC" w:rsidRDefault="00B819FC" w:rsidP="00B819FC">
            <w:pPr>
              <w:rPr>
                <w:rFonts w:ascii="Arial" w:eastAsia="Times New Roman" w:hAnsi="Arial" w:cs="Arial"/>
                <w:b/>
                <w:bCs/>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3FD2C5DD"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13FD8681"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001DC6D4"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11615CD4"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5F32F221"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407FBE47"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7FB3711F"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2207AF78"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1BE35627"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97" w:type="dxa"/>
            <w:tcBorders>
              <w:top w:val="nil"/>
              <w:left w:val="nil"/>
              <w:bottom w:val="single" w:sz="4" w:space="0" w:color="auto"/>
              <w:right w:val="single" w:sz="4" w:space="0" w:color="auto"/>
            </w:tcBorders>
            <w:shd w:val="clear" w:color="auto" w:fill="auto"/>
            <w:vAlign w:val="center"/>
            <w:hideMark/>
          </w:tcPr>
          <w:p w14:paraId="7B6CDB8C"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959" w:type="dxa"/>
            <w:gridSpan w:val="2"/>
            <w:tcBorders>
              <w:top w:val="nil"/>
              <w:left w:val="nil"/>
              <w:bottom w:val="single" w:sz="4" w:space="0" w:color="auto"/>
              <w:right w:val="single" w:sz="4" w:space="0" w:color="auto"/>
            </w:tcBorders>
            <w:shd w:val="clear" w:color="auto" w:fill="auto"/>
            <w:vAlign w:val="center"/>
            <w:hideMark/>
          </w:tcPr>
          <w:p w14:paraId="1A2F91B5"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803" w:type="dxa"/>
            <w:gridSpan w:val="2"/>
            <w:vMerge/>
            <w:tcBorders>
              <w:top w:val="single" w:sz="4" w:space="0" w:color="auto"/>
              <w:left w:val="single" w:sz="4" w:space="0" w:color="auto"/>
              <w:bottom w:val="single" w:sz="4" w:space="0" w:color="000000"/>
              <w:right w:val="single" w:sz="4" w:space="0" w:color="auto"/>
            </w:tcBorders>
            <w:vAlign w:val="center"/>
            <w:hideMark/>
          </w:tcPr>
          <w:p w14:paraId="2DF58C5F" w14:textId="77777777" w:rsidR="00B819FC" w:rsidRPr="00B819FC" w:rsidRDefault="00B819FC" w:rsidP="00B819FC">
            <w:pPr>
              <w:rPr>
                <w:rFonts w:ascii="Arial" w:eastAsia="Times New Roman" w:hAnsi="Arial" w:cs="Arial"/>
                <w:b/>
                <w:bCs/>
                <w:color w:val="000000"/>
                <w:sz w:val="14"/>
                <w:szCs w:val="14"/>
                <w:lang w:val="cs-CZ" w:eastAsia="cs-CZ"/>
              </w:rPr>
            </w:pPr>
          </w:p>
        </w:tc>
      </w:tr>
      <w:tr w:rsidR="009E49E6" w:rsidRPr="00B819FC" w14:paraId="66015E93" w14:textId="77777777" w:rsidTr="009E49E6">
        <w:trPr>
          <w:trHeight w:val="20"/>
        </w:trPr>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46D5CC7C" w14:textId="77777777" w:rsidR="00B819FC" w:rsidRPr="00B819FC" w:rsidRDefault="00B819FC" w:rsidP="00B819FC">
            <w:pPr>
              <w:jc w:val="cente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62200/CO22</w:t>
            </w:r>
          </w:p>
        </w:tc>
        <w:tc>
          <w:tcPr>
            <w:tcW w:w="3214" w:type="dxa"/>
            <w:vMerge w:val="restart"/>
            <w:tcBorders>
              <w:top w:val="nil"/>
              <w:left w:val="single" w:sz="4" w:space="0" w:color="auto"/>
              <w:bottom w:val="single" w:sz="4" w:space="0" w:color="000000"/>
              <w:right w:val="single" w:sz="4" w:space="0" w:color="auto"/>
            </w:tcBorders>
            <w:shd w:val="clear" w:color="auto" w:fill="auto"/>
            <w:vAlign w:val="center"/>
            <w:hideMark/>
          </w:tcPr>
          <w:p w14:paraId="1312959B" w14:textId="77777777" w:rsidR="00B819FC" w:rsidRPr="00B819FC" w:rsidRDefault="00B819FC" w:rsidP="00B819FC">
            <w:pP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28" w:type="dxa"/>
            <w:vMerge w:val="restart"/>
            <w:tcBorders>
              <w:top w:val="nil"/>
              <w:left w:val="single" w:sz="4" w:space="0" w:color="auto"/>
              <w:bottom w:val="single" w:sz="4" w:space="0" w:color="000000"/>
              <w:right w:val="single" w:sz="4" w:space="0" w:color="auto"/>
            </w:tcBorders>
            <w:shd w:val="clear" w:color="auto" w:fill="auto"/>
            <w:vAlign w:val="center"/>
            <w:hideMark/>
          </w:tcPr>
          <w:p w14:paraId="4B0205A5" w14:textId="77777777" w:rsidR="00B819FC" w:rsidRPr="00B819FC" w:rsidRDefault="00B819FC" w:rsidP="00B819FC">
            <w:pP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Méně rozvinuté regiony</w:t>
            </w:r>
          </w:p>
        </w:tc>
        <w:tc>
          <w:tcPr>
            <w:tcW w:w="847" w:type="dxa"/>
            <w:vMerge w:val="restart"/>
            <w:tcBorders>
              <w:top w:val="nil"/>
              <w:left w:val="single" w:sz="4" w:space="0" w:color="auto"/>
              <w:bottom w:val="single" w:sz="4" w:space="0" w:color="000000"/>
              <w:right w:val="single" w:sz="4" w:space="0" w:color="auto"/>
            </w:tcBorders>
            <w:shd w:val="clear" w:color="auto" w:fill="auto"/>
            <w:vAlign w:val="center"/>
            <w:hideMark/>
          </w:tcPr>
          <w:p w14:paraId="279F5679" w14:textId="77777777" w:rsidR="00B819FC" w:rsidRPr="00B819FC" w:rsidRDefault="00B819FC" w:rsidP="00B819FC">
            <w:pPr>
              <w:jc w:val="cente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489,000</w:t>
            </w:r>
          </w:p>
        </w:tc>
        <w:tc>
          <w:tcPr>
            <w:tcW w:w="7976" w:type="dxa"/>
            <w:gridSpan w:val="11"/>
            <w:tcBorders>
              <w:top w:val="single" w:sz="4" w:space="0" w:color="auto"/>
              <w:left w:val="nil"/>
              <w:bottom w:val="single" w:sz="4" w:space="0" w:color="auto"/>
              <w:right w:val="single" w:sz="4" w:space="0" w:color="000000"/>
            </w:tcBorders>
            <w:shd w:val="clear" w:color="auto" w:fill="auto"/>
            <w:vAlign w:val="center"/>
            <w:hideMark/>
          </w:tcPr>
          <w:p w14:paraId="26C51708" w14:textId="77777777" w:rsidR="00B819FC" w:rsidRPr="00B819FC" w:rsidRDefault="00B819FC" w:rsidP="00B819FC">
            <w:pPr>
              <w:jc w:val="cente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959" w:type="dxa"/>
            <w:gridSpan w:val="2"/>
            <w:tcBorders>
              <w:top w:val="nil"/>
              <w:left w:val="nil"/>
              <w:bottom w:val="nil"/>
              <w:right w:val="single" w:sz="4" w:space="0" w:color="auto"/>
            </w:tcBorders>
            <w:shd w:val="clear" w:color="auto" w:fill="auto"/>
            <w:vAlign w:val="center"/>
            <w:hideMark/>
          </w:tcPr>
          <w:p w14:paraId="721154C9"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246,000</w:t>
            </w:r>
          </w:p>
        </w:tc>
        <w:tc>
          <w:tcPr>
            <w:tcW w:w="80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1DEE9CC8" w14:textId="77777777" w:rsidR="00B819FC" w:rsidRPr="00B819FC" w:rsidRDefault="00B819FC" w:rsidP="00B819FC">
            <w:pPr>
              <w:jc w:val="cente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50,307</w:t>
            </w:r>
          </w:p>
        </w:tc>
      </w:tr>
      <w:tr w:rsidR="009E49E6" w:rsidRPr="00B819FC" w14:paraId="01A63C90" w14:textId="77777777" w:rsidTr="009E49E6">
        <w:trPr>
          <w:gridAfter w:val="1"/>
          <w:wAfter w:w="7" w:type="dxa"/>
          <w:trHeight w:val="20"/>
        </w:trPr>
        <w:tc>
          <w:tcPr>
            <w:tcW w:w="991" w:type="dxa"/>
            <w:vMerge/>
            <w:tcBorders>
              <w:top w:val="nil"/>
              <w:left w:val="single" w:sz="4" w:space="0" w:color="auto"/>
              <w:bottom w:val="single" w:sz="4" w:space="0" w:color="000000"/>
              <w:right w:val="single" w:sz="4" w:space="0" w:color="auto"/>
            </w:tcBorders>
            <w:vAlign w:val="center"/>
            <w:hideMark/>
          </w:tcPr>
          <w:p w14:paraId="5D9616E6" w14:textId="77777777" w:rsidR="00B819FC" w:rsidRPr="00B819FC" w:rsidRDefault="00B819FC" w:rsidP="00B819FC">
            <w:pPr>
              <w:rPr>
                <w:rFonts w:ascii="Arial" w:eastAsia="Times New Roman" w:hAnsi="Arial" w:cs="Arial"/>
                <w:color w:val="000000"/>
                <w:sz w:val="14"/>
                <w:szCs w:val="14"/>
                <w:lang w:val="cs-CZ" w:eastAsia="cs-CZ"/>
              </w:rPr>
            </w:pPr>
          </w:p>
        </w:tc>
        <w:tc>
          <w:tcPr>
            <w:tcW w:w="3214" w:type="dxa"/>
            <w:vMerge/>
            <w:tcBorders>
              <w:top w:val="nil"/>
              <w:left w:val="single" w:sz="4" w:space="0" w:color="auto"/>
              <w:bottom w:val="single" w:sz="4" w:space="0" w:color="000000"/>
              <w:right w:val="single" w:sz="4" w:space="0" w:color="auto"/>
            </w:tcBorders>
            <w:vAlign w:val="center"/>
            <w:hideMark/>
          </w:tcPr>
          <w:p w14:paraId="61F96C2A" w14:textId="77777777" w:rsidR="00B819FC" w:rsidRPr="00B819FC" w:rsidRDefault="00B819FC" w:rsidP="00B819FC">
            <w:pPr>
              <w:rPr>
                <w:rFonts w:ascii="Arial" w:eastAsia="Times New Roman" w:hAnsi="Arial" w:cs="Arial"/>
                <w:color w:val="000000"/>
                <w:sz w:val="14"/>
                <w:szCs w:val="14"/>
                <w:lang w:val="cs-CZ" w:eastAsia="cs-CZ"/>
              </w:rPr>
            </w:pPr>
          </w:p>
        </w:tc>
        <w:tc>
          <w:tcPr>
            <w:tcW w:w="1028" w:type="dxa"/>
            <w:vMerge/>
            <w:tcBorders>
              <w:top w:val="nil"/>
              <w:left w:val="single" w:sz="4" w:space="0" w:color="auto"/>
              <w:bottom w:val="single" w:sz="4" w:space="0" w:color="000000"/>
              <w:right w:val="single" w:sz="4" w:space="0" w:color="auto"/>
            </w:tcBorders>
            <w:vAlign w:val="center"/>
            <w:hideMark/>
          </w:tcPr>
          <w:p w14:paraId="38B775B4" w14:textId="77777777" w:rsidR="00B819FC" w:rsidRPr="00B819FC" w:rsidRDefault="00B819FC" w:rsidP="00B819FC">
            <w:pPr>
              <w:rPr>
                <w:rFonts w:ascii="Arial" w:eastAsia="Times New Roman" w:hAnsi="Arial" w:cs="Arial"/>
                <w:color w:val="000000"/>
                <w:sz w:val="14"/>
                <w:szCs w:val="14"/>
                <w:lang w:val="cs-CZ" w:eastAsia="cs-CZ"/>
              </w:rPr>
            </w:pPr>
          </w:p>
        </w:tc>
        <w:tc>
          <w:tcPr>
            <w:tcW w:w="847" w:type="dxa"/>
            <w:vMerge/>
            <w:tcBorders>
              <w:top w:val="nil"/>
              <w:left w:val="single" w:sz="4" w:space="0" w:color="auto"/>
              <w:bottom w:val="single" w:sz="4" w:space="0" w:color="000000"/>
              <w:right w:val="single" w:sz="4" w:space="0" w:color="auto"/>
            </w:tcBorders>
            <w:vAlign w:val="center"/>
            <w:hideMark/>
          </w:tcPr>
          <w:p w14:paraId="712B4A30" w14:textId="77777777" w:rsidR="00B819FC" w:rsidRPr="00B819FC" w:rsidRDefault="00B819FC" w:rsidP="00B819FC">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24C9FE70"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7432D0D9"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5C82FD95"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8471492"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49ECFDE7"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3D57118"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4E6067F4"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6380EB5B"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63D1FB97"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09ADC186"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14:paraId="69E5FA35"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803" w:type="dxa"/>
            <w:gridSpan w:val="2"/>
            <w:vMerge/>
            <w:tcBorders>
              <w:top w:val="nil"/>
              <w:left w:val="single" w:sz="4" w:space="0" w:color="auto"/>
              <w:bottom w:val="single" w:sz="4" w:space="0" w:color="000000"/>
              <w:right w:val="single" w:sz="4" w:space="0" w:color="auto"/>
            </w:tcBorders>
            <w:vAlign w:val="center"/>
            <w:hideMark/>
          </w:tcPr>
          <w:p w14:paraId="36BCBCDD" w14:textId="77777777" w:rsidR="00B819FC" w:rsidRPr="00B819FC" w:rsidRDefault="00B819FC" w:rsidP="00B819FC">
            <w:pPr>
              <w:rPr>
                <w:rFonts w:ascii="Arial" w:eastAsia="Times New Roman" w:hAnsi="Arial" w:cs="Arial"/>
                <w:color w:val="000000"/>
                <w:sz w:val="14"/>
                <w:szCs w:val="14"/>
                <w:lang w:val="cs-CZ" w:eastAsia="cs-CZ"/>
              </w:rPr>
            </w:pPr>
          </w:p>
        </w:tc>
      </w:tr>
      <w:tr w:rsidR="009E49E6" w:rsidRPr="00B819FC" w14:paraId="66EA48C0" w14:textId="77777777" w:rsidTr="009E49E6">
        <w:trPr>
          <w:gridAfter w:val="1"/>
          <w:wAfter w:w="7" w:type="dxa"/>
          <w:trHeight w:val="20"/>
        </w:trPr>
        <w:tc>
          <w:tcPr>
            <w:tcW w:w="991" w:type="dxa"/>
            <w:vMerge/>
            <w:tcBorders>
              <w:top w:val="nil"/>
              <w:left w:val="single" w:sz="4" w:space="0" w:color="auto"/>
              <w:bottom w:val="single" w:sz="4" w:space="0" w:color="000000"/>
              <w:right w:val="single" w:sz="4" w:space="0" w:color="auto"/>
            </w:tcBorders>
            <w:vAlign w:val="center"/>
            <w:hideMark/>
          </w:tcPr>
          <w:p w14:paraId="616DFE5B" w14:textId="77777777" w:rsidR="00B819FC" w:rsidRPr="00B819FC" w:rsidRDefault="00B819FC" w:rsidP="00B819FC">
            <w:pPr>
              <w:rPr>
                <w:rFonts w:ascii="Arial" w:eastAsia="Times New Roman" w:hAnsi="Arial" w:cs="Arial"/>
                <w:color w:val="000000"/>
                <w:sz w:val="14"/>
                <w:szCs w:val="14"/>
                <w:lang w:val="cs-CZ" w:eastAsia="cs-CZ"/>
              </w:rPr>
            </w:pPr>
          </w:p>
        </w:tc>
        <w:tc>
          <w:tcPr>
            <w:tcW w:w="3214" w:type="dxa"/>
            <w:vMerge/>
            <w:tcBorders>
              <w:top w:val="nil"/>
              <w:left w:val="single" w:sz="4" w:space="0" w:color="auto"/>
              <w:bottom w:val="single" w:sz="4" w:space="0" w:color="000000"/>
              <w:right w:val="single" w:sz="4" w:space="0" w:color="auto"/>
            </w:tcBorders>
            <w:vAlign w:val="center"/>
            <w:hideMark/>
          </w:tcPr>
          <w:p w14:paraId="53C3E30B" w14:textId="77777777" w:rsidR="00B819FC" w:rsidRPr="00B819FC" w:rsidRDefault="00B819FC" w:rsidP="00B819FC">
            <w:pPr>
              <w:rPr>
                <w:rFonts w:ascii="Arial" w:eastAsia="Times New Roman" w:hAnsi="Arial" w:cs="Arial"/>
                <w:color w:val="000000"/>
                <w:sz w:val="14"/>
                <w:szCs w:val="14"/>
                <w:lang w:val="cs-CZ" w:eastAsia="cs-CZ"/>
              </w:rPr>
            </w:pPr>
          </w:p>
        </w:tc>
        <w:tc>
          <w:tcPr>
            <w:tcW w:w="1028" w:type="dxa"/>
            <w:vMerge/>
            <w:tcBorders>
              <w:top w:val="nil"/>
              <w:left w:val="single" w:sz="4" w:space="0" w:color="auto"/>
              <w:bottom w:val="single" w:sz="4" w:space="0" w:color="000000"/>
              <w:right w:val="single" w:sz="4" w:space="0" w:color="auto"/>
            </w:tcBorders>
            <w:vAlign w:val="center"/>
            <w:hideMark/>
          </w:tcPr>
          <w:p w14:paraId="1CE9F736" w14:textId="77777777" w:rsidR="00B819FC" w:rsidRPr="00B819FC" w:rsidRDefault="00B819FC" w:rsidP="00B819FC">
            <w:pPr>
              <w:rPr>
                <w:rFonts w:ascii="Arial" w:eastAsia="Times New Roman" w:hAnsi="Arial" w:cs="Arial"/>
                <w:color w:val="000000"/>
                <w:sz w:val="14"/>
                <w:szCs w:val="14"/>
                <w:lang w:val="cs-CZ" w:eastAsia="cs-CZ"/>
              </w:rPr>
            </w:pPr>
          </w:p>
        </w:tc>
        <w:tc>
          <w:tcPr>
            <w:tcW w:w="847" w:type="dxa"/>
            <w:vMerge/>
            <w:tcBorders>
              <w:top w:val="nil"/>
              <w:left w:val="single" w:sz="4" w:space="0" w:color="auto"/>
              <w:bottom w:val="single" w:sz="4" w:space="0" w:color="000000"/>
              <w:right w:val="single" w:sz="4" w:space="0" w:color="auto"/>
            </w:tcBorders>
            <w:vAlign w:val="center"/>
            <w:hideMark/>
          </w:tcPr>
          <w:p w14:paraId="56BDA0C4" w14:textId="77777777" w:rsidR="00B819FC" w:rsidRPr="00B819FC" w:rsidRDefault="00B819FC" w:rsidP="00B819FC">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43CD6A5A"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3A75CECB"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548B2241"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78ADEFA7"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43CFC3EB"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149BD7BB"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39AFCDBE"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874BD54"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190080C"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D91879B"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959" w:type="dxa"/>
            <w:gridSpan w:val="2"/>
            <w:tcBorders>
              <w:top w:val="nil"/>
              <w:left w:val="nil"/>
              <w:bottom w:val="single" w:sz="4" w:space="0" w:color="auto"/>
              <w:right w:val="single" w:sz="4" w:space="0" w:color="auto"/>
            </w:tcBorders>
            <w:shd w:val="clear" w:color="auto" w:fill="auto"/>
            <w:vAlign w:val="center"/>
            <w:hideMark/>
          </w:tcPr>
          <w:p w14:paraId="430C1794"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803" w:type="dxa"/>
            <w:gridSpan w:val="2"/>
            <w:vMerge/>
            <w:tcBorders>
              <w:top w:val="nil"/>
              <w:left w:val="single" w:sz="4" w:space="0" w:color="auto"/>
              <w:bottom w:val="single" w:sz="4" w:space="0" w:color="000000"/>
              <w:right w:val="single" w:sz="4" w:space="0" w:color="auto"/>
            </w:tcBorders>
            <w:vAlign w:val="center"/>
            <w:hideMark/>
          </w:tcPr>
          <w:p w14:paraId="41F1738A" w14:textId="77777777" w:rsidR="00B819FC" w:rsidRPr="00B819FC" w:rsidRDefault="00B819FC" w:rsidP="00B819FC">
            <w:pPr>
              <w:rPr>
                <w:rFonts w:ascii="Arial" w:eastAsia="Times New Roman" w:hAnsi="Arial" w:cs="Arial"/>
                <w:color w:val="000000"/>
                <w:sz w:val="14"/>
                <w:szCs w:val="14"/>
                <w:lang w:val="cs-CZ" w:eastAsia="cs-CZ"/>
              </w:rPr>
            </w:pPr>
          </w:p>
        </w:tc>
      </w:tr>
      <w:tr w:rsidR="009E49E6" w:rsidRPr="00B819FC" w14:paraId="7DC16FB0" w14:textId="77777777" w:rsidTr="009E49E6">
        <w:trPr>
          <w:trHeight w:val="20"/>
        </w:trPr>
        <w:tc>
          <w:tcPr>
            <w:tcW w:w="991" w:type="dxa"/>
            <w:vMerge w:val="restart"/>
            <w:tcBorders>
              <w:top w:val="nil"/>
              <w:left w:val="single" w:sz="4" w:space="0" w:color="auto"/>
              <w:bottom w:val="single" w:sz="4" w:space="0" w:color="000000"/>
              <w:right w:val="single" w:sz="4" w:space="0" w:color="auto"/>
            </w:tcBorders>
            <w:shd w:val="clear" w:color="auto" w:fill="auto"/>
            <w:vAlign w:val="center"/>
            <w:hideMark/>
          </w:tcPr>
          <w:p w14:paraId="44F5E2DD" w14:textId="77777777" w:rsidR="00B819FC" w:rsidRPr="00B819FC" w:rsidRDefault="00B819FC" w:rsidP="00B819FC">
            <w:pPr>
              <w:jc w:val="cente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62200/CO22</w:t>
            </w:r>
          </w:p>
        </w:tc>
        <w:tc>
          <w:tcPr>
            <w:tcW w:w="3214" w:type="dxa"/>
            <w:vMerge w:val="restart"/>
            <w:tcBorders>
              <w:top w:val="nil"/>
              <w:left w:val="single" w:sz="4" w:space="0" w:color="auto"/>
              <w:bottom w:val="single" w:sz="4" w:space="0" w:color="000000"/>
              <w:right w:val="single" w:sz="4" w:space="0" w:color="auto"/>
            </w:tcBorders>
            <w:shd w:val="clear" w:color="auto" w:fill="auto"/>
            <w:vAlign w:val="center"/>
            <w:hideMark/>
          </w:tcPr>
          <w:p w14:paraId="280D0E74" w14:textId="77777777" w:rsidR="00B819FC" w:rsidRPr="00B819FC" w:rsidRDefault="00B819FC" w:rsidP="00B819FC">
            <w:pP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Počet projektů zaměřených na orgány veřejné správy  a veřejné služby na celostátní, regionální a místní úrovni</w:t>
            </w:r>
          </w:p>
        </w:tc>
        <w:tc>
          <w:tcPr>
            <w:tcW w:w="1028" w:type="dxa"/>
            <w:vMerge w:val="restart"/>
            <w:tcBorders>
              <w:top w:val="nil"/>
              <w:left w:val="single" w:sz="4" w:space="0" w:color="auto"/>
              <w:bottom w:val="single" w:sz="4" w:space="0" w:color="000000"/>
              <w:right w:val="single" w:sz="4" w:space="0" w:color="auto"/>
            </w:tcBorders>
            <w:shd w:val="clear" w:color="auto" w:fill="auto"/>
            <w:vAlign w:val="center"/>
            <w:hideMark/>
          </w:tcPr>
          <w:p w14:paraId="17F04DA3" w14:textId="77777777" w:rsidR="00B819FC" w:rsidRPr="00B819FC" w:rsidRDefault="00B819FC" w:rsidP="00B819FC">
            <w:pP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Více rozvinuté regiony</w:t>
            </w:r>
          </w:p>
        </w:tc>
        <w:tc>
          <w:tcPr>
            <w:tcW w:w="847" w:type="dxa"/>
            <w:vMerge w:val="restart"/>
            <w:tcBorders>
              <w:top w:val="nil"/>
              <w:left w:val="single" w:sz="4" w:space="0" w:color="auto"/>
              <w:bottom w:val="single" w:sz="4" w:space="0" w:color="000000"/>
              <w:right w:val="single" w:sz="4" w:space="0" w:color="auto"/>
            </w:tcBorders>
            <w:shd w:val="clear" w:color="auto" w:fill="auto"/>
            <w:vAlign w:val="center"/>
            <w:hideMark/>
          </w:tcPr>
          <w:p w14:paraId="78DF235A" w14:textId="77777777" w:rsidR="00B819FC" w:rsidRPr="00B819FC" w:rsidRDefault="00B819FC" w:rsidP="00B819FC">
            <w:pPr>
              <w:jc w:val="cente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49,000</w:t>
            </w:r>
          </w:p>
        </w:tc>
        <w:tc>
          <w:tcPr>
            <w:tcW w:w="7976" w:type="dxa"/>
            <w:gridSpan w:val="11"/>
            <w:tcBorders>
              <w:top w:val="single" w:sz="4" w:space="0" w:color="auto"/>
              <w:left w:val="nil"/>
              <w:bottom w:val="single" w:sz="4" w:space="0" w:color="auto"/>
              <w:right w:val="single" w:sz="4" w:space="0" w:color="000000"/>
            </w:tcBorders>
            <w:shd w:val="clear" w:color="auto" w:fill="auto"/>
            <w:vAlign w:val="center"/>
            <w:hideMark/>
          </w:tcPr>
          <w:p w14:paraId="235C3C4B" w14:textId="77777777" w:rsidR="00B819FC" w:rsidRPr="00B819FC" w:rsidRDefault="00B819FC" w:rsidP="00B819FC">
            <w:pPr>
              <w:jc w:val="cente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959" w:type="dxa"/>
            <w:gridSpan w:val="2"/>
            <w:tcBorders>
              <w:top w:val="nil"/>
              <w:left w:val="nil"/>
              <w:bottom w:val="nil"/>
              <w:right w:val="single" w:sz="4" w:space="0" w:color="auto"/>
            </w:tcBorders>
            <w:shd w:val="clear" w:color="auto" w:fill="auto"/>
            <w:vAlign w:val="center"/>
            <w:hideMark/>
          </w:tcPr>
          <w:p w14:paraId="2481C1D2"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23,000</w:t>
            </w:r>
          </w:p>
        </w:tc>
        <w:tc>
          <w:tcPr>
            <w:tcW w:w="80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0F54E16" w14:textId="77777777" w:rsidR="00B819FC" w:rsidRPr="00B819FC" w:rsidRDefault="00B819FC" w:rsidP="00B819FC">
            <w:pPr>
              <w:jc w:val="center"/>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46,939</w:t>
            </w:r>
          </w:p>
        </w:tc>
      </w:tr>
      <w:tr w:rsidR="009E49E6" w:rsidRPr="00B819FC" w14:paraId="1FEF4DD5" w14:textId="77777777" w:rsidTr="009E49E6">
        <w:trPr>
          <w:gridAfter w:val="1"/>
          <w:wAfter w:w="7" w:type="dxa"/>
          <w:trHeight w:val="20"/>
        </w:trPr>
        <w:tc>
          <w:tcPr>
            <w:tcW w:w="991" w:type="dxa"/>
            <w:vMerge/>
            <w:tcBorders>
              <w:top w:val="nil"/>
              <w:left w:val="single" w:sz="4" w:space="0" w:color="auto"/>
              <w:bottom w:val="single" w:sz="4" w:space="0" w:color="000000"/>
              <w:right w:val="single" w:sz="4" w:space="0" w:color="auto"/>
            </w:tcBorders>
            <w:vAlign w:val="center"/>
            <w:hideMark/>
          </w:tcPr>
          <w:p w14:paraId="00E6C101" w14:textId="77777777" w:rsidR="00B819FC" w:rsidRPr="00B819FC" w:rsidRDefault="00B819FC" w:rsidP="00B819FC">
            <w:pPr>
              <w:rPr>
                <w:rFonts w:ascii="Arial" w:eastAsia="Times New Roman" w:hAnsi="Arial" w:cs="Arial"/>
                <w:color w:val="000000"/>
                <w:sz w:val="14"/>
                <w:szCs w:val="14"/>
                <w:lang w:val="cs-CZ" w:eastAsia="cs-CZ"/>
              </w:rPr>
            </w:pPr>
          </w:p>
        </w:tc>
        <w:tc>
          <w:tcPr>
            <w:tcW w:w="3214" w:type="dxa"/>
            <w:vMerge/>
            <w:tcBorders>
              <w:top w:val="nil"/>
              <w:left w:val="single" w:sz="4" w:space="0" w:color="auto"/>
              <w:bottom w:val="single" w:sz="4" w:space="0" w:color="000000"/>
              <w:right w:val="single" w:sz="4" w:space="0" w:color="auto"/>
            </w:tcBorders>
            <w:vAlign w:val="center"/>
            <w:hideMark/>
          </w:tcPr>
          <w:p w14:paraId="2F8705D3" w14:textId="77777777" w:rsidR="00B819FC" w:rsidRPr="00B819FC" w:rsidRDefault="00B819FC" w:rsidP="00B819FC">
            <w:pPr>
              <w:rPr>
                <w:rFonts w:ascii="Arial" w:eastAsia="Times New Roman" w:hAnsi="Arial" w:cs="Arial"/>
                <w:color w:val="000000"/>
                <w:sz w:val="14"/>
                <w:szCs w:val="14"/>
                <w:lang w:val="cs-CZ" w:eastAsia="cs-CZ"/>
              </w:rPr>
            </w:pPr>
          </w:p>
        </w:tc>
        <w:tc>
          <w:tcPr>
            <w:tcW w:w="1028" w:type="dxa"/>
            <w:vMerge/>
            <w:tcBorders>
              <w:top w:val="nil"/>
              <w:left w:val="single" w:sz="4" w:space="0" w:color="auto"/>
              <w:bottom w:val="single" w:sz="4" w:space="0" w:color="000000"/>
              <w:right w:val="single" w:sz="4" w:space="0" w:color="auto"/>
            </w:tcBorders>
            <w:vAlign w:val="center"/>
            <w:hideMark/>
          </w:tcPr>
          <w:p w14:paraId="69F74DE9" w14:textId="77777777" w:rsidR="00B819FC" w:rsidRPr="00B819FC" w:rsidRDefault="00B819FC" w:rsidP="00B819FC">
            <w:pPr>
              <w:rPr>
                <w:rFonts w:ascii="Arial" w:eastAsia="Times New Roman" w:hAnsi="Arial" w:cs="Arial"/>
                <w:color w:val="000000"/>
                <w:sz w:val="14"/>
                <w:szCs w:val="14"/>
                <w:lang w:val="cs-CZ" w:eastAsia="cs-CZ"/>
              </w:rPr>
            </w:pPr>
          </w:p>
        </w:tc>
        <w:tc>
          <w:tcPr>
            <w:tcW w:w="847" w:type="dxa"/>
            <w:vMerge/>
            <w:tcBorders>
              <w:top w:val="nil"/>
              <w:left w:val="single" w:sz="4" w:space="0" w:color="auto"/>
              <w:bottom w:val="single" w:sz="4" w:space="0" w:color="000000"/>
              <w:right w:val="single" w:sz="4" w:space="0" w:color="auto"/>
            </w:tcBorders>
            <w:vAlign w:val="center"/>
            <w:hideMark/>
          </w:tcPr>
          <w:p w14:paraId="4F74DC51" w14:textId="77777777" w:rsidR="00B819FC" w:rsidRPr="00B819FC" w:rsidRDefault="00B819FC" w:rsidP="00B819FC">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5134EA8A"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7616852C"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58FFEF68"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6D903D86"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5195283A"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62351E4C"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AD832A9"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431C4A32"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F5740F9"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41645E02"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959" w:type="dxa"/>
            <w:gridSpan w:val="2"/>
            <w:tcBorders>
              <w:top w:val="single" w:sz="4" w:space="0" w:color="auto"/>
              <w:left w:val="nil"/>
              <w:bottom w:val="single" w:sz="4" w:space="0" w:color="auto"/>
              <w:right w:val="single" w:sz="4" w:space="0" w:color="auto"/>
            </w:tcBorders>
            <w:shd w:val="clear" w:color="auto" w:fill="auto"/>
            <w:vAlign w:val="center"/>
            <w:hideMark/>
          </w:tcPr>
          <w:p w14:paraId="42774C7E"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803" w:type="dxa"/>
            <w:gridSpan w:val="2"/>
            <w:vMerge/>
            <w:tcBorders>
              <w:top w:val="nil"/>
              <w:left w:val="single" w:sz="4" w:space="0" w:color="auto"/>
              <w:bottom w:val="single" w:sz="4" w:space="0" w:color="000000"/>
              <w:right w:val="single" w:sz="4" w:space="0" w:color="auto"/>
            </w:tcBorders>
            <w:vAlign w:val="center"/>
            <w:hideMark/>
          </w:tcPr>
          <w:p w14:paraId="75BE4879" w14:textId="77777777" w:rsidR="00B819FC" w:rsidRPr="00B819FC" w:rsidRDefault="00B819FC" w:rsidP="00B819FC">
            <w:pPr>
              <w:rPr>
                <w:rFonts w:ascii="Arial" w:eastAsia="Times New Roman" w:hAnsi="Arial" w:cs="Arial"/>
                <w:color w:val="000000"/>
                <w:sz w:val="14"/>
                <w:szCs w:val="14"/>
                <w:lang w:val="cs-CZ" w:eastAsia="cs-CZ"/>
              </w:rPr>
            </w:pPr>
          </w:p>
        </w:tc>
      </w:tr>
      <w:tr w:rsidR="009E49E6" w:rsidRPr="00B819FC" w14:paraId="0A19F4AA" w14:textId="77777777" w:rsidTr="009E49E6">
        <w:trPr>
          <w:gridAfter w:val="1"/>
          <w:wAfter w:w="7" w:type="dxa"/>
          <w:trHeight w:val="20"/>
        </w:trPr>
        <w:tc>
          <w:tcPr>
            <w:tcW w:w="991" w:type="dxa"/>
            <w:vMerge/>
            <w:tcBorders>
              <w:top w:val="nil"/>
              <w:left w:val="single" w:sz="4" w:space="0" w:color="auto"/>
              <w:bottom w:val="single" w:sz="4" w:space="0" w:color="000000"/>
              <w:right w:val="single" w:sz="4" w:space="0" w:color="auto"/>
            </w:tcBorders>
            <w:vAlign w:val="center"/>
            <w:hideMark/>
          </w:tcPr>
          <w:p w14:paraId="3A89B23B" w14:textId="77777777" w:rsidR="00B819FC" w:rsidRPr="00B819FC" w:rsidRDefault="00B819FC" w:rsidP="00B819FC">
            <w:pPr>
              <w:rPr>
                <w:rFonts w:ascii="Arial" w:eastAsia="Times New Roman" w:hAnsi="Arial" w:cs="Arial"/>
                <w:color w:val="000000"/>
                <w:sz w:val="14"/>
                <w:szCs w:val="14"/>
                <w:lang w:val="cs-CZ" w:eastAsia="cs-CZ"/>
              </w:rPr>
            </w:pPr>
          </w:p>
        </w:tc>
        <w:tc>
          <w:tcPr>
            <w:tcW w:w="3214" w:type="dxa"/>
            <w:vMerge/>
            <w:tcBorders>
              <w:top w:val="nil"/>
              <w:left w:val="single" w:sz="4" w:space="0" w:color="auto"/>
              <w:bottom w:val="single" w:sz="4" w:space="0" w:color="000000"/>
              <w:right w:val="single" w:sz="4" w:space="0" w:color="auto"/>
            </w:tcBorders>
            <w:vAlign w:val="center"/>
            <w:hideMark/>
          </w:tcPr>
          <w:p w14:paraId="4F8750B5" w14:textId="77777777" w:rsidR="00B819FC" w:rsidRPr="00B819FC" w:rsidRDefault="00B819FC" w:rsidP="00B819FC">
            <w:pPr>
              <w:rPr>
                <w:rFonts w:ascii="Arial" w:eastAsia="Times New Roman" w:hAnsi="Arial" w:cs="Arial"/>
                <w:color w:val="000000"/>
                <w:sz w:val="14"/>
                <w:szCs w:val="14"/>
                <w:lang w:val="cs-CZ" w:eastAsia="cs-CZ"/>
              </w:rPr>
            </w:pPr>
          </w:p>
        </w:tc>
        <w:tc>
          <w:tcPr>
            <w:tcW w:w="1028" w:type="dxa"/>
            <w:vMerge/>
            <w:tcBorders>
              <w:top w:val="nil"/>
              <w:left w:val="single" w:sz="4" w:space="0" w:color="auto"/>
              <w:bottom w:val="single" w:sz="4" w:space="0" w:color="000000"/>
              <w:right w:val="single" w:sz="4" w:space="0" w:color="auto"/>
            </w:tcBorders>
            <w:vAlign w:val="center"/>
            <w:hideMark/>
          </w:tcPr>
          <w:p w14:paraId="15301057" w14:textId="77777777" w:rsidR="00B819FC" w:rsidRPr="00B819FC" w:rsidRDefault="00B819FC" w:rsidP="00B819FC">
            <w:pPr>
              <w:rPr>
                <w:rFonts w:ascii="Arial" w:eastAsia="Times New Roman" w:hAnsi="Arial" w:cs="Arial"/>
                <w:color w:val="000000"/>
                <w:sz w:val="14"/>
                <w:szCs w:val="14"/>
                <w:lang w:val="cs-CZ" w:eastAsia="cs-CZ"/>
              </w:rPr>
            </w:pPr>
          </w:p>
        </w:tc>
        <w:tc>
          <w:tcPr>
            <w:tcW w:w="847" w:type="dxa"/>
            <w:vMerge/>
            <w:tcBorders>
              <w:top w:val="nil"/>
              <w:left w:val="single" w:sz="4" w:space="0" w:color="auto"/>
              <w:bottom w:val="single" w:sz="4" w:space="0" w:color="000000"/>
              <w:right w:val="single" w:sz="4" w:space="0" w:color="auto"/>
            </w:tcBorders>
            <w:vAlign w:val="center"/>
            <w:hideMark/>
          </w:tcPr>
          <w:p w14:paraId="6FEF9240" w14:textId="77777777" w:rsidR="00B819FC" w:rsidRPr="00B819FC" w:rsidRDefault="00B819FC" w:rsidP="00B819FC">
            <w:pPr>
              <w:rPr>
                <w:rFonts w:ascii="Arial" w:eastAsia="Times New Roman" w:hAnsi="Arial" w:cs="Arial"/>
                <w:color w:val="000000"/>
                <w:sz w:val="14"/>
                <w:szCs w:val="14"/>
                <w:lang w:val="cs-CZ" w:eastAsia="cs-CZ"/>
              </w:rPr>
            </w:pPr>
          </w:p>
        </w:tc>
        <w:tc>
          <w:tcPr>
            <w:tcW w:w="796" w:type="dxa"/>
            <w:tcBorders>
              <w:top w:val="nil"/>
              <w:left w:val="nil"/>
              <w:bottom w:val="single" w:sz="4" w:space="0" w:color="auto"/>
              <w:right w:val="single" w:sz="4" w:space="0" w:color="auto"/>
            </w:tcBorders>
            <w:shd w:val="clear" w:color="auto" w:fill="auto"/>
            <w:vAlign w:val="center"/>
            <w:hideMark/>
          </w:tcPr>
          <w:p w14:paraId="54CA8760"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78B85DE4"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53F6E2DF"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416A6658"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9E515F0"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5487551A"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66D8BA22"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3699593"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249BFF79"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797" w:type="dxa"/>
            <w:tcBorders>
              <w:top w:val="nil"/>
              <w:left w:val="nil"/>
              <w:bottom w:val="single" w:sz="4" w:space="0" w:color="auto"/>
              <w:right w:val="single" w:sz="4" w:space="0" w:color="auto"/>
            </w:tcBorders>
            <w:shd w:val="clear" w:color="auto" w:fill="auto"/>
            <w:vAlign w:val="center"/>
            <w:hideMark/>
          </w:tcPr>
          <w:p w14:paraId="0FA47AFC" w14:textId="77777777"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959" w:type="dxa"/>
            <w:gridSpan w:val="2"/>
            <w:tcBorders>
              <w:top w:val="nil"/>
              <w:left w:val="nil"/>
              <w:bottom w:val="single" w:sz="4" w:space="0" w:color="auto"/>
              <w:right w:val="single" w:sz="4" w:space="0" w:color="auto"/>
            </w:tcBorders>
            <w:shd w:val="clear" w:color="auto" w:fill="auto"/>
            <w:vAlign w:val="center"/>
            <w:hideMark/>
          </w:tcPr>
          <w:p w14:paraId="340EC79A" w14:textId="43D6AC4D" w:rsidR="00B819FC" w:rsidRPr="00B819FC" w:rsidRDefault="00B819FC" w:rsidP="00B819FC">
            <w:pPr>
              <w:jc w:val="right"/>
              <w:rPr>
                <w:rFonts w:ascii="Arial" w:eastAsia="Times New Roman" w:hAnsi="Arial" w:cs="Arial"/>
                <w:color w:val="000000"/>
                <w:sz w:val="14"/>
                <w:szCs w:val="14"/>
                <w:lang w:val="cs-CZ" w:eastAsia="cs-CZ"/>
              </w:rPr>
            </w:pPr>
            <w:r w:rsidRPr="00B819FC">
              <w:rPr>
                <w:rFonts w:ascii="Arial" w:eastAsia="Times New Roman" w:hAnsi="Arial" w:cs="Arial"/>
                <w:color w:val="000000"/>
                <w:sz w:val="14"/>
                <w:szCs w:val="14"/>
                <w:lang w:val="cs-CZ" w:eastAsia="cs-CZ"/>
              </w:rPr>
              <w:t> </w:t>
            </w:r>
          </w:p>
        </w:tc>
        <w:tc>
          <w:tcPr>
            <w:tcW w:w="803" w:type="dxa"/>
            <w:gridSpan w:val="2"/>
            <w:vMerge/>
            <w:tcBorders>
              <w:top w:val="nil"/>
              <w:left w:val="single" w:sz="4" w:space="0" w:color="auto"/>
              <w:bottom w:val="single" w:sz="4" w:space="0" w:color="000000"/>
              <w:right w:val="single" w:sz="4" w:space="0" w:color="auto"/>
            </w:tcBorders>
            <w:vAlign w:val="center"/>
            <w:hideMark/>
          </w:tcPr>
          <w:p w14:paraId="360C1F4F" w14:textId="77777777" w:rsidR="00B819FC" w:rsidRPr="00B819FC" w:rsidRDefault="00B819FC" w:rsidP="00B819FC">
            <w:pPr>
              <w:rPr>
                <w:rFonts w:ascii="Arial" w:eastAsia="Times New Roman" w:hAnsi="Arial" w:cs="Arial"/>
                <w:color w:val="000000"/>
                <w:sz w:val="14"/>
                <w:szCs w:val="14"/>
                <w:lang w:val="cs-CZ" w:eastAsia="cs-CZ"/>
              </w:rPr>
            </w:pPr>
          </w:p>
        </w:tc>
      </w:tr>
    </w:tbl>
    <w:p w14:paraId="32396CC1" w14:textId="77777777" w:rsidR="000A2518" w:rsidRPr="002F2BE4" w:rsidRDefault="000A2518" w:rsidP="00B819FC">
      <w:pPr>
        <w:ind w:right="108"/>
        <w:jc w:val="both"/>
        <w:rPr>
          <w:rFonts w:ascii="Arial" w:eastAsia="Arial" w:hAnsi="Arial" w:cs="Arial"/>
          <w:color w:val="000000"/>
          <w:sz w:val="20"/>
          <w:lang w:val="cs-CZ"/>
        </w:rPr>
      </w:pPr>
    </w:p>
    <w:p w14:paraId="2DBA3310" w14:textId="77777777" w:rsidR="00FD35AB" w:rsidRDefault="00FD35AB" w:rsidP="00503415">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03.5.125 Technická pomoc</w:t>
      </w:r>
    </w:p>
    <w:tbl>
      <w:tblPr>
        <w:tblW w:w="15869" w:type="dxa"/>
        <w:tblInd w:w="75" w:type="dxa"/>
        <w:tblCellMar>
          <w:left w:w="70" w:type="dxa"/>
          <w:right w:w="70" w:type="dxa"/>
        </w:tblCellMar>
        <w:tblLook w:val="04A0" w:firstRow="1" w:lastRow="0" w:firstColumn="1" w:lastColumn="0" w:noHBand="0" w:noVBand="1"/>
      </w:tblPr>
      <w:tblGrid>
        <w:gridCol w:w="858"/>
        <w:gridCol w:w="3386"/>
        <w:gridCol w:w="1043"/>
        <w:gridCol w:w="887"/>
        <w:gridCol w:w="785"/>
        <w:gridCol w:w="785"/>
        <w:gridCol w:w="785"/>
        <w:gridCol w:w="785"/>
        <w:gridCol w:w="785"/>
        <w:gridCol w:w="785"/>
        <w:gridCol w:w="785"/>
        <w:gridCol w:w="785"/>
        <w:gridCol w:w="785"/>
        <w:gridCol w:w="785"/>
        <w:gridCol w:w="12"/>
        <w:gridCol w:w="992"/>
        <w:gridCol w:w="12"/>
        <w:gridCol w:w="829"/>
      </w:tblGrid>
      <w:tr w:rsidR="009E49E6" w:rsidRPr="00B819FC" w14:paraId="61C92539" w14:textId="77777777" w:rsidTr="009E49E6">
        <w:trPr>
          <w:trHeight w:val="20"/>
          <w:tblHeader/>
        </w:trPr>
        <w:tc>
          <w:tcPr>
            <w:tcW w:w="8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57A7B0"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ID</w:t>
            </w:r>
          </w:p>
        </w:tc>
        <w:tc>
          <w:tcPr>
            <w:tcW w:w="34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C8D6B1"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Indikátor (název indikátoru)</w:t>
            </w:r>
          </w:p>
        </w:tc>
        <w:tc>
          <w:tcPr>
            <w:tcW w:w="10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11048"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Kategorie regionu (je-li relevantní)</w:t>
            </w:r>
          </w:p>
        </w:tc>
        <w:tc>
          <w:tcPr>
            <w:tcW w:w="8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3A54AD"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Cílová hodnota (2023) (Rozdělení podle pohlaví je pro cíl nepovinné)</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5CCF455E"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2014</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16A4FCCB"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2015</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5282C2D3"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2016</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7D78F2A3"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2017</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24015D30"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2018</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6360CB95"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2019</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136F0878"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2020</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25A4A84E"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2021</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38D98177"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2022</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0B4896DD"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2023</w:t>
            </w:r>
          </w:p>
        </w:tc>
        <w:tc>
          <w:tcPr>
            <w:tcW w:w="974" w:type="dxa"/>
            <w:gridSpan w:val="2"/>
            <w:tcBorders>
              <w:top w:val="single" w:sz="4" w:space="0" w:color="auto"/>
              <w:left w:val="nil"/>
              <w:bottom w:val="single" w:sz="4" w:space="0" w:color="auto"/>
              <w:right w:val="single" w:sz="4" w:space="0" w:color="auto"/>
            </w:tcBorders>
            <w:shd w:val="clear" w:color="auto" w:fill="auto"/>
            <w:vAlign w:val="center"/>
            <w:hideMark/>
          </w:tcPr>
          <w:p w14:paraId="7AD04D96"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Kumulativní hodnota (vypočítána automaticky)</w:t>
            </w:r>
          </w:p>
        </w:tc>
        <w:tc>
          <w:tcPr>
            <w:tcW w:w="81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3D6144"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Míra splnění Rozdělení podle pohlaví je nepovinné</w:t>
            </w:r>
          </w:p>
        </w:tc>
      </w:tr>
      <w:tr w:rsidR="00B819FC" w:rsidRPr="00B819FC" w14:paraId="28842E59" w14:textId="77777777" w:rsidTr="009E49E6">
        <w:trPr>
          <w:trHeight w:val="20"/>
          <w:tblHeader/>
        </w:trPr>
        <w:tc>
          <w:tcPr>
            <w:tcW w:w="864" w:type="dxa"/>
            <w:vMerge/>
            <w:tcBorders>
              <w:top w:val="single" w:sz="4" w:space="0" w:color="auto"/>
              <w:left w:val="single" w:sz="4" w:space="0" w:color="auto"/>
              <w:bottom w:val="single" w:sz="4" w:space="0" w:color="auto"/>
              <w:right w:val="single" w:sz="4" w:space="0" w:color="auto"/>
            </w:tcBorders>
            <w:vAlign w:val="center"/>
            <w:hideMark/>
          </w:tcPr>
          <w:p w14:paraId="7CA5EC65" w14:textId="77777777" w:rsidR="00B819FC" w:rsidRPr="00B819FC" w:rsidRDefault="00B819FC" w:rsidP="00B819FC">
            <w:pPr>
              <w:rPr>
                <w:rFonts w:ascii="Arial" w:eastAsia="Times New Roman" w:hAnsi="Arial" w:cs="Arial"/>
                <w:b/>
                <w:bCs/>
                <w:color w:val="000000"/>
                <w:sz w:val="14"/>
                <w:szCs w:val="14"/>
                <w:lang w:val="cs-CZ" w:eastAsia="cs-CZ"/>
              </w:rPr>
            </w:pPr>
          </w:p>
        </w:tc>
        <w:tc>
          <w:tcPr>
            <w:tcW w:w="3414" w:type="dxa"/>
            <w:vMerge/>
            <w:tcBorders>
              <w:top w:val="single" w:sz="4" w:space="0" w:color="auto"/>
              <w:left w:val="single" w:sz="4" w:space="0" w:color="auto"/>
              <w:bottom w:val="single" w:sz="4" w:space="0" w:color="auto"/>
              <w:right w:val="single" w:sz="4" w:space="0" w:color="auto"/>
            </w:tcBorders>
            <w:vAlign w:val="center"/>
            <w:hideMark/>
          </w:tcPr>
          <w:p w14:paraId="046AE617" w14:textId="77777777" w:rsidR="00B819FC" w:rsidRPr="00B819FC" w:rsidRDefault="00B819FC" w:rsidP="00B819FC">
            <w:pPr>
              <w:rPr>
                <w:rFonts w:ascii="Arial" w:eastAsia="Times New Roman" w:hAnsi="Arial" w:cs="Arial"/>
                <w:b/>
                <w:bCs/>
                <w:color w:val="000000"/>
                <w:sz w:val="14"/>
                <w:szCs w:val="14"/>
                <w:lang w:val="cs-CZ" w:eastAsia="cs-CZ"/>
              </w:rPr>
            </w:pP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1409BC87" w14:textId="77777777" w:rsidR="00B819FC" w:rsidRPr="00B819FC" w:rsidRDefault="00B819FC" w:rsidP="00B819FC">
            <w:pPr>
              <w:rPr>
                <w:rFonts w:ascii="Arial" w:eastAsia="Times New Roman" w:hAnsi="Arial" w:cs="Arial"/>
                <w:b/>
                <w:bCs/>
                <w:color w:val="000000"/>
                <w:sz w:val="14"/>
                <w:szCs w:val="14"/>
                <w:lang w:val="cs-CZ" w:eastAsia="cs-CZ"/>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14:paraId="5492350C" w14:textId="77777777" w:rsidR="00B819FC" w:rsidRPr="00B819FC" w:rsidRDefault="00B819FC" w:rsidP="00B819FC">
            <w:pPr>
              <w:rPr>
                <w:rFonts w:ascii="Arial" w:eastAsia="Times New Roman" w:hAnsi="Arial" w:cs="Arial"/>
                <w:b/>
                <w:bCs/>
                <w:color w:val="000000"/>
                <w:sz w:val="14"/>
                <w:szCs w:val="14"/>
                <w:lang w:val="cs-CZ" w:eastAsia="cs-CZ"/>
              </w:rPr>
            </w:pPr>
          </w:p>
        </w:tc>
        <w:tc>
          <w:tcPr>
            <w:tcW w:w="7897" w:type="dxa"/>
            <w:gridSpan w:val="11"/>
            <w:tcBorders>
              <w:top w:val="single" w:sz="4" w:space="0" w:color="auto"/>
              <w:left w:val="nil"/>
              <w:bottom w:val="single" w:sz="4" w:space="0" w:color="auto"/>
              <w:right w:val="single" w:sz="4" w:space="0" w:color="auto"/>
            </w:tcBorders>
            <w:shd w:val="clear" w:color="auto" w:fill="auto"/>
            <w:vAlign w:val="center"/>
            <w:hideMark/>
          </w:tcPr>
          <w:p w14:paraId="0809FB6F"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Roční hodnota</w:t>
            </w:r>
          </w:p>
        </w:tc>
        <w:tc>
          <w:tcPr>
            <w:tcW w:w="974" w:type="dxa"/>
            <w:gridSpan w:val="2"/>
            <w:tcBorders>
              <w:top w:val="nil"/>
              <w:left w:val="nil"/>
              <w:bottom w:val="single" w:sz="4" w:space="0" w:color="auto"/>
              <w:right w:val="single" w:sz="4" w:space="0" w:color="auto"/>
            </w:tcBorders>
            <w:shd w:val="clear" w:color="auto" w:fill="auto"/>
            <w:vAlign w:val="center"/>
            <w:hideMark/>
          </w:tcPr>
          <w:p w14:paraId="01FF7E49"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Celkem</w:t>
            </w:r>
          </w:p>
        </w:tc>
        <w:tc>
          <w:tcPr>
            <w:tcW w:w="815" w:type="dxa"/>
            <w:vMerge/>
            <w:tcBorders>
              <w:top w:val="single" w:sz="4" w:space="0" w:color="auto"/>
              <w:left w:val="single" w:sz="4" w:space="0" w:color="auto"/>
              <w:bottom w:val="single" w:sz="4" w:space="0" w:color="000000"/>
              <w:right w:val="single" w:sz="4" w:space="0" w:color="auto"/>
            </w:tcBorders>
            <w:vAlign w:val="center"/>
            <w:hideMark/>
          </w:tcPr>
          <w:p w14:paraId="419C6965" w14:textId="77777777" w:rsidR="00B819FC" w:rsidRPr="00B819FC" w:rsidRDefault="00B819FC" w:rsidP="00B819FC">
            <w:pPr>
              <w:rPr>
                <w:rFonts w:ascii="Arial" w:eastAsia="Times New Roman" w:hAnsi="Arial" w:cs="Arial"/>
                <w:b/>
                <w:bCs/>
                <w:color w:val="000000"/>
                <w:sz w:val="14"/>
                <w:szCs w:val="14"/>
                <w:lang w:val="cs-CZ" w:eastAsia="cs-CZ"/>
              </w:rPr>
            </w:pPr>
          </w:p>
        </w:tc>
      </w:tr>
      <w:tr w:rsidR="009E49E6" w:rsidRPr="00B819FC" w14:paraId="6194C9AB" w14:textId="77777777" w:rsidTr="009E49E6">
        <w:trPr>
          <w:trHeight w:val="20"/>
          <w:tblHeader/>
        </w:trPr>
        <w:tc>
          <w:tcPr>
            <w:tcW w:w="864" w:type="dxa"/>
            <w:vMerge/>
            <w:tcBorders>
              <w:top w:val="single" w:sz="4" w:space="0" w:color="auto"/>
              <w:left w:val="single" w:sz="4" w:space="0" w:color="auto"/>
              <w:bottom w:val="single" w:sz="4" w:space="0" w:color="auto"/>
              <w:right w:val="single" w:sz="4" w:space="0" w:color="auto"/>
            </w:tcBorders>
            <w:vAlign w:val="center"/>
            <w:hideMark/>
          </w:tcPr>
          <w:p w14:paraId="71F2D0F7" w14:textId="77777777" w:rsidR="00B819FC" w:rsidRPr="00B819FC" w:rsidRDefault="00B819FC" w:rsidP="00B819FC">
            <w:pPr>
              <w:rPr>
                <w:rFonts w:ascii="Arial" w:eastAsia="Times New Roman" w:hAnsi="Arial" w:cs="Arial"/>
                <w:b/>
                <w:bCs/>
                <w:color w:val="000000"/>
                <w:sz w:val="14"/>
                <w:szCs w:val="14"/>
                <w:lang w:val="cs-CZ" w:eastAsia="cs-CZ"/>
              </w:rPr>
            </w:pPr>
          </w:p>
        </w:tc>
        <w:tc>
          <w:tcPr>
            <w:tcW w:w="3414" w:type="dxa"/>
            <w:vMerge/>
            <w:tcBorders>
              <w:top w:val="single" w:sz="4" w:space="0" w:color="auto"/>
              <w:left w:val="single" w:sz="4" w:space="0" w:color="auto"/>
              <w:bottom w:val="single" w:sz="4" w:space="0" w:color="auto"/>
              <w:right w:val="single" w:sz="4" w:space="0" w:color="auto"/>
            </w:tcBorders>
            <w:vAlign w:val="center"/>
            <w:hideMark/>
          </w:tcPr>
          <w:p w14:paraId="0B477C42" w14:textId="77777777" w:rsidR="00B819FC" w:rsidRPr="00B819FC" w:rsidRDefault="00B819FC" w:rsidP="00B819FC">
            <w:pPr>
              <w:rPr>
                <w:rFonts w:ascii="Arial" w:eastAsia="Times New Roman" w:hAnsi="Arial" w:cs="Arial"/>
                <w:b/>
                <w:bCs/>
                <w:color w:val="000000"/>
                <w:sz w:val="14"/>
                <w:szCs w:val="14"/>
                <w:lang w:val="cs-CZ" w:eastAsia="cs-CZ"/>
              </w:rPr>
            </w:pP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5076B270" w14:textId="77777777" w:rsidR="00B819FC" w:rsidRPr="00B819FC" w:rsidRDefault="00B819FC" w:rsidP="00B819FC">
            <w:pPr>
              <w:rPr>
                <w:rFonts w:ascii="Arial" w:eastAsia="Times New Roman" w:hAnsi="Arial" w:cs="Arial"/>
                <w:b/>
                <w:bCs/>
                <w:color w:val="000000"/>
                <w:sz w:val="14"/>
                <w:szCs w:val="14"/>
                <w:lang w:val="cs-CZ" w:eastAsia="cs-CZ"/>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14:paraId="74A850F2" w14:textId="77777777" w:rsidR="00B819FC" w:rsidRPr="00B819FC" w:rsidRDefault="00B819FC" w:rsidP="00B819FC">
            <w:pPr>
              <w:rPr>
                <w:rFonts w:ascii="Arial" w:eastAsia="Times New Roman" w:hAnsi="Arial" w:cs="Arial"/>
                <w:b/>
                <w:bCs/>
                <w:color w:val="000000"/>
                <w:sz w:val="14"/>
                <w:szCs w:val="14"/>
                <w:lang w:val="cs-CZ" w:eastAsia="cs-CZ"/>
              </w:rPr>
            </w:pPr>
          </w:p>
        </w:tc>
        <w:tc>
          <w:tcPr>
            <w:tcW w:w="789" w:type="dxa"/>
            <w:tcBorders>
              <w:top w:val="nil"/>
              <w:left w:val="nil"/>
              <w:bottom w:val="single" w:sz="4" w:space="0" w:color="auto"/>
              <w:right w:val="single" w:sz="4" w:space="0" w:color="auto"/>
            </w:tcBorders>
            <w:shd w:val="clear" w:color="auto" w:fill="auto"/>
            <w:vAlign w:val="center"/>
            <w:hideMark/>
          </w:tcPr>
          <w:p w14:paraId="78364115"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546BB57E"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431E8E25"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06400673"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6144178F"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0C48A21E"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59801238"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2147C676"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599567B8"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789" w:type="dxa"/>
            <w:tcBorders>
              <w:top w:val="nil"/>
              <w:left w:val="nil"/>
              <w:bottom w:val="single" w:sz="4" w:space="0" w:color="auto"/>
              <w:right w:val="single" w:sz="4" w:space="0" w:color="auto"/>
            </w:tcBorders>
            <w:shd w:val="clear" w:color="auto" w:fill="auto"/>
            <w:vAlign w:val="center"/>
            <w:hideMark/>
          </w:tcPr>
          <w:p w14:paraId="53B8E94A"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974" w:type="dxa"/>
            <w:gridSpan w:val="2"/>
            <w:tcBorders>
              <w:top w:val="nil"/>
              <w:left w:val="nil"/>
              <w:bottom w:val="single" w:sz="4" w:space="0" w:color="auto"/>
              <w:right w:val="single" w:sz="4" w:space="0" w:color="auto"/>
            </w:tcBorders>
            <w:shd w:val="clear" w:color="auto" w:fill="auto"/>
            <w:vAlign w:val="center"/>
            <w:hideMark/>
          </w:tcPr>
          <w:p w14:paraId="77DAA7DA"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M</w:t>
            </w:r>
          </w:p>
        </w:tc>
        <w:tc>
          <w:tcPr>
            <w:tcW w:w="815" w:type="dxa"/>
            <w:gridSpan w:val="2"/>
            <w:vMerge/>
            <w:tcBorders>
              <w:top w:val="single" w:sz="4" w:space="0" w:color="auto"/>
              <w:left w:val="single" w:sz="4" w:space="0" w:color="auto"/>
              <w:bottom w:val="single" w:sz="4" w:space="0" w:color="000000"/>
              <w:right w:val="single" w:sz="4" w:space="0" w:color="auto"/>
            </w:tcBorders>
            <w:vAlign w:val="center"/>
            <w:hideMark/>
          </w:tcPr>
          <w:p w14:paraId="1A664C96" w14:textId="77777777" w:rsidR="00B819FC" w:rsidRPr="00B819FC" w:rsidRDefault="00B819FC" w:rsidP="00B819FC">
            <w:pPr>
              <w:rPr>
                <w:rFonts w:ascii="Arial" w:eastAsia="Times New Roman" w:hAnsi="Arial" w:cs="Arial"/>
                <w:b/>
                <w:bCs/>
                <w:color w:val="000000"/>
                <w:sz w:val="14"/>
                <w:szCs w:val="14"/>
                <w:lang w:val="cs-CZ" w:eastAsia="cs-CZ"/>
              </w:rPr>
            </w:pPr>
          </w:p>
        </w:tc>
      </w:tr>
      <w:tr w:rsidR="009E49E6" w:rsidRPr="00B819FC" w14:paraId="008D535F" w14:textId="77777777" w:rsidTr="009E49E6">
        <w:trPr>
          <w:trHeight w:val="20"/>
          <w:tblHeader/>
        </w:trPr>
        <w:tc>
          <w:tcPr>
            <w:tcW w:w="864" w:type="dxa"/>
            <w:vMerge/>
            <w:tcBorders>
              <w:top w:val="single" w:sz="4" w:space="0" w:color="auto"/>
              <w:left w:val="single" w:sz="4" w:space="0" w:color="auto"/>
              <w:bottom w:val="single" w:sz="4" w:space="0" w:color="auto"/>
              <w:right w:val="single" w:sz="4" w:space="0" w:color="auto"/>
            </w:tcBorders>
            <w:vAlign w:val="center"/>
            <w:hideMark/>
          </w:tcPr>
          <w:p w14:paraId="24098149" w14:textId="77777777" w:rsidR="00B819FC" w:rsidRPr="00B819FC" w:rsidRDefault="00B819FC" w:rsidP="00B819FC">
            <w:pPr>
              <w:rPr>
                <w:rFonts w:ascii="Arial" w:eastAsia="Times New Roman" w:hAnsi="Arial" w:cs="Arial"/>
                <w:b/>
                <w:bCs/>
                <w:color w:val="000000"/>
                <w:sz w:val="14"/>
                <w:szCs w:val="14"/>
                <w:lang w:val="cs-CZ" w:eastAsia="cs-CZ"/>
              </w:rPr>
            </w:pPr>
          </w:p>
        </w:tc>
        <w:tc>
          <w:tcPr>
            <w:tcW w:w="3414" w:type="dxa"/>
            <w:vMerge/>
            <w:tcBorders>
              <w:top w:val="single" w:sz="4" w:space="0" w:color="auto"/>
              <w:left w:val="single" w:sz="4" w:space="0" w:color="auto"/>
              <w:bottom w:val="single" w:sz="4" w:space="0" w:color="auto"/>
              <w:right w:val="single" w:sz="4" w:space="0" w:color="auto"/>
            </w:tcBorders>
            <w:vAlign w:val="center"/>
            <w:hideMark/>
          </w:tcPr>
          <w:p w14:paraId="1BB19108" w14:textId="77777777" w:rsidR="00B819FC" w:rsidRPr="00B819FC" w:rsidRDefault="00B819FC" w:rsidP="00B819FC">
            <w:pPr>
              <w:rPr>
                <w:rFonts w:ascii="Arial" w:eastAsia="Times New Roman" w:hAnsi="Arial" w:cs="Arial"/>
                <w:b/>
                <w:bCs/>
                <w:color w:val="000000"/>
                <w:sz w:val="14"/>
                <w:szCs w:val="14"/>
                <w:lang w:val="cs-CZ" w:eastAsia="cs-CZ"/>
              </w:rPr>
            </w:pP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0615ACA3" w14:textId="77777777" w:rsidR="00B819FC" w:rsidRPr="00B819FC" w:rsidRDefault="00B819FC" w:rsidP="00B819FC">
            <w:pPr>
              <w:rPr>
                <w:rFonts w:ascii="Arial" w:eastAsia="Times New Roman" w:hAnsi="Arial" w:cs="Arial"/>
                <w:b/>
                <w:bCs/>
                <w:color w:val="000000"/>
                <w:sz w:val="14"/>
                <w:szCs w:val="14"/>
                <w:lang w:val="cs-CZ" w:eastAsia="cs-CZ"/>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14:paraId="088C9CB2" w14:textId="77777777" w:rsidR="00B819FC" w:rsidRPr="00B819FC" w:rsidRDefault="00B819FC" w:rsidP="00B819FC">
            <w:pPr>
              <w:rPr>
                <w:rFonts w:ascii="Arial" w:eastAsia="Times New Roman" w:hAnsi="Arial" w:cs="Arial"/>
                <w:b/>
                <w:bCs/>
                <w:color w:val="000000"/>
                <w:sz w:val="14"/>
                <w:szCs w:val="14"/>
                <w:lang w:val="cs-CZ" w:eastAsia="cs-CZ"/>
              </w:rPr>
            </w:pPr>
          </w:p>
        </w:tc>
        <w:tc>
          <w:tcPr>
            <w:tcW w:w="789" w:type="dxa"/>
            <w:tcBorders>
              <w:top w:val="nil"/>
              <w:left w:val="nil"/>
              <w:bottom w:val="single" w:sz="4" w:space="0" w:color="auto"/>
              <w:right w:val="single" w:sz="4" w:space="0" w:color="auto"/>
            </w:tcBorders>
            <w:shd w:val="clear" w:color="auto" w:fill="auto"/>
            <w:vAlign w:val="center"/>
            <w:hideMark/>
          </w:tcPr>
          <w:p w14:paraId="156403FA"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38F940D9"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4D39930F"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34CB7234"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7BE900DD"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34D32588"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2353A701"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5B3A879C"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6F7158FD"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789" w:type="dxa"/>
            <w:tcBorders>
              <w:top w:val="nil"/>
              <w:left w:val="nil"/>
              <w:bottom w:val="single" w:sz="4" w:space="0" w:color="auto"/>
              <w:right w:val="single" w:sz="4" w:space="0" w:color="auto"/>
            </w:tcBorders>
            <w:shd w:val="clear" w:color="auto" w:fill="auto"/>
            <w:vAlign w:val="center"/>
            <w:hideMark/>
          </w:tcPr>
          <w:p w14:paraId="6A6FE2A2" w14:textId="77777777"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974" w:type="dxa"/>
            <w:gridSpan w:val="2"/>
            <w:tcBorders>
              <w:top w:val="nil"/>
              <w:left w:val="nil"/>
              <w:bottom w:val="single" w:sz="4" w:space="0" w:color="auto"/>
              <w:right w:val="single" w:sz="4" w:space="0" w:color="auto"/>
            </w:tcBorders>
            <w:shd w:val="clear" w:color="auto" w:fill="auto"/>
            <w:vAlign w:val="center"/>
            <w:hideMark/>
          </w:tcPr>
          <w:p w14:paraId="61566373" w14:textId="7156401A" w:rsidR="00B819FC" w:rsidRPr="00B819FC" w:rsidRDefault="00B819FC" w:rsidP="00B819FC">
            <w:pPr>
              <w:jc w:val="center"/>
              <w:rPr>
                <w:rFonts w:ascii="Arial" w:eastAsia="Times New Roman" w:hAnsi="Arial" w:cs="Arial"/>
                <w:b/>
                <w:bCs/>
                <w:color w:val="000000"/>
                <w:sz w:val="14"/>
                <w:szCs w:val="14"/>
                <w:lang w:val="cs-CZ" w:eastAsia="cs-CZ"/>
              </w:rPr>
            </w:pPr>
            <w:r w:rsidRPr="00B819FC">
              <w:rPr>
                <w:rFonts w:ascii="Arial" w:eastAsia="Times New Roman" w:hAnsi="Arial" w:cs="Arial"/>
                <w:b/>
                <w:bCs/>
                <w:color w:val="000000"/>
                <w:sz w:val="14"/>
                <w:szCs w:val="14"/>
                <w:lang w:val="cs-CZ" w:eastAsia="cs-CZ"/>
              </w:rPr>
              <w:t>Ž</w:t>
            </w:r>
          </w:p>
        </w:tc>
        <w:tc>
          <w:tcPr>
            <w:tcW w:w="815" w:type="dxa"/>
            <w:gridSpan w:val="2"/>
            <w:vMerge/>
            <w:tcBorders>
              <w:top w:val="single" w:sz="4" w:space="0" w:color="auto"/>
              <w:left w:val="single" w:sz="4" w:space="0" w:color="auto"/>
              <w:bottom w:val="single" w:sz="4" w:space="0" w:color="000000"/>
              <w:right w:val="single" w:sz="4" w:space="0" w:color="auto"/>
            </w:tcBorders>
            <w:vAlign w:val="center"/>
            <w:hideMark/>
          </w:tcPr>
          <w:p w14:paraId="4A32239E" w14:textId="77777777" w:rsidR="00B819FC" w:rsidRPr="00B819FC" w:rsidRDefault="00B819FC" w:rsidP="00B819FC">
            <w:pPr>
              <w:rPr>
                <w:rFonts w:ascii="Arial" w:eastAsia="Times New Roman" w:hAnsi="Arial" w:cs="Arial"/>
                <w:b/>
                <w:bCs/>
                <w:color w:val="000000"/>
                <w:sz w:val="14"/>
                <w:szCs w:val="14"/>
                <w:lang w:val="cs-CZ" w:eastAsia="cs-CZ"/>
              </w:rPr>
            </w:pPr>
          </w:p>
        </w:tc>
      </w:tr>
    </w:tbl>
    <w:p w14:paraId="7B7CDF77" w14:textId="77777777" w:rsidR="00503415" w:rsidRPr="002F2BE4" w:rsidRDefault="00503415" w:rsidP="00503415">
      <w:pPr>
        <w:keepNext/>
        <w:ind w:left="115" w:right="106"/>
        <w:jc w:val="both"/>
        <w:rPr>
          <w:rFonts w:ascii="Arial" w:eastAsia="Arial" w:hAnsi="Arial" w:cs="Arial"/>
          <w:color w:val="000000"/>
          <w:sz w:val="20"/>
          <w:lang w:val="cs-CZ"/>
        </w:rPr>
      </w:pPr>
    </w:p>
    <w:p w14:paraId="684ED80E" w14:textId="77777777" w:rsidR="00FD35AB" w:rsidRPr="002F2BE4" w:rsidRDefault="00FD35AB" w:rsidP="00FD35AB">
      <w:pPr>
        <w:ind w:left="820" w:right="529" w:hanging="705"/>
        <w:jc w:val="both"/>
        <w:rPr>
          <w:rFonts w:ascii="Arial" w:eastAsia="Arial" w:hAnsi="Arial" w:cs="Arial"/>
          <w:color w:val="000000"/>
          <w:sz w:val="16"/>
          <w:lang w:val="cs-CZ"/>
        </w:rPr>
      </w:pPr>
      <w:r w:rsidRPr="002F2BE4">
        <w:rPr>
          <w:rFonts w:ascii="Arial" w:eastAsia="Arial" w:hAnsi="Arial" w:cs="Arial"/>
          <w:color w:val="000000"/>
          <w:sz w:val="16"/>
          <w:lang w:val="cs-CZ"/>
        </w:rPr>
        <w:t>1</w:t>
      </w:r>
      <w:r w:rsidRPr="002F2BE4">
        <w:rPr>
          <w:rFonts w:ascii="Arial" w:eastAsia="Arial" w:hAnsi="Arial" w:cs="Arial"/>
          <w:color w:val="000000"/>
          <w:sz w:val="16"/>
          <w:lang w:val="cs-CZ"/>
        </w:rPr>
        <w:tab/>
        <w:t>Odhad založený na reprezentativním vzorku. Členské státy mají dvě možnosti vykázání údajů. Možnost č. 1: Minimálním požadavkem je poskytnutí údajů jednou ve výroční zprávě o implementaci v roce 2017. V případě této možnosti jsou kumulativní hodnoty vykázány ve sloupci „Kumulativní hodnota“ ve výroční zprávě o implementaci v roce 2017. Možnost č. 2: Roční hodnoty jsou poskytnuty pro každý rok.</w:t>
      </w:r>
    </w:p>
    <w:p w14:paraId="33C3720B" w14:textId="77777777" w:rsidR="00FD35AB" w:rsidRPr="002F2BE4" w:rsidRDefault="00FD35AB" w:rsidP="00FD35AB">
      <w:pPr>
        <w:ind w:left="820" w:right="529" w:hanging="705"/>
        <w:jc w:val="both"/>
        <w:rPr>
          <w:rFonts w:ascii="Arial" w:eastAsia="Arial" w:hAnsi="Arial" w:cs="Arial"/>
          <w:color w:val="000000"/>
          <w:sz w:val="16"/>
          <w:lang w:val="cs-CZ"/>
        </w:rPr>
      </w:pPr>
      <w:r w:rsidRPr="002F2BE4">
        <w:rPr>
          <w:rFonts w:ascii="Arial" w:eastAsia="Arial" w:hAnsi="Arial" w:cs="Arial"/>
          <w:color w:val="000000"/>
          <w:sz w:val="16"/>
          <w:lang w:val="cs-CZ"/>
        </w:rPr>
        <w:t>2</w:t>
      </w:r>
      <w:r w:rsidRPr="002F2BE4">
        <w:rPr>
          <w:rFonts w:ascii="Arial" w:eastAsia="Arial" w:hAnsi="Arial" w:cs="Arial"/>
          <w:color w:val="000000"/>
          <w:sz w:val="16"/>
          <w:lang w:val="cs-CZ"/>
        </w:rPr>
        <w:tab/>
        <w:t>Úhrnný počet účastníků zahrnuje účastníky s úplnými záznamy (osobních necitlivých údajů) i účastníky s neúplnými záznamy (osobních necitlivých údajů). Celkový počet účastníků se v systému SFC2014 vypočítá na základě těchto tří společných ukazatelů výstupů: „nezaměstnaní, včetně dlouhodobě nezaměstnaných“, „neaktivní“ a „zaměstnaní, včetně osob samostatně výdělečně činných“. Tento celkový počet zahrnuje pouze účastníky s úplnými záznamy údajů, včetně všech osobních necitlivých údajů. V úhrnném počtu účastníků musí členské státy uvést všechny účastníky programů podpořených z ESF, včetně účastníků s neúplným záznamem osobních necitlivých údajů.</w:t>
      </w:r>
    </w:p>
    <w:p w14:paraId="6BFAEB7B" w14:textId="77777777" w:rsidR="00FD35AB" w:rsidRPr="002F2BE4" w:rsidRDefault="00FD35AB" w:rsidP="00FD35AB">
      <w:pPr>
        <w:keepNext/>
        <w:tabs>
          <w:tab w:val="left" w:pos="1675"/>
        </w:tabs>
        <w:ind w:left="115" w:right="106"/>
        <w:rPr>
          <w:rFonts w:ascii="Arial" w:eastAsia="Arial" w:hAnsi="Arial" w:cs="Arial"/>
          <w:color w:val="000000"/>
          <w:sz w:val="20"/>
          <w:lang w:val="cs-CZ"/>
        </w:rPr>
      </w:pPr>
    </w:p>
    <w:p w14:paraId="1428C592" w14:textId="77777777" w:rsidR="00FD35AB" w:rsidRPr="002F2BE4" w:rsidRDefault="00FD35AB" w:rsidP="00FD35AB">
      <w:pPr>
        <w:keepNext/>
        <w:tabs>
          <w:tab w:val="left" w:pos="1675"/>
        </w:tabs>
        <w:ind w:left="115" w:right="106"/>
        <w:rPr>
          <w:rFonts w:ascii="Arial" w:eastAsia="Arial" w:hAnsi="Arial" w:cs="Arial"/>
          <w:color w:val="000000"/>
          <w:sz w:val="20"/>
          <w:lang w:val="cs-CZ"/>
        </w:rPr>
      </w:pPr>
    </w:p>
    <w:p w14:paraId="7B303D7D" w14:textId="77777777" w:rsidR="00FD35AB" w:rsidRPr="002F2BE4" w:rsidRDefault="00FD35AB" w:rsidP="00FD35AB">
      <w:pPr>
        <w:keepNext/>
        <w:tabs>
          <w:tab w:val="left" w:pos="1675"/>
        </w:tabs>
        <w:ind w:left="115" w:right="106"/>
        <w:rPr>
          <w:rFonts w:ascii="Arial" w:eastAsia="Arial" w:hAnsi="Arial" w:cs="Arial"/>
          <w:color w:val="000000"/>
          <w:sz w:val="16"/>
          <w:lang w:val="cs-CZ"/>
        </w:rPr>
      </w:pPr>
      <w:r w:rsidRPr="002F2BE4">
        <w:rPr>
          <w:rFonts w:ascii="Arial" w:eastAsia="Arial" w:hAnsi="Arial" w:cs="Arial"/>
          <w:color w:val="000000"/>
          <w:sz w:val="16"/>
          <w:lang w:val="cs-CZ"/>
        </w:rPr>
        <w:t>----------------------------------------------------</w:t>
      </w:r>
    </w:p>
    <w:p w14:paraId="04B3E13F" w14:textId="77777777" w:rsidR="00FD35AB" w:rsidRPr="002F2BE4" w:rsidRDefault="00FD35AB" w:rsidP="00FD35AB">
      <w:pPr>
        <w:tabs>
          <w:tab w:val="left" w:pos="1675"/>
        </w:tabs>
        <w:ind w:left="115" w:right="106"/>
        <w:rPr>
          <w:rFonts w:ascii="Arial" w:eastAsia="Arial" w:hAnsi="Arial" w:cs="Arial"/>
          <w:color w:val="000000"/>
          <w:sz w:val="16"/>
          <w:lang w:val="cs-CZ"/>
        </w:rPr>
      </w:pPr>
      <w:r w:rsidRPr="002F2BE4">
        <w:rPr>
          <w:rFonts w:ascii="Arial" w:eastAsia="Arial" w:hAnsi="Arial" w:cs="Arial"/>
          <w:color w:val="000000"/>
          <w:sz w:val="16"/>
          <w:lang w:val="cs-CZ"/>
        </w:rPr>
        <w:t>8 - Strukturované údaje požadované pro zprávu o YEI, která má být předložena v dubnu 2015 v souladu s čl. 19 odst. 3 a přílohou II nařízení (EU) č. 1304/2013.</w:t>
      </w:r>
    </w:p>
    <w:p w14:paraId="03D4D2AE" w14:textId="77777777" w:rsidR="00FD35AB" w:rsidRPr="002F2BE4" w:rsidRDefault="00FD35AB" w:rsidP="00FD35AB">
      <w:pPr>
        <w:spacing w:line="312" w:lineRule="auto"/>
        <w:ind w:left="115" w:right="670"/>
        <w:jc w:val="both"/>
        <w:rPr>
          <w:rFonts w:ascii="Arial" w:eastAsia="Arial" w:hAnsi="Arial" w:cs="Arial"/>
          <w:color w:val="000000"/>
          <w:sz w:val="16"/>
          <w:lang w:val="cs-CZ"/>
        </w:rPr>
      </w:pPr>
    </w:p>
    <w:p w14:paraId="16A317CF" w14:textId="77777777" w:rsidR="00FD35AB" w:rsidRPr="002F2BE4" w:rsidRDefault="00FD35AB" w:rsidP="00FD35AB">
      <w:pPr>
        <w:rPr>
          <w:lang w:val="cs-CZ"/>
        </w:rPr>
      </w:pPr>
      <w:r w:rsidRPr="002F2BE4">
        <w:rPr>
          <w:lang w:val="cs-CZ"/>
        </w:rPr>
        <w:br w:type="page"/>
      </w:r>
    </w:p>
    <w:p w14:paraId="09D51554" w14:textId="77777777" w:rsidR="00FD35AB" w:rsidRPr="002F2BE4" w:rsidRDefault="00FD35AB" w:rsidP="00FD35AB">
      <w:pPr>
        <w:spacing w:line="312" w:lineRule="auto"/>
        <w:ind w:left="115" w:right="670"/>
        <w:jc w:val="both"/>
        <w:rPr>
          <w:lang w:val="cs-CZ"/>
        </w:rPr>
      </w:pPr>
    </w:p>
    <w:p w14:paraId="4E9FE2AC" w14:textId="77777777" w:rsidR="00FD35AB" w:rsidRPr="002F2BE4" w:rsidRDefault="00FD35AB" w:rsidP="00FD35AB">
      <w:pPr>
        <w:spacing w:line="312" w:lineRule="auto"/>
        <w:ind w:left="115" w:right="670"/>
        <w:jc w:val="both"/>
        <w:rPr>
          <w:rFonts w:ascii="Arial" w:eastAsia="Arial" w:hAnsi="Arial" w:cs="Arial"/>
          <w:b/>
          <w:bCs/>
          <w:i/>
          <w:iCs/>
          <w:color w:val="000000"/>
          <w:sz w:val="16"/>
          <w:lang w:val="cs-CZ"/>
        </w:rPr>
      </w:pPr>
      <w:r w:rsidRPr="002F2BE4">
        <w:rPr>
          <w:rFonts w:ascii="Arial" w:eastAsia="Arial" w:hAnsi="Arial" w:cs="Arial"/>
          <w:b/>
          <w:bCs/>
          <w:i/>
          <w:iCs/>
          <w:color w:val="000000"/>
          <w:sz w:val="20"/>
          <w:lang w:val="cs-CZ"/>
        </w:rPr>
        <w:t xml:space="preserve">Tabulka 4B: Indikátory výstupů specifické pro jednotlivé programy pro ESF (podle prioritních os, investičních priorit, kategorií regionů; to platí rovněž pro prioritní osy „technická pomoc“). U YEI se rozdělení podle kategorií regionů nevyžaduje pro každou prioritní osu nebo její část </w:t>
      </w:r>
      <w:r w:rsidRPr="002F2BE4">
        <w:rPr>
          <w:rFonts w:ascii="Arial" w:eastAsia="Arial" w:hAnsi="Arial" w:cs="Arial"/>
          <w:b/>
          <w:bCs/>
          <w:i/>
          <w:iCs/>
          <w:color w:val="000000"/>
          <w:sz w:val="16"/>
          <w:lang w:val="cs-CZ"/>
        </w:rPr>
        <w:t>(9)</w:t>
      </w:r>
    </w:p>
    <w:p w14:paraId="66C7D24C" w14:textId="77777777" w:rsidR="00FD35AB" w:rsidRDefault="00FD35AB" w:rsidP="009E49E6">
      <w:pPr>
        <w:keepNext/>
        <w:ind w:left="113" w:right="108"/>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03.1.48 Přístup k zaměstnání pro osoby hledající zaměstnání a neaktivní osoby, včetně dlouhodobě nezaměstnaných a osob vzdálených trhu práce, také prostřednictvím místních iniciativ na podporu zaměstnanosti a mobility pracovníků</w:t>
      </w:r>
    </w:p>
    <w:tbl>
      <w:tblPr>
        <w:tblW w:w="15730" w:type="dxa"/>
        <w:tblInd w:w="75" w:type="dxa"/>
        <w:tblCellMar>
          <w:left w:w="70" w:type="dxa"/>
          <w:right w:w="70" w:type="dxa"/>
        </w:tblCellMar>
        <w:tblLook w:val="04A0" w:firstRow="1" w:lastRow="0" w:firstColumn="1" w:lastColumn="0" w:noHBand="0" w:noVBand="1"/>
      </w:tblPr>
      <w:tblGrid>
        <w:gridCol w:w="607"/>
        <w:gridCol w:w="2020"/>
        <w:gridCol w:w="804"/>
        <w:gridCol w:w="960"/>
        <w:gridCol w:w="860"/>
        <w:gridCol w:w="861"/>
        <w:gridCol w:w="861"/>
        <w:gridCol w:w="861"/>
        <w:gridCol w:w="861"/>
        <w:gridCol w:w="861"/>
        <w:gridCol w:w="861"/>
        <w:gridCol w:w="861"/>
        <w:gridCol w:w="861"/>
        <w:gridCol w:w="861"/>
        <w:gridCol w:w="865"/>
        <w:gridCol w:w="1004"/>
        <w:gridCol w:w="861"/>
      </w:tblGrid>
      <w:tr w:rsidR="001D2F07" w:rsidRPr="001D2F07" w14:paraId="79AF9F86" w14:textId="77777777" w:rsidTr="00D30061">
        <w:trPr>
          <w:trHeight w:val="20"/>
          <w:tblHeader/>
        </w:trPr>
        <w:tc>
          <w:tcPr>
            <w:tcW w:w="6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FE758C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ID</w:t>
            </w:r>
          </w:p>
        </w:tc>
        <w:tc>
          <w:tcPr>
            <w:tcW w:w="20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9462BA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Indikátor</w:t>
            </w:r>
          </w:p>
        </w:tc>
        <w:tc>
          <w:tcPr>
            <w:tcW w:w="80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406741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Měrná jednotka</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69FC9C7"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Kategorie regionu (je-li relevantní)</w:t>
            </w:r>
          </w:p>
        </w:tc>
        <w:tc>
          <w:tcPr>
            <w:tcW w:w="861" w:type="dxa"/>
            <w:tcBorders>
              <w:top w:val="single" w:sz="4" w:space="0" w:color="auto"/>
              <w:left w:val="nil"/>
              <w:bottom w:val="nil"/>
              <w:right w:val="single" w:sz="4" w:space="0" w:color="auto"/>
            </w:tcBorders>
            <w:shd w:val="clear" w:color="000000" w:fill="FFFFFF"/>
            <w:vAlign w:val="center"/>
            <w:hideMark/>
          </w:tcPr>
          <w:p w14:paraId="6B0CBF1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Cílová hodnota (2023)</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630ADF0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2014</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331B8A2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2015</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4290D0B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2016</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48A4CE2F"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2017</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7586ADA6"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2018</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4AC0AB92"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2019</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5C82DA07"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2020</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22F31E27"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2021</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63D88F5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2022</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05FEE567"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2023</w:t>
            </w:r>
          </w:p>
        </w:tc>
        <w:tc>
          <w:tcPr>
            <w:tcW w:w="987" w:type="dxa"/>
            <w:tcBorders>
              <w:top w:val="single" w:sz="4" w:space="0" w:color="auto"/>
              <w:left w:val="nil"/>
              <w:bottom w:val="single" w:sz="4" w:space="0" w:color="auto"/>
              <w:right w:val="single" w:sz="4" w:space="0" w:color="auto"/>
            </w:tcBorders>
            <w:shd w:val="clear" w:color="000000" w:fill="FFFFFF"/>
            <w:vAlign w:val="center"/>
            <w:hideMark/>
          </w:tcPr>
          <w:p w14:paraId="1EB3652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Kumulativní hodnota (vypočítána automaticky)</w:t>
            </w:r>
          </w:p>
        </w:tc>
        <w:tc>
          <w:tcPr>
            <w:tcW w:w="862" w:type="dxa"/>
            <w:tcBorders>
              <w:top w:val="single" w:sz="4" w:space="0" w:color="auto"/>
              <w:left w:val="nil"/>
              <w:bottom w:val="nil"/>
              <w:right w:val="single" w:sz="4" w:space="0" w:color="auto"/>
            </w:tcBorders>
            <w:shd w:val="clear" w:color="000000" w:fill="FFFFFF"/>
            <w:vAlign w:val="center"/>
            <w:hideMark/>
          </w:tcPr>
          <w:p w14:paraId="633B6C1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Míra splnění</w:t>
            </w:r>
          </w:p>
        </w:tc>
      </w:tr>
      <w:tr w:rsidR="00D30061" w:rsidRPr="001D2F07" w14:paraId="21CB8B58" w14:textId="77777777" w:rsidTr="00D30061">
        <w:trPr>
          <w:trHeight w:val="20"/>
          <w:tblHeader/>
        </w:trPr>
        <w:tc>
          <w:tcPr>
            <w:tcW w:w="607" w:type="dxa"/>
            <w:vMerge/>
            <w:tcBorders>
              <w:top w:val="single" w:sz="4" w:space="0" w:color="auto"/>
              <w:left w:val="single" w:sz="4" w:space="0" w:color="auto"/>
              <w:bottom w:val="single" w:sz="4" w:space="0" w:color="auto"/>
              <w:right w:val="single" w:sz="4" w:space="0" w:color="auto"/>
            </w:tcBorders>
            <w:vAlign w:val="center"/>
            <w:hideMark/>
          </w:tcPr>
          <w:p w14:paraId="6187D5B5" w14:textId="77777777" w:rsidR="001D2F07" w:rsidRPr="001D2F07" w:rsidRDefault="001D2F07" w:rsidP="001D2F07">
            <w:pPr>
              <w:rPr>
                <w:rFonts w:ascii="Arial" w:eastAsia="Times New Roman" w:hAnsi="Arial" w:cs="Arial"/>
                <w:b/>
                <w:bCs/>
                <w:color w:val="000000"/>
                <w:sz w:val="14"/>
                <w:szCs w:val="14"/>
                <w:lang w:val="cs-CZ" w:eastAsia="cs-CZ"/>
              </w:rPr>
            </w:pPr>
          </w:p>
        </w:tc>
        <w:tc>
          <w:tcPr>
            <w:tcW w:w="2025" w:type="dxa"/>
            <w:vMerge/>
            <w:tcBorders>
              <w:top w:val="single" w:sz="4" w:space="0" w:color="auto"/>
              <w:left w:val="single" w:sz="4" w:space="0" w:color="auto"/>
              <w:bottom w:val="single" w:sz="4" w:space="0" w:color="auto"/>
              <w:right w:val="single" w:sz="4" w:space="0" w:color="auto"/>
            </w:tcBorders>
            <w:vAlign w:val="center"/>
            <w:hideMark/>
          </w:tcPr>
          <w:p w14:paraId="331E6EAD" w14:textId="77777777" w:rsidR="001D2F07" w:rsidRPr="001D2F07" w:rsidRDefault="001D2F07" w:rsidP="001D2F07">
            <w:pPr>
              <w:rPr>
                <w:rFonts w:ascii="Arial" w:eastAsia="Times New Roman" w:hAnsi="Arial" w:cs="Arial"/>
                <w:b/>
                <w:bCs/>
                <w:color w:val="000000"/>
                <w:sz w:val="14"/>
                <w:szCs w:val="14"/>
                <w:lang w:val="cs-CZ" w:eastAsia="cs-CZ"/>
              </w:rPr>
            </w:pPr>
          </w:p>
        </w:tc>
        <w:tc>
          <w:tcPr>
            <w:tcW w:w="804" w:type="dxa"/>
            <w:vMerge/>
            <w:tcBorders>
              <w:top w:val="single" w:sz="4" w:space="0" w:color="auto"/>
              <w:left w:val="single" w:sz="4" w:space="0" w:color="auto"/>
              <w:bottom w:val="single" w:sz="4" w:space="0" w:color="000000"/>
              <w:right w:val="single" w:sz="4" w:space="0" w:color="auto"/>
            </w:tcBorders>
            <w:vAlign w:val="center"/>
            <w:hideMark/>
          </w:tcPr>
          <w:p w14:paraId="3188A83C" w14:textId="77777777" w:rsidR="001D2F07" w:rsidRPr="001D2F07" w:rsidRDefault="001D2F07" w:rsidP="001D2F07">
            <w:pPr>
              <w:rPr>
                <w:rFonts w:ascii="Arial" w:eastAsia="Times New Roman" w:hAnsi="Arial" w:cs="Arial"/>
                <w:b/>
                <w:bCs/>
                <w:color w:val="000000"/>
                <w:sz w:val="14"/>
                <w:szCs w:val="14"/>
                <w:lang w:val="cs-CZ" w:eastAsia="cs-CZ"/>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62AAC0EA" w14:textId="77777777" w:rsidR="001D2F07" w:rsidRPr="001D2F07" w:rsidRDefault="001D2F07" w:rsidP="001D2F07">
            <w:pPr>
              <w:rPr>
                <w:rFonts w:ascii="Arial" w:eastAsia="Times New Roman" w:hAnsi="Arial" w:cs="Arial"/>
                <w:b/>
                <w:bCs/>
                <w:color w:val="000000"/>
                <w:sz w:val="14"/>
                <w:szCs w:val="14"/>
                <w:lang w:val="cs-CZ" w:eastAsia="cs-CZ"/>
              </w:rPr>
            </w:pPr>
          </w:p>
        </w:tc>
        <w:tc>
          <w:tcPr>
            <w:tcW w:w="86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BB7B6E9"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4" w:type="dxa"/>
            <w:gridSpan w:val="10"/>
            <w:tcBorders>
              <w:top w:val="single" w:sz="4" w:space="0" w:color="auto"/>
              <w:left w:val="nil"/>
              <w:bottom w:val="single" w:sz="4" w:space="0" w:color="auto"/>
              <w:right w:val="single" w:sz="4" w:space="0" w:color="auto"/>
            </w:tcBorders>
            <w:shd w:val="clear" w:color="000000" w:fill="FFFFFF"/>
            <w:vAlign w:val="center"/>
            <w:hideMark/>
          </w:tcPr>
          <w:p w14:paraId="61F0E3A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Roční hodnota</w:t>
            </w:r>
          </w:p>
        </w:tc>
        <w:tc>
          <w:tcPr>
            <w:tcW w:w="9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15B7EA6"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E168A7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r>
      <w:tr w:rsidR="00D30061" w:rsidRPr="001D2F07" w14:paraId="6FE0DA6F" w14:textId="77777777" w:rsidTr="00D30061">
        <w:trPr>
          <w:trHeight w:val="20"/>
          <w:tblHeader/>
        </w:trPr>
        <w:tc>
          <w:tcPr>
            <w:tcW w:w="607" w:type="dxa"/>
            <w:vMerge/>
            <w:tcBorders>
              <w:top w:val="single" w:sz="4" w:space="0" w:color="auto"/>
              <w:left w:val="single" w:sz="4" w:space="0" w:color="auto"/>
              <w:bottom w:val="single" w:sz="4" w:space="0" w:color="auto"/>
              <w:right w:val="single" w:sz="4" w:space="0" w:color="auto"/>
            </w:tcBorders>
            <w:vAlign w:val="center"/>
            <w:hideMark/>
          </w:tcPr>
          <w:p w14:paraId="18AD6FB6" w14:textId="77777777" w:rsidR="001D2F07" w:rsidRPr="001D2F07" w:rsidRDefault="001D2F07" w:rsidP="001D2F07">
            <w:pPr>
              <w:rPr>
                <w:rFonts w:ascii="Arial" w:eastAsia="Times New Roman" w:hAnsi="Arial" w:cs="Arial"/>
                <w:b/>
                <w:bCs/>
                <w:color w:val="000000"/>
                <w:sz w:val="14"/>
                <w:szCs w:val="14"/>
                <w:lang w:val="cs-CZ" w:eastAsia="cs-CZ"/>
              </w:rPr>
            </w:pPr>
          </w:p>
        </w:tc>
        <w:tc>
          <w:tcPr>
            <w:tcW w:w="2025" w:type="dxa"/>
            <w:vMerge/>
            <w:tcBorders>
              <w:top w:val="single" w:sz="4" w:space="0" w:color="auto"/>
              <w:left w:val="single" w:sz="4" w:space="0" w:color="auto"/>
              <w:bottom w:val="single" w:sz="4" w:space="0" w:color="auto"/>
              <w:right w:val="single" w:sz="4" w:space="0" w:color="auto"/>
            </w:tcBorders>
            <w:vAlign w:val="center"/>
            <w:hideMark/>
          </w:tcPr>
          <w:p w14:paraId="50A34A32" w14:textId="77777777" w:rsidR="001D2F07" w:rsidRPr="001D2F07" w:rsidRDefault="001D2F07" w:rsidP="001D2F07">
            <w:pPr>
              <w:rPr>
                <w:rFonts w:ascii="Arial" w:eastAsia="Times New Roman" w:hAnsi="Arial" w:cs="Arial"/>
                <w:b/>
                <w:bCs/>
                <w:color w:val="000000"/>
                <w:sz w:val="14"/>
                <w:szCs w:val="14"/>
                <w:lang w:val="cs-CZ" w:eastAsia="cs-CZ"/>
              </w:rPr>
            </w:pPr>
          </w:p>
        </w:tc>
        <w:tc>
          <w:tcPr>
            <w:tcW w:w="804" w:type="dxa"/>
            <w:vMerge/>
            <w:tcBorders>
              <w:top w:val="single" w:sz="4" w:space="0" w:color="auto"/>
              <w:left w:val="single" w:sz="4" w:space="0" w:color="auto"/>
              <w:bottom w:val="single" w:sz="4" w:space="0" w:color="000000"/>
              <w:right w:val="single" w:sz="4" w:space="0" w:color="auto"/>
            </w:tcBorders>
            <w:vAlign w:val="center"/>
            <w:hideMark/>
          </w:tcPr>
          <w:p w14:paraId="23623908" w14:textId="77777777" w:rsidR="001D2F07" w:rsidRPr="001D2F07" w:rsidRDefault="001D2F07" w:rsidP="001D2F07">
            <w:pPr>
              <w:rPr>
                <w:rFonts w:ascii="Arial" w:eastAsia="Times New Roman" w:hAnsi="Arial" w:cs="Arial"/>
                <w:b/>
                <w:bCs/>
                <w:color w:val="000000"/>
                <w:sz w:val="14"/>
                <w:szCs w:val="14"/>
                <w:lang w:val="cs-CZ" w:eastAsia="cs-CZ"/>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A32ABB8" w14:textId="77777777" w:rsidR="001D2F07" w:rsidRPr="001D2F07" w:rsidRDefault="001D2F07" w:rsidP="001D2F07">
            <w:pPr>
              <w:rPr>
                <w:rFonts w:ascii="Arial" w:eastAsia="Times New Roman" w:hAnsi="Arial" w:cs="Arial"/>
                <w:b/>
                <w:bCs/>
                <w:color w:val="000000"/>
                <w:sz w:val="14"/>
                <w:szCs w:val="14"/>
                <w:lang w:val="cs-CZ" w:eastAsia="cs-CZ"/>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14:paraId="54F27414" w14:textId="77777777" w:rsidR="001D2F07" w:rsidRPr="001D2F07" w:rsidRDefault="001D2F07" w:rsidP="001D2F07">
            <w:pPr>
              <w:rPr>
                <w:rFonts w:ascii="Arial" w:eastAsia="Times New Roman" w:hAnsi="Arial" w:cs="Arial"/>
                <w:b/>
                <w:bCs/>
                <w:color w:val="000000"/>
                <w:sz w:val="14"/>
                <w:szCs w:val="14"/>
                <w:lang w:val="cs-CZ" w:eastAsia="cs-CZ"/>
              </w:rPr>
            </w:pPr>
          </w:p>
        </w:tc>
        <w:tc>
          <w:tcPr>
            <w:tcW w:w="862" w:type="dxa"/>
            <w:tcBorders>
              <w:top w:val="nil"/>
              <w:left w:val="nil"/>
              <w:bottom w:val="single" w:sz="4" w:space="0" w:color="auto"/>
              <w:right w:val="single" w:sz="4" w:space="0" w:color="auto"/>
            </w:tcBorders>
            <w:shd w:val="clear" w:color="000000" w:fill="FFFFFF"/>
            <w:vAlign w:val="center"/>
            <w:hideMark/>
          </w:tcPr>
          <w:p w14:paraId="745C12F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0B5120B9"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4260FE4C"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1E088014"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47264A45"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22FC0C17"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3A688BB9"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57C508F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3CF657A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62" w:type="dxa"/>
            <w:tcBorders>
              <w:top w:val="nil"/>
              <w:left w:val="nil"/>
              <w:bottom w:val="single" w:sz="4" w:space="0" w:color="auto"/>
              <w:right w:val="single" w:sz="4" w:space="0" w:color="auto"/>
            </w:tcBorders>
            <w:shd w:val="clear" w:color="000000" w:fill="FFFFFF"/>
            <w:vAlign w:val="center"/>
            <w:hideMark/>
          </w:tcPr>
          <w:p w14:paraId="518E8786"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987" w:type="dxa"/>
            <w:vMerge/>
            <w:tcBorders>
              <w:top w:val="nil"/>
              <w:left w:val="single" w:sz="4" w:space="0" w:color="auto"/>
              <w:bottom w:val="single" w:sz="4" w:space="0" w:color="000000"/>
              <w:right w:val="single" w:sz="4" w:space="0" w:color="auto"/>
            </w:tcBorders>
            <w:vAlign w:val="center"/>
            <w:hideMark/>
          </w:tcPr>
          <w:p w14:paraId="63F20D4C" w14:textId="77777777" w:rsidR="001D2F07" w:rsidRPr="001D2F07" w:rsidRDefault="001D2F07" w:rsidP="001D2F07">
            <w:pPr>
              <w:rPr>
                <w:rFonts w:ascii="Arial" w:eastAsia="Times New Roman" w:hAnsi="Arial" w:cs="Arial"/>
                <w:b/>
                <w:bCs/>
                <w:color w:val="000000"/>
                <w:sz w:val="14"/>
                <w:szCs w:val="14"/>
                <w:lang w:val="cs-CZ" w:eastAsia="cs-CZ"/>
              </w:rPr>
            </w:pPr>
          </w:p>
        </w:tc>
        <w:tc>
          <w:tcPr>
            <w:tcW w:w="862" w:type="dxa"/>
            <w:vMerge/>
            <w:tcBorders>
              <w:top w:val="single" w:sz="4" w:space="0" w:color="auto"/>
              <w:left w:val="single" w:sz="4" w:space="0" w:color="auto"/>
              <w:bottom w:val="single" w:sz="4" w:space="0" w:color="000000"/>
              <w:right w:val="single" w:sz="4" w:space="0" w:color="auto"/>
            </w:tcBorders>
            <w:vAlign w:val="center"/>
            <w:hideMark/>
          </w:tcPr>
          <w:p w14:paraId="57F512D8" w14:textId="77777777" w:rsidR="001D2F07" w:rsidRPr="001D2F07" w:rsidRDefault="001D2F07" w:rsidP="001D2F07">
            <w:pPr>
              <w:rPr>
                <w:rFonts w:ascii="Arial" w:eastAsia="Times New Roman" w:hAnsi="Arial" w:cs="Arial"/>
                <w:b/>
                <w:bCs/>
                <w:color w:val="000000"/>
                <w:sz w:val="14"/>
                <w:szCs w:val="14"/>
                <w:lang w:val="cs-CZ" w:eastAsia="cs-CZ"/>
              </w:rPr>
            </w:pPr>
          </w:p>
        </w:tc>
      </w:tr>
      <w:tr w:rsidR="001D2F07" w:rsidRPr="001D2F07" w14:paraId="4F5C8A1C" w14:textId="77777777" w:rsidTr="00D30061">
        <w:trPr>
          <w:trHeight w:val="20"/>
          <w:tblHeader/>
        </w:trPr>
        <w:tc>
          <w:tcPr>
            <w:tcW w:w="607" w:type="dxa"/>
            <w:vMerge/>
            <w:tcBorders>
              <w:top w:val="single" w:sz="4" w:space="0" w:color="auto"/>
              <w:left w:val="single" w:sz="4" w:space="0" w:color="auto"/>
              <w:bottom w:val="single" w:sz="4" w:space="0" w:color="auto"/>
              <w:right w:val="single" w:sz="4" w:space="0" w:color="auto"/>
            </w:tcBorders>
            <w:vAlign w:val="center"/>
            <w:hideMark/>
          </w:tcPr>
          <w:p w14:paraId="2028B8BB" w14:textId="77777777" w:rsidR="001D2F07" w:rsidRPr="001D2F07" w:rsidRDefault="001D2F07" w:rsidP="001D2F07">
            <w:pPr>
              <w:rPr>
                <w:rFonts w:ascii="Arial" w:eastAsia="Times New Roman" w:hAnsi="Arial" w:cs="Arial"/>
                <w:b/>
                <w:bCs/>
                <w:color w:val="000000"/>
                <w:sz w:val="14"/>
                <w:szCs w:val="14"/>
                <w:lang w:val="cs-CZ" w:eastAsia="cs-CZ"/>
              </w:rPr>
            </w:pPr>
          </w:p>
        </w:tc>
        <w:tc>
          <w:tcPr>
            <w:tcW w:w="2025" w:type="dxa"/>
            <w:vMerge/>
            <w:tcBorders>
              <w:top w:val="single" w:sz="4" w:space="0" w:color="auto"/>
              <w:left w:val="single" w:sz="4" w:space="0" w:color="auto"/>
              <w:bottom w:val="single" w:sz="4" w:space="0" w:color="auto"/>
              <w:right w:val="single" w:sz="4" w:space="0" w:color="auto"/>
            </w:tcBorders>
            <w:vAlign w:val="center"/>
            <w:hideMark/>
          </w:tcPr>
          <w:p w14:paraId="5543A0B2" w14:textId="77777777" w:rsidR="001D2F07" w:rsidRPr="001D2F07" w:rsidRDefault="001D2F07" w:rsidP="001D2F07">
            <w:pPr>
              <w:rPr>
                <w:rFonts w:ascii="Arial" w:eastAsia="Times New Roman" w:hAnsi="Arial" w:cs="Arial"/>
                <w:b/>
                <w:bCs/>
                <w:color w:val="000000"/>
                <w:sz w:val="14"/>
                <w:szCs w:val="14"/>
                <w:lang w:val="cs-CZ" w:eastAsia="cs-CZ"/>
              </w:rPr>
            </w:pPr>
          </w:p>
        </w:tc>
        <w:tc>
          <w:tcPr>
            <w:tcW w:w="804" w:type="dxa"/>
            <w:vMerge/>
            <w:tcBorders>
              <w:top w:val="single" w:sz="4" w:space="0" w:color="auto"/>
              <w:left w:val="single" w:sz="4" w:space="0" w:color="auto"/>
              <w:bottom w:val="single" w:sz="4" w:space="0" w:color="000000"/>
              <w:right w:val="single" w:sz="4" w:space="0" w:color="auto"/>
            </w:tcBorders>
            <w:vAlign w:val="center"/>
            <w:hideMark/>
          </w:tcPr>
          <w:p w14:paraId="1E78A070" w14:textId="77777777" w:rsidR="001D2F07" w:rsidRPr="001D2F07" w:rsidRDefault="001D2F07" w:rsidP="001D2F07">
            <w:pPr>
              <w:rPr>
                <w:rFonts w:ascii="Arial" w:eastAsia="Times New Roman" w:hAnsi="Arial" w:cs="Arial"/>
                <w:b/>
                <w:bCs/>
                <w:color w:val="000000"/>
                <w:sz w:val="14"/>
                <w:szCs w:val="14"/>
                <w:lang w:val="cs-CZ" w:eastAsia="cs-CZ"/>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4AF9F03" w14:textId="77777777" w:rsidR="001D2F07" w:rsidRPr="001D2F07" w:rsidRDefault="001D2F07" w:rsidP="001D2F07">
            <w:pPr>
              <w:rPr>
                <w:rFonts w:ascii="Arial" w:eastAsia="Times New Roman" w:hAnsi="Arial" w:cs="Arial"/>
                <w:b/>
                <w:bCs/>
                <w:color w:val="000000"/>
                <w:sz w:val="14"/>
                <w:szCs w:val="14"/>
                <w:lang w:val="cs-CZ" w:eastAsia="cs-CZ"/>
              </w:rPr>
            </w:pPr>
          </w:p>
        </w:tc>
        <w:tc>
          <w:tcPr>
            <w:tcW w:w="861" w:type="dxa"/>
            <w:tcBorders>
              <w:top w:val="nil"/>
              <w:left w:val="nil"/>
              <w:bottom w:val="single" w:sz="4" w:space="0" w:color="auto"/>
              <w:right w:val="single" w:sz="4" w:space="0" w:color="auto"/>
            </w:tcBorders>
            <w:shd w:val="clear" w:color="000000" w:fill="FFFFFF"/>
            <w:vAlign w:val="center"/>
            <w:hideMark/>
          </w:tcPr>
          <w:p w14:paraId="30740404"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6DCAE3B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1B8E002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31A7AB29"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085E0E14"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1B4EC20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37753E56"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27E535E5"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1F51651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109EEC9C"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3BE7CF5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987" w:type="dxa"/>
            <w:tcBorders>
              <w:top w:val="nil"/>
              <w:left w:val="nil"/>
              <w:bottom w:val="single" w:sz="4" w:space="0" w:color="auto"/>
              <w:right w:val="single" w:sz="4" w:space="0" w:color="auto"/>
            </w:tcBorders>
            <w:shd w:val="clear" w:color="000000" w:fill="FFFFFF"/>
            <w:vAlign w:val="center"/>
            <w:hideMark/>
          </w:tcPr>
          <w:p w14:paraId="470974E6"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62" w:type="dxa"/>
            <w:tcBorders>
              <w:top w:val="nil"/>
              <w:left w:val="nil"/>
              <w:bottom w:val="single" w:sz="4" w:space="0" w:color="auto"/>
              <w:right w:val="single" w:sz="4" w:space="0" w:color="auto"/>
            </w:tcBorders>
            <w:shd w:val="clear" w:color="000000" w:fill="FFFFFF"/>
            <w:vAlign w:val="center"/>
            <w:hideMark/>
          </w:tcPr>
          <w:p w14:paraId="50D67BE9"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r>
      <w:tr w:rsidR="001D2F07" w:rsidRPr="001D2F07" w14:paraId="0DBB41D2" w14:textId="77777777" w:rsidTr="00D30061">
        <w:trPr>
          <w:trHeight w:val="20"/>
          <w:tblHeader/>
        </w:trPr>
        <w:tc>
          <w:tcPr>
            <w:tcW w:w="607" w:type="dxa"/>
            <w:vMerge/>
            <w:tcBorders>
              <w:top w:val="single" w:sz="4" w:space="0" w:color="auto"/>
              <w:left w:val="single" w:sz="4" w:space="0" w:color="auto"/>
              <w:bottom w:val="single" w:sz="4" w:space="0" w:color="auto"/>
              <w:right w:val="single" w:sz="4" w:space="0" w:color="auto"/>
            </w:tcBorders>
            <w:vAlign w:val="center"/>
            <w:hideMark/>
          </w:tcPr>
          <w:p w14:paraId="2C2B46AA" w14:textId="77777777" w:rsidR="001D2F07" w:rsidRPr="001D2F07" w:rsidRDefault="001D2F07" w:rsidP="001D2F07">
            <w:pPr>
              <w:rPr>
                <w:rFonts w:ascii="Arial" w:eastAsia="Times New Roman" w:hAnsi="Arial" w:cs="Arial"/>
                <w:b/>
                <w:bCs/>
                <w:color w:val="000000"/>
                <w:sz w:val="14"/>
                <w:szCs w:val="14"/>
                <w:lang w:val="cs-CZ" w:eastAsia="cs-CZ"/>
              </w:rPr>
            </w:pPr>
          </w:p>
        </w:tc>
        <w:tc>
          <w:tcPr>
            <w:tcW w:w="2025" w:type="dxa"/>
            <w:vMerge/>
            <w:tcBorders>
              <w:top w:val="single" w:sz="4" w:space="0" w:color="auto"/>
              <w:left w:val="single" w:sz="4" w:space="0" w:color="auto"/>
              <w:bottom w:val="single" w:sz="4" w:space="0" w:color="auto"/>
              <w:right w:val="single" w:sz="4" w:space="0" w:color="auto"/>
            </w:tcBorders>
            <w:vAlign w:val="center"/>
            <w:hideMark/>
          </w:tcPr>
          <w:p w14:paraId="1342B037" w14:textId="77777777" w:rsidR="001D2F07" w:rsidRPr="001D2F07" w:rsidRDefault="001D2F07" w:rsidP="001D2F07">
            <w:pPr>
              <w:rPr>
                <w:rFonts w:ascii="Arial" w:eastAsia="Times New Roman" w:hAnsi="Arial" w:cs="Arial"/>
                <w:b/>
                <w:bCs/>
                <w:color w:val="000000"/>
                <w:sz w:val="14"/>
                <w:szCs w:val="14"/>
                <w:lang w:val="cs-CZ" w:eastAsia="cs-CZ"/>
              </w:rPr>
            </w:pPr>
          </w:p>
        </w:tc>
        <w:tc>
          <w:tcPr>
            <w:tcW w:w="804" w:type="dxa"/>
            <w:vMerge/>
            <w:tcBorders>
              <w:top w:val="single" w:sz="4" w:space="0" w:color="auto"/>
              <w:left w:val="single" w:sz="4" w:space="0" w:color="auto"/>
              <w:bottom w:val="single" w:sz="4" w:space="0" w:color="000000"/>
              <w:right w:val="single" w:sz="4" w:space="0" w:color="auto"/>
            </w:tcBorders>
            <w:vAlign w:val="center"/>
            <w:hideMark/>
          </w:tcPr>
          <w:p w14:paraId="006EFA43" w14:textId="77777777" w:rsidR="001D2F07" w:rsidRPr="001D2F07" w:rsidRDefault="001D2F07" w:rsidP="001D2F07">
            <w:pPr>
              <w:rPr>
                <w:rFonts w:ascii="Arial" w:eastAsia="Times New Roman" w:hAnsi="Arial" w:cs="Arial"/>
                <w:b/>
                <w:bCs/>
                <w:color w:val="000000"/>
                <w:sz w:val="14"/>
                <w:szCs w:val="14"/>
                <w:lang w:val="cs-CZ" w:eastAsia="cs-CZ"/>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C838C5F" w14:textId="77777777" w:rsidR="001D2F07" w:rsidRPr="001D2F07" w:rsidRDefault="001D2F07" w:rsidP="001D2F07">
            <w:pPr>
              <w:rPr>
                <w:rFonts w:ascii="Arial" w:eastAsia="Times New Roman" w:hAnsi="Arial" w:cs="Arial"/>
                <w:b/>
                <w:bCs/>
                <w:color w:val="000000"/>
                <w:sz w:val="14"/>
                <w:szCs w:val="14"/>
                <w:lang w:val="cs-CZ" w:eastAsia="cs-CZ"/>
              </w:rPr>
            </w:pPr>
          </w:p>
        </w:tc>
        <w:tc>
          <w:tcPr>
            <w:tcW w:w="861" w:type="dxa"/>
            <w:tcBorders>
              <w:top w:val="nil"/>
              <w:left w:val="nil"/>
              <w:bottom w:val="nil"/>
              <w:right w:val="single" w:sz="4" w:space="0" w:color="auto"/>
            </w:tcBorders>
            <w:shd w:val="clear" w:color="000000" w:fill="FFFFFF"/>
            <w:vAlign w:val="center"/>
            <w:hideMark/>
          </w:tcPr>
          <w:p w14:paraId="1DACDC8D"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0B95C978"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0C5EB592"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286865A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480F7ED2"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1581140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13E962C7"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7B7F1BC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565A4117"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5F80036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single" w:sz="4" w:space="0" w:color="auto"/>
              <w:right w:val="single" w:sz="4" w:space="0" w:color="auto"/>
            </w:tcBorders>
            <w:shd w:val="clear" w:color="000000" w:fill="FFFFFF"/>
            <w:vAlign w:val="center"/>
            <w:hideMark/>
          </w:tcPr>
          <w:p w14:paraId="4D100792"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987" w:type="dxa"/>
            <w:tcBorders>
              <w:top w:val="nil"/>
              <w:left w:val="nil"/>
              <w:bottom w:val="nil"/>
              <w:right w:val="single" w:sz="4" w:space="0" w:color="auto"/>
            </w:tcBorders>
            <w:shd w:val="clear" w:color="000000" w:fill="FFFFFF"/>
            <w:vAlign w:val="center"/>
            <w:hideMark/>
          </w:tcPr>
          <w:p w14:paraId="7AFF54DC"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62" w:type="dxa"/>
            <w:tcBorders>
              <w:top w:val="nil"/>
              <w:left w:val="nil"/>
              <w:bottom w:val="nil"/>
              <w:right w:val="single" w:sz="4" w:space="0" w:color="auto"/>
            </w:tcBorders>
            <w:shd w:val="clear" w:color="000000" w:fill="FFFFFF"/>
            <w:vAlign w:val="center"/>
            <w:hideMark/>
          </w:tcPr>
          <w:p w14:paraId="3067808C"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r>
      <w:tr w:rsidR="00D30061" w:rsidRPr="001D2F07" w14:paraId="0275143E" w14:textId="77777777" w:rsidTr="00D30061">
        <w:trPr>
          <w:trHeight w:val="230"/>
        </w:trPr>
        <w:tc>
          <w:tcPr>
            <w:tcW w:w="607" w:type="dxa"/>
            <w:vMerge w:val="restart"/>
            <w:tcBorders>
              <w:top w:val="nil"/>
              <w:left w:val="single" w:sz="4" w:space="0" w:color="auto"/>
              <w:bottom w:val="single" w:sz="4" w:space="0" w:color="auto"/>
              <w:right w:val="single" w:sz="4" w:space="0" w:color="auto"/>
            </w:tcBorders>
            <w:shd w:val="clear" w:color="auto" w:fill="auto"/>
            <w:vAlign w:val="center"/>
            <w:hideMark/>
          </w:tcPr>
          <w:p w14:paraId="63D8C94A"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60000</w:t>
            </w:r>
          </w:p>
        </w:tc>
        <w:tc>
          <w:tcPr>
            <w:tcW w:w="2025" w:type="dxa"/>
            <w:vMerge w:val="restart"/>
            <w:tcBorders>
              <w:top w:val="nil"/>
              <w:left w:val="single" w:sz="4" w:space="0" w:color="auto"/>
              <w:bottom w:val="single" w:sz="4" w:space="0" w:color="auto"/>
              <w:right w:val="single" w:sz="4" w:space="0" w:color="auto"/>
            </w:tcBorders>
            <w:shd w:val="clear" w:color="auto" w:fill="auto"/>
            <w:vAlign w:val="center"/>
            <w:hideMark/>
          </w:tcPr>
          <w:p w14:paraId="0EAEF7F9"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Celkový počet účastníků</w:t>
            </w:r>
          </w:p>
        </w:tc>
        <w:tc>
          <w:tcPr>
            <w:tcW w:w="804" w:type="dxa"/>
            <w:vMerge w:val="restart"/>
            <w:tcBorders>
              <w:top w:val="nil"/>
              <w:left w:val="single" w:sz="4" w:space="0" w:color="auto"/>
              <w:bottom w:val="single" w:sz="4" w:space="0" w:color="000000"/>
              <w:right w:val="single" w:sz="4" w:space="0" w:color="auto"/>
            </w:tcBorders>
            <w:shd w:val="clear" w:color="auto" w:fill="auto"/>
            <w:vAlign w:val="center"/>
            <w:hideMark/>
          </w:tcPr>
          <w:p w14:paraId="696BC7FF"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Osoby</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66E478D8"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Méně rozvinuté regiony</w:t>
            </w:r>
          </w:p>
        </w:tc>
        <w:tc>
          <w:tcPr>
            <w:tcW w:w="861" w:type="dxa"/>
            <w:tcBorders>
              <w:top w:val="single" w:sz="4" w:space="0" w:color="auto"/>
              <w:left w:val="nil"/>
              <w:bottom w:val="nil"/>
              <w:right w:val="single" w:sz="4" w:space="0" w:color="auto"/>
            </w:tcBorders>
            <w:shd w:val="clear" w:color="auto" w:fill="auto"/>
            <w:vAlign w:val="center"/>
            <w:hideMark/>
          </w:tcPr>
          <w:p w14:paraId="65FCF64B"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187 139,000</w:t>
            </w:r>
          </w:p>
        </w:tc>
        <w:tc>
          <w:tcPr>
            <w:tcW w:w="862" w:type="dxa"/>
            <w:tcBorders>
              <w:top w:val="nil"/>
              <w:left w:val="nil"/>
              <w:bottom w:val="single" w:sz="4" w:space="0" w:color="auto"/>
              <w:right w:val="single" w:sz="4" w:space="0" w:color="auto"/>
            </w:tcBorders>
            <w:shd w:val="clear" w:color="auto" w:fill="auto"/>
            <w:vAlign w:val="center"/>
            <w:hideMark/>
          </w:tcPr>
          <w:p w14:paraId="348196CE"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auto" w:fill="auto"/>
            <w:vAlign w:val="center"/>
            <w:hideMark/>
          </w:tcPr>
          <w:p w14:paraId="6A83247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13 237,000</w:t>
            </w:r>
          </w:p>
        </w:tc>
        <w:tc>
          <w:tcPr>
            <w:tcW w:w="862" w:type="dxa"/>
            <w:tcBorders>
              <w:top w:val="nil"/>
              <w:left w:val="nil"/>
              <w:bottom w:val="single" w:sz="4" w:space="0" w:color="auto"/>
              <w:right w:val="single" w:sz="4" w:space="0" w:color="auto"/>
            </w:tcBorders>
            <w:shd w:val="clear" w:color="auto" w:fill="auto"/>
            <w:vAlign w:val="center"/>
            <w:hideMark/>
          </w:tcPr>
          <w:p w14:paraId="441ADBF2"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556,000</w:t>
            </w:r>
          </w:p>
        </w:tc>
        <w:tc>
          <w:tcPr>
            <w:tcW w:w="862" w:type="dxa"/>
            <w:tcBorders>
              <w:top w:val="nil"/>
              <w:left w:val="nil"/>
              <w:bottom w:val="single" w:sz="4" w:space="0" w:color="auto"/>
              <w:right w:val="single" w:sz="4" w:space="0" w:color="auto"/>
            </w:tcBorders>
            <w:shd w:val="clear" w:color="auto" w:fill="auto"/>
            <w:vAlign w:val="center"/>
            <w:hideMark/>
          </w:tcPr>
          <w:p w14:paraId="5574B04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39 152,000</w:t>
            </w:r>
          </w:p>
        </w:tc>
        <w:tc>
          <w:tcPr>
            <w:tcW w:w="862" w:type="dxa"/>
            <w:tcBorders>
              <w:top w:val="nil"/>
              <w:left w:val="nil"/>
              <w:bottom w:val="single" w:sz="4" w:space="0" w:color="auto"/>
              <w:right w:val="single" w:sz="4" w:space="0" w:color="auto"/>
            </w:tcBorders>
            <w:shd w:val="clear" w:color="auto" w:fill="auto"/>
            <w:vAlign w:val="center"/>
            <w:hideMark/>
          </w:tcPr>
          <w:p w14:paraId="789B53B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72 511,000</w:t>
            </w:r>
          </w:p>
        </w:tc>
        <w:tc>
          <w:tcPr>
            <w:tcW w:w="862" w:type="dxa"/>
            <w:tcBorders>
              <w:top w:val="nil"/>
              <w:left w:val="nil"/>
              <w:bottom w:val="single" w:sz="4" w:space="0" w:color="auto"/>
              <w:right w:val="single" w:sz="4" w:space="0" w:color="auto"/>
            </w:tcBorders>
            <w:shd w:val="clear" w:color="auto" w:fill="auto"/>
            <w:vAlign w:val="center"/>
            <w:hideMark/>
          </w:tcPr>
          <w:p w14:paraId="79E71E4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34 841,000</w:t>
            </w:r>
          </w:p>
        </w:tc>
        <w:tc>
          <w:tcPr>
            <w:tcW w:w="862" w:type="dxa"/>
            <w:tcBorders>
              <w:top w:val="nil"/>
              <w:left w:val="nil"/>
              <w:bottom w:val="single" w:sz="4" w:space="0" w:color="auto"/>
              <w:right w:val="single" w:sz="4" w:space="0" w:color="auto"/>
            </w:tcBorders>
            <w:shd w:val="clear" w:color="auto" w:fill="auto"/>
            <w:vAlign w:val="center"/>
            <w:hideMark/>
          </w:tcPr>
          <w:p w14:paraId="32811CE7"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1E3E89AF"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6034C827"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63EF683E"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727EF7D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160 296,000</w:t>
            </w:r>
          </w:p>
        </w:tc>
        <w:tc>
          <w:tcPr>
            <w:tcW w:w="862" w:type="dxa"/>
            <w:tcBorders>
              <w:top w:val="single" w:sz="4" w:space="0" w:color="auto"/>
              <w:left w:val="nil"/>
              <w:bottom w:val="nil"/>
              <w:right w:val="single" w:sz="4" w:space="0" w:color="auto"/>
            </w:tcBorders>
            <w:shd w:val="clear" w:color="auto" w:fill="auto"/>
            <w:vAlign w:val="center"/>
            <w:hideMark/>
          </w:tcPr>
          <w:p w14:paraId="0BF649AC"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85,656</w:t>
            </w:r>
          </w:p>
        </w:tc>
      </w:tr>
      <w:tr w:rsidR="00D30061" w:rsidRPr="001D2F07" w14:paraId="7985B343" w14:textId="77777777" w:rsidTr="00D30061">
        <w:trPr>
          <w:trHeight w:val="230"/>
        </w:trPr>
        <w:tc>
          <w:tcPr>
            <w:tcW w:w="607" w:type="dxa"/>
            <w:vMerge/>
            <w:tcBorders>
              <w:top w:val="nil"/>
              <w:left w:val="single" w:sz="4" w:space="0" w:color="auto"/>
              <w:bottom w:val="single" w:sz="4" w:space="0" w:color="auto"/>
              <w:right w:val="single" w:sz="4" w:space="0" w:color="auto"/>
            </w:tcBorders>
            <w:vAlign w:val="center"/>
            <w:hideMark/>
          </w:tcPr>
          <w:p w14:paraId="6096504F" w14:textId="77777777" w:rsidR="001D2F07" w:rsidRPr="001D2F07" w:rsidRDefault="001D2F07" w:rsidP="001D2F07">
            <w:pPr>
              <w:rPr>
                <w:rFonts w:ascii="Arial" w:eastAsia="Times New Roman" w:hAnsi="Arial" w:cs="Arial"/>
                <w:color w:val="000000"/>
                <w:sz w:val="14"/>
                <w:szCs w:val="14"/>
                <w:lang w:val="cs-CZ" w:eastAsia="cs-CZ"/>
              </w:rPr>
            </w:pPr>
          </w:p>
        </w:tc>
        <w:tc>
          <w:tcPr>
            <w:tcW w:w="2025" w:type="dxa"/>
            <w:vMerge/>
            <w:tcBorders>
              <w:top w:val="nil"/>
              <w:left w:val="single" w:sz="4" w:space="0" w:color="auto"/>
              <w:bottom w:val="single" w:sz="4" w:space="0" w:color="auto"/>
              <w:right w:val="single" w:sz="4" w:space="0" w:color="auto"/>
            </w:tcBorders>
            <w:vAlign w:val="center"/>
            <w:hideMark/>
          </w:tcPr>
          <w:p w14:paraId="0193D2FA" w14:textId="77777777" w:rsidR="001D2F07" w:rsidRPr="001D2F07" w:rsidRDefault="001D2F07" w:rsidP="001D2F07">
            <w:pPr>
              <w:rPr>
                <w:rFonts w:ascii="Arial" w:eastAsia="Times New Roman" w:hAnsi="Arial" w:cs="Arial"/>
                <w:color w:val="000000"/>
                <w:sz w:val="14"/>
                <w:szCs w:val="14"/>
                <w:lang w:val="cs-CZ" w:eastAsia="cs-CZ"/>
              </w:rPr>
            </w:pPr>
          </w:p>
        </w:tc>
        <w:tc>
          <w:tcPr>
            <w:tcW w:w="804" w:type="dxa"/>
            <w:vMerge/>
            <w:tcBorders>
              <w:top w:val="nil"/>
              <w:left w:val="single" w:sz="4" w:space="0" w:color="auto"/>
              <w:bottom w:val="single" w:sz="4" w:space="0" w:color="000000"/>
              <w:right w:val="single" w:sz="4" w:space="0" w:color="auto"/>
            </w:tcBorders>
            <w:vAlign w:val="center"/>
            <w:hideMark/>
          </w:tcPr>
          <w:p w14:paraId="1F1176FF" w14:textId="77777777" w:rsidR="001D2F07" w:rsidRPr="001D2F07" w:rsidRDefault="001D2F07" w:rsidP="001D2F07">
            <w:pPr>
              <w:rPr>
                <w:rFonts w:ascii="Arial" w:eastAsia="Times New Roman" w:hAnsi="Arial" w:cs="Arial"/>
                <w:color w:val="000000"/>
                <w:sz w:val="14"/>
                <w:szCs w:val="14"/>
                <w:lang w:val="cs-CZ" w:eastAsia="cs-CZ"/>
              </w:rPr>
            </w:pPr>
          </w:p>
        </w:tc>
        <w:tc>
          <w:tcPr>
            <w:tcW w:w="960" w:type="dxa"/>
            <w:vMerge/>
            <w:tcBorders>
              <w:top w:val="nil"/>
              <w:left w:val="single" w:sz="4" w:space="0" w:color="auto"/>
              <w:bottom w:val="single" w:sz="4" w:space="0" w:color="auto"/>
              <w:right w:val="single" w:sz="4" w:space="0" w:color="auto"/>
            </w:tcBorders>
            <w:vAlign w:val="center"/>
            <w:hideMark/>
          </w:tcPr>
          <w:p w14:paraId="7C0ED4A0" w14:textId="77777777" w:rsidR="001D2F07" w:rsidRPr="001D2F07" w:rsidRDefault="001D2F07" w:rsidP="001D2F07">
            <w:pPr>
              <w:rPr>
                <w:rFonts w:ascii="Arial" w:eastAsia="Times New Roman" w:hAnsi="Arial" w:cs="Arial"/>
                <w:color w:val="000000"/>
                <w:sz w:val="14"/>
                <w:szCs w:val="14"/>
                <w:lang w:val="cs-CZ" w:eastAsia="cs-CZ"/>
              </w:rPr>
            </w:pP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5FFFE81C"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auto" w:fill="auto"/>
            <w:vAlign w:val="center"/>
            <w:hideMark/>
          </w:tcPr>
          <w:p w14:paraId="777864A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auto" w:fill="auto"/>
            <w:vAlign w:val="center"/>
            <w:hideMark/>
          </w:tcPr>
          <w:p w14:paraId="60B9EC0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5 818,000</w:t>
            </w:r>
          </w:p>
        </w:tc>
        <w:tc>
          <w:tcPr>
            <w:tcW w:w="862" w:type="dxa"/>
            <w:tcBorders>
              <w:top w:val="nil"/>
              <w:left w:val="nil"/>
              <w:bottom w:val="single" w:sz="4" w:space="0" w:color="auto"/>
              <w:right w:val="single" w:sz="4" w:space="0" w:color="auto"/>
            </w:tcBorders>
            <w:shd w:val="clear" w:color="auto" w:fill="auto"/>
            <w:vAlign w:val="center"/>
            <w:hideMark/>
          </w:tcPr>
          <w:p w14:paraId="57A18DF5"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265,000</w:t>
            </w:r>
          </w:p>
        </w:tc>
        <w:tc>
          <w:tcPr>
            <w:tcW w:w="862" w:type="dxa"/>
            <w:tcBorders>
              <w:top w:val="nil"/>
              <w:left w:val="nil"/>
              <w:bottom w:val="single" w:sz="4" w:space="0" w:color="auto"/>
              <w:right w:val="single" w:sz="4" w:space="0" w:color="auto"/>
            </w:tcBorders>
            <w:shd w:val="clear" w:color="auto" w:fill="auto"/>
            <w:vAlign w:val="center"/>
            <w:hideMark/>
          </w:tcPr>
          <w:p w14:paraId="6BCFC4AC"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18 139,000</w:t>
            </w:r>
          </w:p>
        </w:tc>
        <w:tc>
          <w:tcPr>
            <w:tcW w:w="862" w:type="dxa"/>
            <w:tcBorders>
              <w:top w:val="nil"/>
              <w:left w:val="nil"/>
              <w:bottom w:val="single" w:sz="4" w:space="0" w:color="auto"/>
              <w:right w:val="single" w:sz="4" w:space="0" w:color="auto"/>
            </w:tcBorders>
            <w:shd w:val="clear" w:color="auto" w:fill="auto"/>
            <w:vAlign w:val="center"/>
            <w:hideMark/>
          </w:tcPr>
          <w:p w14:paraId="1CB8DE1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30 889,000</w:t>
            </w:r>
          </w:p>
        </w:tc>
        <w:tc>
          <w:tcPr>
            <w:tcW w:w="862" w:type="dxa"/>
            <w:tcBorders>
              <w:top w:val="nil"/>
              <w:left w:val="nil"/>
              <w:bottom w:val="single" w:sz="4" w:space="0" w:color="auto"/>
              <w:right w:val="single" w:sz="4" w:space="0" w:color="auto"/>
            </w:tcBorders>
            <w:shd w:val="clear" w:color="auto" w:fill="auto"/>
            <w:vAlign w:val="center"/>
            <w:hideMark/>
          </w:tcPr>
          <w:p w14:paraId="7B2BF515"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13 747,000</w:t>
            </w:r>
          </w:p>
        </w:tc>
        <w:tc>
          <w:tcPr>
            <w:tcW w:w="862" w:type="dxa"/>
            <w:tcBorders>
              <w:top w:val="nil"/>
              <w:left w:val="nil"/>
              <w:bottom w:val="single" w:sz="4" w:space="0" w:color="auto"/>
              <w:right w:val="single" w:sz="4" w:space="0" w:color="auto"/>
            </w:tcBorders>
            <w:shd w:val="clear" w:color="auto" w:fill="auto"/>
            <w:vAlign w:val="center"/>
            <w:hideMark/>
          </w:tcPr>
          <w:p w14:paraId="60662EB2"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4B1A5D79"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4D80B9A2"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5E5E4B0D"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87" w:type="dxa"/>
            <w:tcBorders>
              <w:top w:val="nil"/>
              <w:left w:val="nil"/>
              <w:bottom w:val="single" w:sz="4" w:space="0" w:color="auto"/>
              <w:right w:val="single" w:sz="4" w:space="0" w:color="auto"/>
            </w:tcBorders>
            <w:shd w:val="clear" w:color="auto" w:fill="auto"/>
            <w:vAlign w:val="center"/>
            <w:hideMark/>
          </w:tcPr>
          <w:p w14:paraId="62720B5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68 858,000</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4C29C55F"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r>
      <w:tr w:rsidR="00D30061" w:rsidRPr="001D2F07" w14:paraId="1595A52C" w14:textId="77777777" w:rsidTr="00D30061">
        <w:trPr>
          <w:trHeight w:val="230"/>
        </w:trPr>
        <w:tc>
          <w:tcPr>
            <w:tcW w:w="607" w:type="dxa"/>
            <w:vMerge/>
            <w:tcBorders>
              <w:top w:val="nil"/>
              <w:left w:val="single" w:sz="4" w:space="0" w:color="auto"/>
              <w:bottom w:val="single" w:sz="4" w:space="0" w:color="auto"/>
              <w:right w:val="single" w:sz="4" w:space="0" w:color="auto"/>
            </w:tcBorders>
            <w:vAlign w:val="center"/>
            <w:hideMark/>
          </w:tcPr>
          <w:p w14:paraId="193B04CF" w14:textId="77777777" w:rsidR="001D2F07" w:rsidRPr="001D2F07" w:rsidRDefault="001D2F07" w:rsidP="001D2F07">
            <w:pPr>
              <w:rPr>
                <w:rFonts w:ascii="Arial" w:eastAsia="Times New Roman" w:hAnsi="Arial" w:cs="Arial"/>
                <w:color w:val="000000"/>
                <w:sz w:val="14"/>
                <w:szCs w:val="14"/>
                <w:lang w:val="cs-CZ" w:eastAsia="cs-CZ"/>
              </w:rPr>
            </w:pPr>
          </w:p>
        </w:tc>
        <w:tc>
          <w:tcPr>
            <w:tcW w:w="2025" w:type="dxa"/>
            <w:vMerge/>
            <w:tcBorders>
              <w:top w:val="nil"/>
              <w:left w:val="single" w:sz="4" w:space="0" w:color="auto"/>
              <w:bottom w:val="single" w:sz="4" w:space="0" w:color="auto"/>
              <w:right w:val="single" w:sz="4" w:space="0" w:color="auto"/>
            </w:tcBorders>
            <w:vAlign w:val="center"/>
            <w:hideMark/>
          </w:tcPr>
          <w:p w14:paraId="0834293B" w14:textId="77777777" w:rsidR="001D2F07" w:rsidRPr="001D2F07" w:rsidRDefault="001D2F07" w:rsidP="001D2F07">
            <w:pPr>
              <w:rPr>
                <w:rFonts w:ascii="Arial" w:eastAsia="Times New Roman" w:hAnsi="Arial" w:cs="Arial"/>
                <w:color w:val="000000"/>
                <w:sz w:val="14"/>
                <w:szCs w:val="14"/>
                <w:lang w:val="cs-CZ" w:eastAsia="cs-CZ"/>
              </w:rPr>
            </w:pPr>
          </w:p>
        </w:tc>
        <w:tc>
          <w:tcPr>
            <w:tcW w:w="804" w:type="dxa"/>
            <w:vMerge/>
            <w:tcBorders>
              <w:top w:val="nil"/>
              <w:left w:val="single" w:sz="4" w:space="0" w:color="auto"/>
              <w:bottom w:val="single" w:sz="4" w:space="0" w:color="000000"/>
              <w:right w:val="single" w:sz="4" w:space="0" w:color="auto"/>
            </w:tcBorders>
            <w:vAlign w:val="center"/>
            <w:hideMark/>
          </w:tcPr>
          <w:p w14:paraId="541E8078" w14:textId="77777777" w:rsidR="001D2F07" w:rsidRPr="001D2F07" w:rsidRDefault="001D2F07" w:rsidP="001D2F07">
            <w:pPr>
              <w:rPr>
                <w:rFonts w:ascii="Arial" w:eastAsia="Times New Roman" w:hAnsi="Arial" w:cs="Arial"/>
                <w:color w:val="000000"/>
                <w:sz w:val="14"/>
                <w:szCs w:val="14"/>
                <w:lang w:val="cs-CZ" w:eastAsia="cs-CZ"/>
              </w:rPr>
            </w:pPr>
          </w:p>
        </w:tc>
        <w:tc>
          <w:tcPr>
            <w:tcW w:w="960" w:type="dxa"/>
            <w:vMerge/>
            <w:tcBorders>
              <w:top w:val="nil"/>
              <w:left w:val="single" w:sz="4" w:space="0" w:color="auto"/>
              <w:bottom w:val="single" w:sz="4" w:space="0" w:color="auto"/>
              <w:right w:val="single" w:sz="4" w:space="0" w:color="auto"/>
            </w:tcBorders>
            <w:vAlign w:val="center"/>
            <w:hideMark/>
          </w:tcPr>
          <w:p w14:paraId="313352BD" w14:textId="77777777" w:rsidR="001D2F07" w:rsidRPr="001D2F07" w:rsidRDefault="001D2F07" w:rsidP="001D2F07">
            <w:pPr>
              <w:rPr>
                <w:rFonts w:ascii="Arial" w:eastAsia="Times New Roman" w:hAnsi="Arial" w:cs="Arial"/>
                <w:color w:val="000000"/>
                <w:sz w:val="14"/>
                <w:szCs w:val="14"/>
                <w:lang w:val="cs-CZ" w:eastAsia="cs-CZ"/>
              </w:rPr>
            </w:pPr>
          </w:p>
        </w:tc>
        <w:tc>
          <w:tcPr>
            <w:tcW w:w="861" w:type="dxa"/>
            <w:tcBorders>
              <w:top w:val="nil"/>
              <w:left w:val="nil"/>
              <w:bottom w:val="single" w:sz="4" w:space="0" w:color="auto"/>
              <w:right w:val="single" w:sz="4" w:space="0" w:color="auto"/>
            </w:tcBorders>
            <w:shd w:val="clear" w:color="auto" w:fill="auto"/>
            <w:vAlign w:val="center"/>
            <w:hideMark/>
          </w:tcPr>
          <w:p w14:paraId="18F9D9A8"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auto" w:fill="auto"/>
            <w:vAlign w:val="center"/>
            <w:hideMark/>
          </w:tcPr>
          <w:p w14:paraId="441FAFF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auto" w:fill="auto"/>
            <w:vAlign w:val="center"/>
            <w:hideMark/>
          </w:tcPr>
          <w:p w14:paraId="0EAE577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7 419,000</w:t>
            </w:r>
          </w:p>
        </w:tc>
        <w:tc>
          <w:tcPr>
            <w:tcW w:w="862" w:type="dxa"/>
            <w:tcBorders>
              <w:top w:val="nil"/>
              <w:left w:val="nil"/>
              <w:bottom w:val="single" w:sz="4" w:space="0" w:color="auto"/>
              <w:right w:val="single" w:sz="4" w:space="0" w:color="auto"/>
            </w:tcBorders>
            <w:shd w:val="clear" w:color="auto" w:fill="auto"/>
            <w:vAlign w:val="center"/>
            <w:hideMark/>
          </w:tcPr>
          <w:p w14:paraId="515E6E0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291,000</w:t>
            </w:r>
          </w:p>
        </w:tc>
        <w:tc>
          <w:tcPr>
            <w:tcW w:w="862" w:type="dxa"/>
            <w:tcBorders>
              <w:top w:val="nil"/>
              <w:left w:val="nil"/>
              <w:bottom w:val="single" w:sz="4" w:space="0" w:color="auto"/>
              <w:right w:val="single" w:sz="4" w:space="0" w:color="auto"/>
            </w:tcBorders>
            <w:shd w:val="clear" w:color="auto" w:fill="auto"/>
            <w:vAlign w:val="center"/>
            <w:hideMark/>
          </w:tcPr>
          <w:p w14:paraId="2EB0282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21 013,000</w:t>
            </w:r>
          </w:p>
        </w:tc>
        <w:tc>
          <w:tcPr>
            <w:tcW w:w="862" w:type="dxa"/>
            <w:tcBorders>
              <w:top w:val="nil"/>
              <w:left w:val="nil"/>
              <w:bottom w:val="single" w:sz="4" w:space="0" w:color="auto"/>
              <w:right w:val="single" w:sz="4" w:space="0" w:color="auto"/>
            </w:tcBorders>
            <w:shd w:val="clear" w:color="auto" w:fill="auto"/>
            <w:vAlign w:val="center"/>
            <w:hideMark/>
          </w:tcPr>
          <w:p w14:paraId="37008A8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41 622,000</w:t>
            </w:r>
          </w:p>
        </w:tc>
        <w:tc>
          <w:tcPr>
            <w:tcW w:w="862" w:type="dxa"/>
            <w:tcBorders>
              <w:top w:val="nil"/>
              <w:left w:val="nil"/>
              <w:bottom w:val="single" w:sz="4" w:space="0" w:color="auto"/>
              <w:right w:val="single" w:sz="4" w:space="0" w:color="auto"/>
            </w:tcBorders>
            <w:shd w:val="clear" w:color="auto" w:fill="auto"/>
            <w:vAlign w:val="center"/>
            <w:hideMark/>
          </w:tcPr>
          <w:p w14:paraId="2ACF1F48"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21 094,000</w:t>
            </w:r>
          </w:p>
        </w:tc>
        <w:tc>
          <w:tcPr>
            <w:tcW w:w="862" w:type="dxa"/>
            <w:tcBorders>
              <w:top w:val="nil"/>
              <w:left w:val="nil"/>
              <w:bottom w:val="single" w:sz="4" w:space="0" w:color="auto"/>
              <w:right w:val="single" w:sz="4" w:space="0" w:color="auto"/>
            </w:tcBorders>
            <w:shd w:val="clear" w:color="auto" w:fill="auto"/>
            <w:vAlign w:val="center"/>
            <w:hideMark/>
          </w:tcPr>
          <w:p w14:paraId="66EFD682"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1A0532C3"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54792E24"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auto" w:fill="auto"/>
            <w:vAlign w:val="center"/>
            <w:hideMark/>
          </w:tcPr>
          <w:p w14:paraId="47EC09F9"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87" w:type="dxa"/>
            <w:tcBorders>
              <w:top w:val="nil"/>
              <w:left w:val="nil"/>
              <w:bottom w:val="single" w:sz="4" w:space="0" w:color="auto"/>
              <w:right w:val="single" w:sz="4" w:space="0" w:color="auto"/>
            </w:tcBorders>
            <w:shd w:val="clear" w:color="auto" w:fill="auto"/>
            <w:vAlign w:val="center"/>
            <w:hideMark/>
          </w:tcPr>
          <w:p w14:paraId="454768B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91 439,000</w:t>
            </w:r>
          </w:p>
        </w:tc>
        <w:tc>
          <w:tcPr>
            <w:tcW w:w="862" w:type="dxa"/>
            <w:tcBorders>
              <w:top w:val="nil"/>
              <w:left w:val="nil"/>
              <w:bottom w:val="single" w:sz="4" w:space="0" w:color="auto"/>
              <w:right w:val="single" w:sz="4" w:space="0" w:color="auto"/>
            </w:tcBorders>
            <w:shd w:val="clear" w:color="auto" w:fill="auto"/>
            <w:vAlign w:val="center"/>
            <w:hideMark/>
          </w:tcPr>
          <w:p w14:paraId="5F8893A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r>
      <w:tr w:rsidR="001D2F07" w:rsidRPr="001D2F07" w14:paraId="26B1D902" w14:textId="77777777" w:rsidTr="00D30061">
        <w:trPr>
          <w:trHeight w:val="230"/>
        </w:trPr>
        <w:tc>
          <w:tcPr>
            <w:tcW w:w="60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EE363E"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60000</w:t>
            </w:r>
          </w:p>
        </w:tc>
        <w:tc>
          <w:tcPr>
            <w:tcW w:w="202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A3B746"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Celkový počet účastníků</w:t>
            </w:r>
          </w:p>
        </w:tc>
        <w:tc>
          <w:tcPr>
            <w:tcW w:w="80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4BACE9A"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Osoby</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949914"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Více rozvinuté regiony</w:t>
            </w:r>
          </w:p>
        </w:tc>
        <w:tc>
          <w:tcPr>
            <w:tcW w:w="861" w:type="dxa"/>
            <w:tcBorders>
              <w:top w:val="nil"/>
              <w:left w:val="nil"/>
              <w:bottom w:val="nil"/>
              <w:right w:val="single" w:sz="4" w:space="0" w:color="auto"/>
            </w:tcBorders>
            <w:shd w:val="clear" w:color="000000" w:fill="FFFFFF"/>
            <w:vAlign w:val="center"/>
            <w:hideMark/>
          </w:tcPr>
          <w:p w14:paraId="18C1516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9 012,000</w:t>
            </w:r>
          </w:p>
        </w:tc>
        <w:tc>
          <w:tcPr>
            <w:tcW w:w="862" w:type="dxa"/>
            <w:tcBorders>
              <w:top w:val="nil"/>
              <w:left w:val="nil"/>
              <w:bottom w:val="single" w:sz="4" w:space="0" w:color="auto"/>
              <w:right w:val="single" w:sz="4" w:space="0" w:color="auto"/>
            </w:tcBorders>
            <w:shd w:val="clear" w:color="000000" w:fill="FFFFFF"/>
            <w:vAlign w:val="center"/>
            <w:hideMark/>
          </w:tcPr>
          <w:p w14:paraId="4B5CE50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000000" w:fill="FFFFFF"/>
            <w:vAlign w:val="center"/>
            <w:hideMark/>
          </w:tcPr>
          <w:p w14:paraId="45CA82F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1 067,000</w:t>
            </w:r>
          </w:p>
        </w:tc>
        <w:tc>
          <w:tcPr>
            <w:tcW w:w="862" w:type="dxa"/>
            <w:tcBorders>
              <w:top w:val="nil"/>
              <w:left w:val="nil"/>
              <w:bottom w:val="single" w:sz="4" w:space="0" w:color="auto"/>
              <w:right w:val="single" w:sz="4" w:space="0" w:color="auto"/>
            </w:tcBorders>
            <w:shd w:val="clear" w:color="000000" w:fill="FFFFFF"/>
            <w:vAlign w:val="center"/>
            <w:hideMark/>
          </w:tcPr>
          <w:p w14:paraId="050E7C7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000000" w:fill="FFFFFF"/>
            <w:vAlign w:val="center"/>
            <w:hideMark/>
          </w:tcPr>
          <w:p w14:paraId="17C9D96B"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2 693,000</w:t>
            </w:r>
          </w:p>
        </w:tc>
        <w:tc>
          <w:tcPr>
            <w:tcW w:w="862" w:type="dxa"/>
            <w:tcBorders>
              <w:top w:val="nil"/>
              <w:left w:val="nil"/>
              <w:bottom w:val="single" w:sz="4" w:space="0" w:color="auto"/>
              <w:right w:val="single" w:sz="4" w:space="0" w:color="auto"/>
            </w:tcBorders>
            <w:shd w:val="clear" w:color="000000" w:fill="FFFFFF"/>
            <w:vAlign w:val="center"/>
            <w:hideMark/>
          </w:tcPr>
          <w:p w14:paraId="35A69ED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4 591,000</w:t>
            </w:r>
          </w:p>
        </w:tc>
        <w:tc>
          <w:tcPr>
            <w:tcW w:w="862" w:type="dxa"/>
            <w:tcBorders>
              <w:top w:val="nil"/>
              <w:left w:val="nil"/>
              <w:bottom w:val="single" w:sz="4" w:space="0" w:color="auto"/>
              <w:right w:val="single" w:sz="4" w:space="0" w:color="auto"/>
            </w:tcBorders>
            <w:shd w:val="clear" w:color="000000" w:fill="FFFFFF"/>
            <w:vAlign w:val="center"/>
            <w:hideMark/>
          </w:tcPr>
          <w:p w14:paraId="54283DB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1 749,000</w:t>
            </w:r>
          </w:p>
        </w:tc>
        <w:tc>
          <w:tcPr>
            <w:tcW w:w="862" w:type="dxa"/>
            <w:tcBorders>
              <w:top w:val="nil"/>
              <w:left w:val="nil"/>
              <w:bottom w:val="single" w:sz="4" w:space="0" w:color="auto"/>
              <w:right w:val="single" w:sz="4" w:space="0" w:color="auto"/>
            </w:tcBorders>
            <w:shd w:val="clear" w:color="000000" w:fill="FFFFFF"/>
            <w:vAlign w:val="center"/>
            <w:hideMark/>
          </w:tcPr>
          <w:p w14:paraId="26D4D513"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4DFEFED6"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4A8335C7"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26B2EB8F"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87" w:type="dxa"/>
            <w:tcBorders>
              <w:top w:val="nil"/>
              <w:left w:val="nil"/>
              <w:bottom w:val="single" w:sz="4" w:space="0" w:color="auto"/>
              <w:right w:val="single" w:sz="4" w:space="0" w:color="auto"/>
            </w:tcBorders>
            <w:shd w:val="clear" w:color="000000" w:fill="FFFFFF"/>
            <w:vAlign w:val="center"/>
            <w:hideMark/>
          </w:tcPr>
          <w:p w14:paraId="3903A5B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10 100,000</w:t>
            </w:r>
          </w:p>
        </w:tc>
        <w:tc>
          <w:tcPr>
            <w:tcW w:w="862" w:type="dxa"/>
            <w:tcBorders>
              <w:top w:val="nil"/>
              <w:left w:val="nil"/>
              <w:bottom w:val="nil"/>
              <w:right w:val="single" w:sz="4" w:space="0" w:color="auto"/>
            </w:tcBorders>
            <w:shd w:val="clear" w:color="000000" w:fill="FFFFFF"/>
            <w:vAlign w:val="center"/>
            <w:hideMark/>
          </w:tcPr>
          <w:p w14:paraId="5BFA26D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112,073</w:t>
            </w:r>
          </w:p>
        </w:tc>
      </w:tr>
      <w:tr w:rsidR="001D2F07" w:rsidRPr="001D2F07" w14:paraId="5B98CB0D" w14:textId="77777777" w:rsidTr="00D30061">
        <w:trPr>
          <w:trHeight w:val="230"/>
        </w:trPr>
        <w:tc>
          <w:tcPr>
            <w:tcW w:w="607" w:type="dxa"/>
            <w:vMerge/>
            <w:tcBorders>
              <w:top w:val="nil"/>
              <w:left w:val="single" w:sz="4" w:space="0" w:color="auto"/>
              <w:bottom w:val="single" w:sz="4" w:space="0" w:color="auto"/>
              <w:right w:val="single" w:sz="4" w:space="0" w:color="auto"/>
            </w:tcBorders>
            <w:vAlign w:val="center"/>
            <w:hideMark/>
          </w:tcPr>
          <w:p w14:paraId="0FDEEAB6" w14:textId="77777777" w:rsidR="001D2F07" w:rsidRPr="001D2F07" w:rsidRDefault="001D2F07" w:rsidP="001D2F07">
            <w:pPr>
              <w:rPr>
                <w:rFonts w:ascii="Arial" w:eastAsia="Times New Roman" w:hAnsi="Arial" w:cs="Arial"/>
                <w:color w:val="000000"/>
                <w:sz w:val="14"/>
                <w:szCs w:val="14"/>
                <w:lang w:val="cs-CZ" w:eastAsia="cs-CZ"/>
              </w:rPr>
            </w:pPr>
          </w:p>
        </w:tc>
        <w:tc>
          <w:tcPr>
            <w:tcW w:w="2025" w:type="dxa"/>
            <w:vMerge/>
            <w:tcBorders>
              <w:top w:val="nil"/>
              <w:left w:val="single" w:sz="4" w:space="0" w:color="auto"/>
              <w:bottom w:val="single" w:sz="4" w:space="0" w:color="auto"/>
              <w:right w:val="single" w:sz="4" w:space="0" w:color="auto"/>
            </w:tcBorders>
            <w:vAlign w:val="center"/>
            <w:hideMark/>
          </w:tcPr>
          <w:p w14:paraId="75DEF871" w14:textId="77777777" w:rsidR="001D2F07" w:rsidRPr="001D2F07" w:rsidRDefault="001D2F07" w:rsidP="001D2F07">
            <w:pPr>
              <w:rPr>
                <w:rFonts w:ascii="Arial" w:eastAsia="Times New Roman" w:hAnsi="Arial" w:cs="Arial"/>
                <w:color w:val="000000"/>
                <w:sz w:val="14"/>
                <w:szCs w:val="14"/>
                <w:lang w:val="cs-CZ" w:eastAsia="cs-CZ"/>
              </w:rPr>
            </w:pPr>
          </w:p>
        </w:tc>
        <w:tc>
          <w:tcPr>
            <w:tcW w:w="804" w:type="dxa"/>
            <w:vMerge/>
            <w:tcBorders>
              <w:top w:val="nil"/>
              <w:left w:val="single" w:sz="4" w:space="0" w:color="auto"/>
              <w:bottom w:val="single" w:sz="4" w:space="0" w:color="000000"/>
              <w:right w:val="single" w:sz="4" w:space="0" w:color="auto"/>
            </w:tcBorders>
            <w:vAlign w:val="center"/>
            <w:hideMark/>
          </w:tcPr>
          <w:p w14:paraId="05EE0D53" w14:textId="77777777" w:rsidR="001D2F07" w:rsidRPr="001D2F07" w:rsidRDefault="001D2F07" w:rsidP="001D2F07">
            <w:pPr>
              <w:rPr>
                <w:rFonts w:ascii="Arial" w:eastAsia="Times New Roman" w:hAnsi="Arial" w:cs="Arial"/>
                <w:color w:val="000000"/>
                <w:sz w:val="14"/>
                <w:szCs w:val="14"/>
                <w:lang w:val="cs-CZ" w:eastAsia="cs-CZ"/>
              </w:rPr>
            </w:pPr>
          </w:p>
        </w:tc>
        <w:tc>
          <w:tcPr>
            <w:tcW w:w="960" w:type="dxa"/>
            <w:vMerge/>
            <w:tcBorders>
              <w:top w:val="nil"/>
              <w:left w:val="single" w:sz="4" w:space="0" w:color="auto"/>
              <w:bottom w:val="single" w:sz="4" w:space="0" w:color="auto"/>
              <w:right w:val="single" w:sz="4" w:space="0" w:color="auto"/>
            </w:tcBorders>
            <w:vAlign w:val="center"/>
            <w:hideMark/>
          </w:tcPr>
          <w:p w14:paraId="1881EFD0" w14:textId="77777777" w:rsidR="001D2F07" w:rsidRPr="001D2F07" w:rsidRDefault="001D2F07" w:rsidP="001D2F07">
            <w:pPr>
              <w:rPr>
                <w:rFonts w:ascii="Arial" w:eastAsia="Times New Roman" w:hAnsi="Arial" w:cs="Arial"/>
                <w:color w:val="000000"/>
                <w:sz w:val="14"/>
                <w:szCs w:val="14"/>
                <w:lang w:val="cs-CZ" w:eastAsia="cs-CZ"/>
              </w:rPr>
            </w:pPr>
          </w:p>
        </w:tc>
        <w:tc>
          <w:tcPr>
            <w:tcW w:w="861" w:type="dxa"/>
            <w:tcBorders>
              <w:top w:val="single" w:sz="4" w:space="0" w:color="auto"/>
              <w:left w:val="nil"/>
              <w:bottom w:val="single" w:sz="4" w:space="0" w:color="auto"/>
              <w:right w:val="single" w:sz="4" w:space="0" w:color="auto"/>
            </w:tcBorders>
            <w:shd w:val="clear" w:color="000000" w:fill="FFFFFF"/>
            <w:vAlign w:val="center"/>
            <w:hideMark/>
          </w:tcPr>
          <w:p w14:paraId="4BD9BD0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000000" w:fill="FFFFFF"/>
            <w:vAlign w:val="center"/>
            <w:hideMark/>
          </w:tcPr>
          <w:p w14:paraId="7B36884A"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000000" w:fill="FFFFFF"/>
            <w:vAlign w:val="center"/>
            <w:hideMark/>
          </w:tcPr>
          <w:p w14:paraId="761786A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469,000</w:t>
            </w:r>
          </w:p>
        </w:tc>
        <w:tc>
          <w:tcPr>
            <w:tcW w:w="862" w:type="dxa"/>
            <w:tcBorders>
              <w:top w:val="nil"/>
              <w:left w:val="nil"/>
              <w:bottom w:val="single" w:sz="4" w:space="0" w:color="auto"/>
              <w:right w:val="single" w:sz="4" w:space="0" w:color="auto"/>
            </w:tcBorders>
            <w:shd w:val="clear" w:color="000000" w:fill="FFFFFF"/>
            <w:vAlign w:val="center"/>
            <w:hideMark/>
          </w:tcPr>
          <w:p w14:paraId="7F95939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000000" w:fill="FFFFFF"/>
            <w:vAlign w:val="center"/>
            <w:hideMark/>
          </w:tcPr>
          <w:p w14:paraId="284C5A2E"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1 290,000</w:t>
            </w:r>
          </w:p>
        </w:tc>
        <w:tc>
          <w:tcPr>
            <w:tcW w:w="862" w:type="dxa"/>
            <w:tcBorders>
              <w:top w:val="nil"/>
              <w:left w:val="nil"/>
              <w:bottom w:val="single" w:sz="4" w:space="0" w:color="auto"/>
              <w:right w:val="single" w:sz="4" w:space="0" w:color="auto"/>
            </w:tcBorders>
            <w:shd w:val="clear" w:color="000000" w:fill="FFFFFF"/>
            <w:vAlign w:val="center"/>
            <w:hideMark/>
          </w:tcPr>
          <w:p w14:paraId="142C6B75"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2 043,000</w:t>
            </w:r>
          </w:p>
        </w:tc>
        <w:tc>
          <w:tcPr>
            <w:tcW w:w="862" w:type="dxa"/>
            <w:tcBorders>
              <w:top w:val="nil"/>
              <w:left w:val="nil"/>
              <w:bottom w:val="single" w:sz="4" w:space="0" w:color="auto"/>
              <w:right w:val="single" w:sz="4" w:space="0" w:color="auto"/>
            </w:tcBorders>
            <w:shd w:val="clear" w:color="000000" w:fill="FFFFFF"/>
            <w:vAlign w:val="center"/>
            <w:hideMark/>
          </w:tcPr>
          <w:p w14:paraId="07232BB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746,000</w:t>
            </w:r>
          </w:p>
        </w:tc>
        <w:tc>
          <w:tcPr>
            <w:tcW w:w="862" w:type="dxa"/>
            <w:tcBorders>
              <w:top w:val="nil"/>
              <w:left w:val="nil"/>
              <w:bottom w:val="single" w:sz="4" w:space="0" w:color="auto"/>
              <w:right w:val="single" w:sz="4" w:space="0" w:color="auto"/>
            </w:tcBorders>
            <w:shd w:val="clear" w:color="000000" w:fill="FFFFFF"/>
            <w:vAlign w:val="center"/>
            <w:hideMark/>
          </w:tcPr>
          <w:p w14:paraId="6B4FE403"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72EB4890"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474BB7B8"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3ED3EDFA"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87" w:type="dxa"/>
            <w:tcBorders>
              <w:top w:val="nil"/>
              <w:left w:val="nil"/>
              <w:bottom w:val="single" w:sz="4" w:space="0" w:color="auto"/>
              <w:right w:val="single" w:sz="4" w:space="0" w:color="auto"/>
            </w:tcBorders>
            <w:shd w:val="clear" w:color="000000" w:fill="FFFFFF"/>
            <w:vAlign w:val="center"/>
            <w:hideMark/>
          </w:tcPr>
          <w:p w14:paraId="635D6B6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4 548,000</w:t>
            </w:r>
          </w:p>
        </w:tc>
        <w:tc>
          <w:tcPr>
            <w:tcW w:w="862" w:type="dxa"/>
            <w:tcBorders>
              <w:top w:val="single" w:sz="4" w:space="0" w:color="auto"/>
              <w:left w:val="nil"/>
              <w:bottom w:val="single" w:sz="4" w:space="0" w:color="auto"/>
              <w:right w:val="single" w:sz="4" w:space="0" w:color="auto"/>
            </w:tcBorders>
            <w:shd w:val="clear" w:color="000000" w:fill="FFFFFF"/>
            <w:vAlign w:val="center"/>
            <w:hideMark/>
          </w:tcPr>
          <w:p w14:paraId="11ED6718"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r>
      <w:tr w:rsidR="001D2F07" w:rsidRPr="001D2F07" w14:paraId="68CACBD4" w14:textId="77777777" w:rsidTr="00D30061">
        <w:trPr>
          <w:trHeight w:val="230"/>
        </w:trPr>
        <w:tc>
          <w:tcPr>
            <w:tcW w:w="607" w:type="dxa"/>
            <w:vMerge/>
            <w:tcBorders>
              <w:top w:val="nil"/>
              <w:left w:val="single" w:sz="4" w:space="0" w:color="auto"/>
              <w:bottom w:val="single" w:sz="4" w:space="0" w:color="auto"/>
              <w:right w:val="single" w:sz="4" w:space="0" w:color="auto"/>
            </w:tcBorders>
            <w:vAlign w:val="center"/>
            <w:hideMark/>
          </w:tcPr>
          <w:p w14:paraId="0FB28891" w14:textId="77777777" w:rsidR="001D2F07" w:rsidRPr="001D2F07" w:rsidRDefault="001D2F07" w:rsidP="001D2F07">
            <w:pPr>
              <w:rPr>
                <w:rFonts w:ascii="Arial" w:eastAsia="Times New Roman" w:hAnsi="Arial" w:cs="Arial"/>
                <w:color w:val="000000"/>
                <w:sz w:val="14"/>
                <w:szCs w:val="14"/>
                <w:lang w:val="cs-CZ" w:eastAsia="cs-CZ"/>
              </w:rPr>
            </w:pPr>
          </w:p>
        </w:tc>
        <w:tc>
          <w:tcPr>
            <w:tcW w:w="2025" w:type="dxa"/>
            <w:vMerge/>
            <w:tcBorders>
              <w:top w:val="nil"/>
              <w:left w:val="single" w:sz="4" w:space="0" w:color="auto"/>
              <w:bottom w:val="single" w:sz="4" w:space="0" w:color="auto"/>
              <w:right w:val="single" w:sz="4" w:space="0" w:color="auto"/>
            </w:tcBorders>
            <w:vAlign w:val="center"/>
            <w:hideMark/>
          </w:tcPr>
          <w:p w14:paraId="4F2DEA28" w14:textId="77777777" w:rsidR="001D2F07" w:rsidRPr="001D2F07" w:rsidRDefault="001D2F07" w:rsidP="001D2F07">
            <w:pPr>
              <w:rPr>
                <w:rFonts w:ascii="Arial" w:eastAsia="Times New Roman" w:hAnsi="Arial" w:cs="Arial"/>
                <w:color w:val="000000"/>
                <w:sz w:val="14"/>
                <w:szCs w:val="14"/>
                <w:lang w:val="cs-CZ" w:eastAsia="cs-CZ"/>
              </w:rPr>
            </w:pPr>
          </w:p>
        </w:tc>
        <w:tc>
          <w:tcPr>
            <w:tcW w:w="804" w:type="dxa"/>
            <w:vMerge/>
            <w:tcBorders>
              <w:top w:val="nil"/>
              <w:left w:val="single" w:sz="4" w:space="0" w:color="auto"/>
              <w:bottom w:val="single" w:sz="4" w:space="0" w:color="000000"/>
              <w:right w:val="single" w:sz="4" w:space="0" w:color="auto"/>
            </w:tcBorders>
            <w:vAlign w:val="center"/>
            <w:hideMark/>
          </w:tcPr>
          <w:p w14:paraId="2F7CE550" w14:textId="77777777" w:rsidR="001D2F07" w:rsidRPr="001D2F07" w:rsidRDefault="001D2F07" w:rsidP="001D2F07">
            <w:pPr>
              <w:rPr>
                <w:rFonts w:ascii="Arial" w:eastAsia="Times New Roman" w:hAnsi="Arial" w:cs="Arial"/>
                <w:color w:val="000000"/>
                <w:sz w:val="14"/>
                <w:szCs w:val="14"/>
                <w:lang w:val="cs-CZ" w:eastAsia="cs-CZ"/>
              </w:rPr>
            </w:pPr>
          </w:p>
        </w:tc>
        <w:tc>
          <w:tcPr>
            <w:tcW w:w="960" w:type="dxa"/>
            <w:vMerge/>
            <w:tcBorders>
              <w:top w:val="nil"/>
              <w:left w:val="single" w:sz="4" w:space="0" w:color="auto"/>
              <w:bottom w:val="single" w:sz="4" w:space="0" w:color="auto"/>
              <w:right w:val="single" w:sz="4" w:space="0" w:color="auto"/>
            </w:tcBorders>
            <w:vAlign w:val="center"/>
            <w:hideMark/>
          </w:tcPr>
          <w:p w14:paraId="6575ED4D" w14:textId="77777777" w:rsidR="001D2F07" w:rsidRPr="001D2F07" w:rsidRDefault="001D2F07" w:rsidP="001D2F07">
            <w:pPr>
              <w:rPr>
                <w:rFonts w:ascii="Arial" w:eastAsia="Times New Roman" w:hAnsi="Arial" w:cs="Arial"/>
                <w:color w:val="000000"/>
                <w:sz w:val="14"/>
                <w:szCs w:val="14"/>
                <w:lang w:val="cs-CZ" w:eastAsia="cs-CZ"/>
              </w:rPr>
            </w:pPr>
          </w:p>
        </w:tc>
        <w:tc>
          <w:tcPr>
            <w:tcW w:w="861" w:type="dxa"/>
            <w:tcBorders>
              <w:top w:val="nil"/>
              <w:left w:val="nil"/>
              <w:bottom w:val="single" w:sz="4" w:space="0" w:color="auto"/>
              <w:right w:val="single" w:sz="4" w:space="0" w:color="auto"/>
            </w:tcBorders>
            <w:shd w:val="clear" w:color="000000" w:fill="FFFFFF"/>
            <w:vAlign w:val="center"/>
            <w:hideMark/>
          </w:tcPr>
          <w:p w14:paraId="781D887F"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000000" w:fill="FFFFFF"/>
            <w:vAlign w:val="center"/>
            <w:hideMark/>
          </w:tcPr>
          <w:p w14:paraId="200A7510"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000000" w:fill="FFFFFF"/>
            <w:vAlign w:val="center"/>
            <w:hideMark/>
          </w:tcPr>
          <w:p w14:paraId="4C39A34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598,000</w:t>
            </w:r>
          </w:p>
        </w:tc>
        <w:tc>
          <w:tcPr>
            <w:tcW w:w="862" w:type="dxa"/>
            <w:tcBorders>
              <w:top w:val="nil"/>
              <w:left w:val="nil"/>
              <w:bottom w:val="single" w:sz="4" w:space="0" w:color="auto"/>
              <w:right w:val="single" w:sz="4" w:space="0" w:color="auto"/>
            </w:tcBorders>
            <w:shd w:val="clear" w:color="000000" w:fill="FFFFFF"/>
            <w:vAlign w:val="center"/>
            <w:hideMark/>
          </w:tcPr>
          <w:p w14:paraId="5A39CB0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62" w:type="dxa"/>
            <w:tcBorders>
              <w:top w:val="nil"/>
              <w:left w:val="nil"/>
              <w:bottom w:val="single" w:sz="4" w:space="0" w:color="auto"/>
              <w:right w:val="single" w:sz="4" w:space="0" w:color="auto"/>
            </w:tcBorders>
            <w:shd w:val="clear" w:color="000000" w:fill="FFFFFF"/>
            <w:vAlign w:val="center"/>
            <w:hideMark/>
          </w:tcPr>
          <w:p w14:paraId="762EF5DA"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1 403,000</w:t>
            </w:r>
          </w:p>
        </w:tc>
        <w:tc>
          <w:tcPr>
            <w:tcW w:w="862" w:type="dxa"/>
            <w:tcBorders>
              <w:top w:val="nil"/>
              <w:left w:val="nil"/>
              <w:bottom w:val="single" w:sz="4" w:space="0" w:color="auto"/>
              <w:right w:val="single" w:sz="4" w:space="0" w:color="auto"/>
            </w:tcBorders>
            <w:shd w:val="clear" w:color="000000" w:fill="FFFFFF"/>
            <w:vAlign w:val="center"/>
            <w:hideMark/>
          </w:tcPr>
          <w:p w14:paraId="029AA762"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2 548,000</w:t>
            </w:r>
          </w:p>
        </w:tc>
        <w:tc>
          <w:tcPr>
            <w:tcW w:w="862" w:type="dxa"/>
            <w:tcBorders>
              <w:top w:val="nil"/>
              <w:left w:val="nil"/>
              <w:bottom w:val="single" w:sz="4" w:space="0" w:color="auto"/>
              <w:right w:val="single" w:sz="4" w:space="0" w:color="auto"/>
            </w:tcBorders>
            <w:shd w:val="clear" w:color="000000" w:fill="FFFFFF"/>
            <w:vAlign w:val="center"/>
            <w:hideMark/>
          </w:tcPr>
          <w:p w14:paraId="0213FF65"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1 003,000</w:t>
            </w:r>
          </w:p>
        </w:tc>
        <w:tc>
          <w:tcPr>
            <w:tcW w:w="862" w:type="dxa"/>
            <w:tcBorders>
              <w:top w:val="nil"/>
              <w:left w:val="nil"/>
              <w:bottom w:val="single" w:sz="4" w:space="0" w:color="auto"/>
              <w:right w:val="single" w:sz="4" w:space="0" w:color="auto"/>
            </w:tcBorders>
            <w:shd w:val="clear" w:color="000000" w:fill="FFFFFF"/>
            <w:vAlign w:val="center"/>
            <w:hideMark/>
          </w:tcPr>
          <w:p w14:paraId="54398049"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3CFB6301"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1312048B"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62" w:type="dxa"/>
            <w:tcBorders>
              <w:top w:val="nil"/>
              <w:left w:val="nil"/>
              <w:bottom w:val="single" w:sz="4" w:space="0" w:color="auto"/>
              <w:right w:val="single" w:sz="4" w:space="0" w:color="auto"/>
            </w:tcBorders>
            <w:shd w:val="clear" w:color="000000" w:fill="FFFFFF"/>
            <w:vAlign w:val="center"/>
            <w:hideMark/>
          </w:tcPr>
          <w:p w14:paraId="3545008B"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87" w:type="dxa"/>
            <w:tcBorders>
              <w:top w:val="nil"/>
              <w:left w:val="nil"/>
              <w:bottom w:val="single" w:sz="4" w:space="0" w:color="auto"/>
              <w:right w:val="single" w:sz="4" w:space="0" w:color="auto"/>
            </w:tcBorders>
            <w:shd w:val="clear" w:color="000000" w:fill="FFFFFF"/>
            <w:vAlign w:val="center"/>
            <w:hideMark/>
          </w:tcPr>
          <w:p w14:paraId="3332A93E"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5 552,000</w:t>
            </w:r>
          </w:p>
        </w:tc>
        <w:tc>
          <w:tcPr>
            <w:tcW w:w="862" w:type="dxa"/>
            <w:tcBorders>
              <w:top w:val="nil"/>
              <w:left w:val="nil"/>
              <w:bottom w:val="single" w:sz="4" w:space="0" w:color="auto"/>
              <w:right w:val="single" w:sz="4" w:space="0" w:color="auto"/>
            </w:tcBorders>
            <w:shd w:val="clear" w:color="000000" w:fill="FFFFFF"/>
            <w:vAlign w:val="center"/>
            <w:hideMark/>
          </w:tcPr>
          <w:p w14:paraId="399373B5" w14:textId="34DF620C"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r>
    </w:tbl>
    <w:p w14:paraId="0CAED41B" w14:textId="77777777" w:rsidR="00342859" w:rsidRPr="002F2BE4" w:rsidRDefault="00342859" w:rsidP="009E49E6">
      <w:pPr>
        <w:ind w:right="108"/>
        <w:jc w:val="both"/>
        <w:rPr>
          <w:rFonts w:ascii="Arial" w:eastAsia="Arial" w:hAnsi="Arial" w:cs="Arial"/>
          <w:color w:val="000000"/>
          <w:sz w:val="20"/>
          <w:lang w:val="cs-CZ"/>
        </w:rPr>
      </w:pPr>
    </w:p>
    <w:p w14:paraId="5784B1E1" w14:textId="77777777" w:rsidR="00FD35AB" w:rsidRDefault="00FD35AB" w:rsidP="00342859">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03.1.49 Trvalé začlenění mladých lidí na trh práce, mimo jiné pomocí “záruky pro mladé lidi”, a to zejména těch, kteří nejsou ve vzdělávání, v zaměstnání nebo v profesní přípravě, včetně těch mladých lidí, kterým hrozí sociální vyloučení, a mladých lidí z marginalizovaných komunit</w:t>
      </w:r>
    </w:p>
    <w:tbl>
      <w:tblPr>
        <w:tblW w:w="15760" w:type="dxa"/>
        <w:tblInd w:w="75" w:type="dxa"/>
        <w:tblCellMar>
          <w:left w:w="70" w:type="dxa"/>
          <w:right w:w="70" w:type="dxa"/>
        </w:tblCellMar>
        <w:tblLook w:val="04A0" w:firstRow="1" w:lastRow="0" w:firstColumn="1" w:lastColumn="0" w:noHBand="0" w:noVBand="1"/>
      </w:tblPr>
      <w:tblGrid>
        <w:gridCol w:w="639"/>
        <w:gridCol w:w="1804"/>
        <w:gridCol w:w="819"/>
        <w:gridCol w:w="980"/>
        <w:gridCol w:w="878"/>
        <w:gridCol w:w="876"/>
        <w:gridCol w:w="876"/>
        <w:gridCol w:w="876"/>
        <w:gridCol w:w="876"/>
        <w:gridCol w:w="876"/>
        <w:gridCol w:w="876"/>
        <w:gridCol w:w="876"/>
        <w:gridCol w:w="876"/>
        <w:gridCol w:w="876"/>
        <w:gridCol w:w="876"/>
        <w:gridCol w:w="1004"/>
        <w:gridCol w:w="876"/>
      </w:tblGrid>
      <w:tr w:rsidR="001D2F07" w:rsidRPr="001D2F07" w14:paraId="7BA65B72" w14:textId="77777777" w:rsidTr="001D2F07">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D3A402"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A478CB7"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5EDED7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BCF0A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Kategorie regionu (je-li relevantní)</w:t>
            </w:r>
          </w:p>
        </w:tc>
        <w:tc>
          <w:tcPr>
            <w:tcW w:w="880" w:type="dxa"/>
            <w:tcBorders>
              <w:top w:val="single" w:sz="4" w:space="0" w:color="auto"/>
              <w:left w:val="nil"/>
              <w:bottom w:val="nil"/>
              <w:right w:val="single" w:sz="4" w:space="0" w:color="auto"/>
            </w:tcBorders>
            <w:shd w:val="clear" w:color="000000" w:fill="FFFFFF"/>
            <w:vAlign w:val="center"/>
            <w:hideMark/>
          </w:tcPr>
          <w:p w14:paraId="42686C6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B13F81F"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822A065"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3700215"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B0CACB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04B584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58572A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B8D587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887FCEF"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3FF5B0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6530AB5"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2ACE975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52900F4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Míra splnění</w:t>
            </w:r>
          </w:p>
        </w:tc>
      </w:tr>
      <w:tr w:rsidR="001D2F07" w:rsidRPr="001D2F07" w14:paraId="7F354186" w14:textId="77777777" w:rsidTr="001D2F07">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380F2A03" w14:textId="77777777" w:rsidR="001D2F07" w:rsidRPr="001D2F07" w:rsidRDefault="001D2F07" w:rsidP="001D2F07">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8CB89D6" w14:textId="77777777" w:rsidR="001D2F07" w:rsidRPr="001D2F07" w:rsidRDefault="001D2F07" w:rsidP="001D2F07">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73739AED" w14:textId="77777777" w:rsidR="001D2F07" w:rsidRPr="001D2F07" w:rsidRDefault="001D2F07" w:rsidP="001D2F07">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350B5B2D" w14:textId="77777777" w:rsidR="001D2F07" w:rsidRPr="001D2F07" w:rsidRDefault="001D2F07" w:rsidP="001D2F07">
            <w:pPr>
              <w:rPr>
                <w:rFonts w:ascii="Arial" w:eastAsia="Times New Roman" w:hAnsi="Arial" w:cs="Arial"/>
                <w:b/>
                <w:bCs/>
                <w:color w:val="000000"/>
                <w:sz w:val="14"/>
                <w:szCs w:val="14"/>
                <w:lang w:val="cs-CZ" w:eastAsia="cs-CZ"/>
              </w:rPr>
            </w:pP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FB5A88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470F6BC8"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A6B398"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744A33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r>
      <w:tr w:rsidR="001D2F07" w:rsidRPr="001D2F07" w14:paraId="12AFDA4E" w14:textId="77777777" w:rsidTr="001D2F07">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391FB0C2" w14:textId="77777777" w:rsidR="001D2F07" w:rsidRPr="001D2F07" w:rsidRDefault="001D2F07" w:rsidP="001D2F07">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FCCDEB7" w14:textId="77777777" w:rsidR="001D2F07" w:rsidRPr="001D2F07" w:rsidRDefault="001D2F07" w:rsidP="001D2F07">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4188DCF6" w14:textId="77777777" w:rsidR="001D2F07" w:rsidRPr="001D2F07" w:rsidRDefault="001D2F07" w:rsidP="001D2F07">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3A9191F9" w14:textId="77777777" w:rsidR="001D2F07" w:rsidRPr="001D2F07" w:rsidRDefault="001D2F07" w:rsidP="001D2F07">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7D99D7AB" w14:textId="77777777" w:rsidR="001D2F07" w:rsidRPr="001D2F07" w:rsidRDefault="001D2F07" w:rsidP="001D2F07">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11F3AFA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CA5C51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E8640F9"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F77467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DD7B51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74B66CF"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2B3EE2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BC4885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DB04015"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D975FD6"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63447878" w14:textId="77777777" w:rsidR="001D2F07" w:rsidRPr="001D2F07" w:rsidRDefault="001D2F07" w:rsidP="001D2F07">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54CE8ACE" w14:textId="77777777" w:rsidR="001D2F07" w:rsidRPr="001D2F07" w:rsidRDefault="001D2F07" w:rsidP="001D2F07">
            <w:pPr>
              <w:rPr>
                <w:rFonts w:ascii="Arial" w:eastAsia="Times New Roman" w:hAnsi="Arial" w:cs="Arial"/>
                <w:b/>
                <w:bCs/>
                <w:color w:val="000000"/>
                <w:sz w:val="14"/>
                <w:szCs w:val="14"/>
                <w:lang w:val="cs-CZ" w:eastAsia="cs-CZ"/>
              </w:rPr>
            </w:pPr>
          </w:p>
        </w:tc>
      </w:tr>
      <w:tr w:rsidR="001D2F07" w:rsidRPr="001D2F07" w14:paraId="079622E1" w14:textId="77777777" w:rsidTr="001D2F07">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F56912A" w14:textId="77777777" w:rsidR="001D2F07" w:rsidRPr="001D2F07" w:rsidRDefault="001D2F07" w:rsidP="001D2F07">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70BE641" w14:textId="77777777" w:rsidR="001D2F07" w:rsidRPr="001D2F07" w:rsidRDefault="001D2F07" w:rsidP="001D2F07">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E8D17F7" w14:textId="77777777" w:rsidR="001D2F07" w:rsidRPr="001D2F07" w:rsidRDefault="001D2F07" w:rsidP="001D2F07">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65DD3C17" w14:textId="77777777" w:rsidR="001D2F07" w:rsidRPr="001D2F07" w:rsidRDefault="001D2F07" w:rsidP="001D2F07">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735724A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125325D"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B0A1FF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E79C65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0B9B4A4"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F53DFA8"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FB7EF0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E5A6FF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E86DB1B"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6907C7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002C89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75D695B5"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43A31D2"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M</w:t>
            </w:r>
          </w:p>
        </w:tc>
      </w:tr>
      <w:tr w:rsidR="001D2F07" w:rsidRPr="001D2F07" w14:paraId="06C8FE90" w14:textId="77777777" w:rsidTr="001D2F07">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5C4C032" w14:textId="77777777" w:rsidR="001D2F07" w:rsidRPr="001D2F07" w:rsidRDefault="001D2F07" w:rsidP="001D2F07">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80E0952" w14:textId="77777777" w:rsidR="001D2F07" w:rsidRPr="001D2F07" w:rsidRDefault="001D2F07" w:rsidP="001D2F07">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D884963" w14:textId="77777777" w:rsidR="001D2F07" w:rsidRPr="001D2F07" w:rsidRDefault="001D2F07" w:rsidP="001D2F07">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0741018" w14:textId="77777777" w:rsidR="001D2F07" w:rsidRPr="001D2F07" w:rsidRDefault="001D2F07" w:rsidP="001D2F07">
            <w:pPr>
              <w:rPr>
                <w:rFonts w:ascii="Arial" w:eastAsia="Times New Roman" w:hAnsi="Arial" w:cs="Arial"/>
                <w:b/>
                <w:bCs/>
                <w:color w:val="000000"/>
                <w:sz w:val="14"/>
                <w:szCs w:val="14"/>
                <w:lang w:val="cs-CZ" w:eastAsia="cs-CZ"/>
              </w:rPr>
            </w:pPr>
          </w:p>
        </w:tc>
        <w:tc>
          <w:tcPr>
            <w:tcW w:w="880" w:type="dxa"/>
            <w:tcBorders>
              <w:top w:val="nil"/>
              <w:left w:val="nil"/>
              <w:bottom w:val="nil"/>
              <w:right w:val="single" w:sz="4" w:space="0" w:color="auto"/>
            </w:tcBorders>
            <w:shd w:val="clear" w:color="000000" w:fill="FFFFFF"/>
            <w:vAlign w:val="center"/>
            <w:hideMark/>
          </w:tcPr>
          <w:p w14:paraId="4F9A13E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4F96A3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F6BB044"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156121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E000F90"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361C4AE"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8C317FC"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F7BF10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0DB0C4F"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E742051"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808B9AA"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940" w:type="dxa"/>
            <w:tcBorders>
              <w:top w:val="nil"/>
              <w:left w:val="nil"/>
              <w:bottom w:val="nil"/>
              <w:right w:val="single" w:sz="4" w:space="0" w:color="auto"/>
            </w:tcBorders>
            <w:shd w:val="clear" w:color="000000" w:fill="FFFFFF"/>
            <w:vAlign w:val="center"/>
            <w:hideMark/>
          </w:tcPr>
          <w:p w14:paraId="11C77A83"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c>
          <w:tcPr>
            <w:tcW w:w="880" w:type="dxa"/>
            <w:tcBorders>
              <w:top w:val="nil"/>
              <w:left w:val="nil"/>
              <w:bottom w:val="nil"/>
              <w:right w:val="single" w:sz="4" w:space="0" w:color="auto"/>
            </w:tcBorders>
            <w:shd w:val="clear" w:color="000000" w:fill="FFFFFF"/>
            <w:vAlign w:val="center"/>
            <w:hideMark/>
          </w:tcPr>
          <w:p w14:paraId="2CB3BF92" w14:textId="77777777" w:rsidR="001D2F07" w:rsidRPr="001D2F07" w:rsidRDefault="001D2F07" w:rsidP="001D2F07">
            <w:pPr>
              <w:jc w:val="center"/>
              <w:rPr>
                <w:rFonts w:ascii="Arial" w:eastAsia="Times New Roman" w:hAnsi="Arial" w:cs="Arial"/>
                <w:b/>
                <w:bCs/>
                <w:color w:val="000000"/>
                <w:sz w:val="14"/>
                <w:szCs w:val="14"/>
                <w:lang w:val="cs-CZ" w:eastAsia="cs-CZ"/>
              </w:rPr>
            </w:pPr>
            <w:r w:rsidRPr="001D2F07">
              <w:rPr>
                <w:rFonts w:ascii="Arial" w:eastAsia="Times New Roman" w:hAnsi="Arial" w:cs="Arial"/>
                <w:b/>
                <w:bCs/>
                <w:color w:val="000000"/>
                <w:sz w:val="14"/>
                <w:szCs w:val="14"/>
                <w:lang w:val="cs-CZ" w:eastAsia="cs-CZ"/>
              </w:rPr>
              <w:t>Ž</w:t>
            </w:r>
          </w:p>
        </w:tc>
      </w:tr>
      <w:tr w:rsidR="001D2F07" w:rsidRPr="001D2F07" w14:paraId="25A2B54E" w14:textId="77777777" w:rsidTr="001D2F07">
        <w:trPr>
          <w:trHeight w:val="230"/>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67DA8877"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45B2393D"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614AA43D"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078B9227"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Nerelevantní</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0729B6B"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3 100,000</w:t>
            </w:r>
          </w:p>
        </w:tc>
        <w:tc>
          <w:tcPr>
            <w:tcW w:w="880" w:type="dxa"/>
            <w:tcBorders>
              <w:top w:val="nil"/>
              <w:left w:val="nil"/>
              <w:bottom w:val="single" w:sz="4" w:space="0" w:color="auto"/>
              <w:right w:val="single" w:sz="4" w:space="0" w:color="auto"/>
            </w:tcBorders>
            <w:shd w:val="clear" w:color="auto" w:fill="auto"/>
            <w:vAlign w:val="center"/>
            <w:hideMark/>
          </w:tcPr>
          <w:p w14:paraId="17C102A8"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28FB60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E462F70"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199,000</w:t>
            </w:r>
          </w:p>
        </w:tc>
        <w:tc>
          <w:tcPr>
            <w:tcW w:w="880" w:type="dxa"/>
            <w:tcBorders>
              <w:top w:val="nil"/>
              <w:left w:val="nil"/>
              <w:bottom w:val="single" w:sz="4" w:space="0" w:color="auto"/>
              <w:right w:val="single" w:sz="4" w:space="0" w:color="auto"/>
            </w:tcBorders>
            <w:shd w:val="clear" w:color="auto" w:fill="auto"/>
            <w:vAlign w:val="center"/>
            <w:hideMark/>
          </w:tcPr>
          <w:p w14:paraId="2596A4D2"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2 145,000</w:t>
            </w:r>
          </w:p>
        </w:tc>
        <w:tc>
          <w:tcPr>
            <w:tcW w:w="880" w:type="dxa"/>
            <w:tcBorders>
              <w:top w:val="nil"/>
              <w:left w:val="nil"/>
              <w:bottom w:val="single" w:sz="4" w:space="0" w:color="auto"/>
              <w:right w:val="single" w:sz="4" w:space="0" w:color="auto"/>
            </w:tcBorders>
            <w:shd w:val="clear" w:color="auto" w:fill="auto"/>
            <w:vAlign w:val="center"/>
            <w:hideMark/>
          </w:tcPr>
          <w:p w14:paraId="1F3DCA8F"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1 715,000</w:t>
            </w:r>
          </w:p>
        </w:tc>
        <w:tc>
          <w:tcPr>
            <w:tcW w:w="880" w:type="dxa"/>
            <w:tcBorders>
              <w:top w:val="nil"/>
              <w:left w:val="nil"/>
              <w:bottom w:val="single" w:sz="4" w:space="0" w:color="auto"/>
              <w:right w:val="single" w:sz="4" w:space="0" w:color="auto"/>
            </w:tcBorders>
            <w:shd w:val="clear" w:color="auto" w:fill="auto"/>
            <w:vAlign w:val="center"/>
            <w:hideMark/>
          </w:tcPr>
          <w:p w14:paraId="2090814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1 423,000</w:t>
            </w:r>
          </w:p>
        </w:tc>
        <w:tc>
          <w:tcPr>
            <w:tcW w:w="880" w:type="dxa"/>
            <w:tcBorders>
              <w:top w:val="nil"/>
              <w:left w:val="nil"/>
              <w:bottom w:val="single" w:sz="4" w:space="0" w:color="auto"/>
              <w:right w:val="single" w:sz="4" w:space="0" w:color="auto"/>
            </w:tcBorders>
            <w:shd w:val="clear" w:color="auto" w:fill="auto"/>
            <w:vAlign w:val="center"/>
            <w:hideMark/>
          </w:tcPr>
          <w:p w14:paraId="62BB6205"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9AC37A0"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EDEDED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180FFB"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12A18C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5 482,000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705693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176,839</w:t>
            </w:r>
          </w:p>
        </w:tc>
      </w:tr>
      <w:tr w:rsidR="001D2F07" w:rsidRPr="001D2F07" w14:paraId="749872B9" w14:textId="77777777" w:rsidTr="001D2F07">
        <w:trPr>
          <w:trHeight w:val="230"/>
        </w:trPr>
        <w:tc>
          <w:tcPr>
            <w:tcW w:w="640" w:type="dxa"/>
            <w:vMerge/>
            <w:tcBorders>
              <w:top w:val="nil"/>
              <w:left w:val="single" w:sz="4" w:space="0" w:color="auto"/>
              <w:bottom w:val="single" w:sz="4" w:space="0" w:color="auto"/>
              <w:right w:val="single" w:sz="4" w:space="0" w:color="auto"/>
            </w:tcBorders>
            <w:vAlign w:val="center"/>
            <w:hideMark/>
          </w:tcPr>
          <w:p w14:paraId="6E124614" w14:textId="77777777" w:rsidR="001D2F07" w:rsidRPr="001D2F07" w:rsidRDefault="001D2F07" w:rsidP="001D2F07">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E1757D0" w14:textId="77777777" w:rsidR="001D2F07" w:rsidRPr="001D2F07" w:rsidRDefault="001D2F07" w:rsidP="001D2F07">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7090ABCA" w14:textId="77777777" w:rsidR="001D2F07" w:rsidRPr="001D2F07" w:rsidRDefault="001D2F07" w:rsidP="001D2F07">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791B4D6E" w14:textId="77777777" w:rsidR="001D2F07" w:rsidRPr="001D2F07" w:rsidRDefault="001D2F07" w:rsidP="001D2F07">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776684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048B344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B60478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7A4DC6F"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88,000</w:t>
            </w:r>
          </w:p>
        </w:tc>
        <w:tc>
          <w:tcPr>
            <w:tcW w:w="880" w:type="dxa"/>
            <w:tcBorders>
              <w:top w:val="nil"/>
              <w:left w:val="nil"/>
              <w:bottom w:val="single" w:sz="4" w:space="0" w:color="auto"/>
              <w:right w:val="single" w:sz="4" w:space="0" w:color="auto"/>
            </w:tcBorders>
            <w:shd w:val="clear" w:color="auto" w:fill="auto"/>
            <w:hideMark/>
          </w:tcPr>
          <w:p w14:paraId="3AA978CC"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1 058,000</w:t>
            </w:r>
          </w:p>
        </w:tc>
        <w:tc>
          <w:tcPr>
            <w:tcW w:w="880" w:type="dxa"/>
            <w:tcBorders>
              <w:top w:val="nil"/>
              <w:left w:val="nil"/>
              <w:bottom w:val="single" w:sz="4" w:space="0" w:color="auto"/>
              <w:right w:val="single" w:sz="4" w:space="0" w:color="auto"/>
            </w:tcBorders>
            <w:shd w:val="clear" w:color="auto" w:fill="auto"/>
            <w:vAlign w:val="center"/>
            <w:hideMark/>
          </w:tcPr>
          <w:p w14:paraId="128C083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807,000</w:t>
            </w:r>
          </w:p>
        </w:tc>
        <w:tc>
          <w:tcPr>
            <w:tcW w:w="880" w:type="dxa"/>
            <w:tcBorders>
              <w:top w:val="nil"/>
              <w:left w:val="nil"/>
              <w:bottom w:val="single" w:sz="4" w:space="0" w:color="auto"/>
              <w:right w:val="single" w:sz="4" w:space="0" w:color="auto"/>
            </w:tcBorders>
            <w:shd w:val="clear" w:color="auto" w:fill="auto"/>
            <w:vAlign w:val="center"/>
            <w:hideMark/>
          </w:tcPr>
          <w:p w14:paraId="21242B9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670,000</w:t>
            </w:r>
          </w:p>
        </w:tc>
        <w:tc>
          <w:tcPr>
            <w:tcW w:w="880" w:type="dxa"/>
            <w:tcBorders>
              <w:top w:val="nil"/>
              <w:left w:val="nil"/>
              <w:bottom w:val="single" w:sz="4" w:space="0" w:color="auto"/>
              <w:right w:val="single" w:sz="4" w:space="0" w:color="auto"/>
            </w:tcBorders>
            <w:shd w:val="clear" w:color="auto" w:fill="auto"/>
            <w:vAlign w:val="center"/>
            <w:hideMark/>
          </w:tcPr>
          <w:p w14:paraId="03A8A170"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4602E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3EA411E"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D0F6A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792A3C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2 623,000</w:t>
            </w:r>
          </w:p>
        </w:tc>
        <w:tc>
          <w:tcPr>
            <w:tcW w:w="880" w:type="dxa"/>
            <w:tcBorders>
              <w:top w:val="nil"/>
              <w:left w:val="nil"/>
              <w:bottom w:val="single" w:sz="4" w:space="0" w:color="auto"/>
              <w:right w:val="single" w:sz="4" w:space="0" w:color="auto"/>
            </w:tcBorders>
            <w:shd w:val="clear" w:color="auto" w:fill="auto"/>
            <w:vAlign w:val="center"/>
            <w:hideMark/>
          </w:tcPr>
          <w:p w14:paraId="2FA1FDF5"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r>
      <w:tr w:rsidR="001D2F07" w:rsidRPr="001D2F07" w14:paraId="7545E0DC" w14:textId="77777777" w:rsidTr="001D2F07">
        <w:trPr>
          <w:trHeight w:val="230"/>
        </w:trPr>
        <w:tc>
          <w:tcPr>
            <w:tcW w:w="640" w:type="dxa"/>
            <w:vMerge/>
            <w:tcBorders>
              <w:top w:val="nil"/>
              <w:left w:val="single" w:sz="4" w:space="0" w:color="auto"/>
              <w:bottom w:val="single" w:sz="4" w:space="0" w:color="auto"/>
              <w:right w:val="single" w:sz="4" w:space="0" w:color="auto"/>
            </w:tcBorders>
            <w:vAlign w:val="center"/>
            <w:hideMark/>
          </w:tcPr>
          <w:p w14:paraId="1776116E" w14:textId="77777777" w:rsidR="001D2F07" w:rsidRPr="001D2F07" w:rsidRDefault="001D2F07" w:rsidP="001D2F07">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78763EE" w14:textId="77777777" w:rsidR="001D2F07" w:rsidRPr="001D2F07" w:rsidRDefault="001D2F07" w:rsidP="001D2F07">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1011796E" w14:textId="77777777" w:rsidR="001D2F07" w:rsidRPr="001D2F07" w:rsidRDefault="001D2F07" w:rsidP="001D2F07">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96C2DE2" w14:textId="77777777" w:rsidR="001D2F07" w:rsidRPr="001D2F07" w:rsidRDefault="001D2F07" w:rsidP="001D2F07">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628DE1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8DBF70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9A0EB5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5D711EA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111,000</w:t>
            </w:r>
          </w:p>
        </w:tc>
        <w:tc>
          <w:tcPr>
            <w:tcW w:w="880" w:type="dxa"/>
            <w:tcBorders>
              <w:top w:val="nil"/>
              <w:left w:val="nil"/>
              <w:bottom w:val="single" w:sz="4" w:space="0" w:color="auto"/>
              <w:right w:val="single" w:sz="4" w:space="0" w:color="auto"/>
            </w:tcBorders>
            <w:shd w:val="clear" w:color="auto" w:fill="auto"/>
            <w:hideMark/>
          </w:tcPr>
          <w:p w14:paraId="57B0DEE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1 087,000</w:t>
            </w:r>
          </w:p>
        </w:tc>
        <w:tc>
          <w:tcPr>
            <w:tcW w:w="880" w:type="dxa"/>
            <w:tcBorders>
              <w:top w:val="nil"/>
              <w:left w:val="nil"/>
              <w:bottom w:val="single" w:sz="4" w:space="0" w:color="auto"/>
              <w:right w:val="single" w:sz="4" w:space="0" w:color="auto"/>
            </w:tcBorders>
            <w:shd w:val="clear" w:color="auto" w:fill="auto"/>
            <w:vAlign w:val="center"/>
            <w:hideMark/>
          </w:tcPr>
          <w:p w14:paraId="37642AA5"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908,000</w:t>
            </w:r>
          </w:p>
        </w:tc>
        <w:tc>
          <w:tcPr>
            <w:tcW w:w="880" w:type="dxa"/>
            <w:tcBorders>
              <w:top w:val="nil"/>
              <w:left w:val="nil"/>
              <w:bottom w:val="single" w:sz="4" w:space="0" w:color="auto"/>
              <w:right w:val="single" w:sz="4" w:space="0" w:color="auto"/>
            </w:tcBorders>
            <w:shd w:val="clear" w:color="auto" w:fill="auto"/>
            <w:vAlign w:val="center"/>
            <w:hideMark/>
          </w:tcPr>
          <w:p w14:paraId="18C4D6E8"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753,000</w:t>
            </w:r>
          </w:p>
        </w:tc>
        <w:tc>
          <w:tcPr>
            <w:tcW w:w="880" w:type="dxa"/>
            <w:tcBorders>
              <w:top w:val="nil"/>
              <w:left w:val="nil"/>
              <w:bottom w:val="single" w:sz="4" w:space="0" w:color="auto"/>
              <w:right w:val="single" w:sz="4" w:space="0" w:color="auto"/>
            </w:tcBorders>
            <w:shd w:val="clear" w:color="auto" w:fill="auto"/>
            <w:vAlign w:val="center"/>
            <w:hideMark/>
          </w:tcPr>
          <w:p w14:paraId="5275496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8D434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E5A5B8C"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B76ED9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C858AA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2 859,000</w:t>
            </w:r>
          </w:p>
        </w:tc>
        <w:tc>
          <w:tcPr>
            <w:tcW w:w="880" w:type="dxa"/>
            <w:tcBorders>
              <w:top w:val="nil"/>
              <w:left w:val="nil"/>
              <w:bottom w:val="single" w:sz="4" w:space="0" w:color="auto"/>
              <w:right w:val="single" w:sz="4" w:space="0" w:color="auto"/>
            </w:tcBorders>
            <w:shd w:val="clear" w:color="auto" w:fill="auto"/>
            <w:vAlign w:val="center"/>
            <w:hideMark/>
          </w:tcPr>
          <w:p w14:paraId="1A2414F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r>
      <w:tr w:rsidR="001D2F07" w:rsidRPr="001D2F07" w14:paraId="1B89CC30" w14:textId="77777777" w:rsidTr="001D2F07">
        <w:trPr>
          <w:trHeight w:val="230"/>
        </w:trPr>
        <w:tc>
          <w:tcPr>
            <w:tcW w:w="6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D0458C"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60605</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1508B573"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účastníci ve věku 25 - 29 let</w:t>
            </w:r>
          </w:p>
        </w:tc>
        <w:tc>
          <w:tcPr>
            <w:tcW w:w="8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25A8FD"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D0ABD4" w14:textId="77777777" w:rsidR="001D2F07" w:rsidRPr="001D2F07" w:rsidRDefault="001D2F07" w:rsidP="001D2F07">
            <w:pPr>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Nerelevantní</w:t>
            </w:r>
          </w:p>
        </w:tc>
        <w:tc>
          <w:tcPr>
            <w:tcW w:w="880" w:type="dxa"/>
            <w:tcBorders>
              <w:top w:val="nil"/>
              <w:left w:val="nil"/>
              <w:bottom w:val="nil"/>
              <w:right w:val="single" w:sz="4" w:space="0" w:color="auto"/>
            </w:tcBorders>
            <w:shd w:val="clear" w:color="auto" w:fill="auto"/>
            <w:vAlign w:val="center"/>
            <w:hideMark/>
          </w:tcPr>
          <w:p w14:paraId="1D5CCD8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620,000</w:t>
            </w:r>
          </w:p>
        </w:tc>
        <w:tc>
          <w:tcPr>
            <w:tcW w:w="880" w:type="dxa"/>
            <w:tcBorders>
              <w:top w:val="nil"/>
              <w:left w:val="nil"/>
              <w:bottom w:val="nil"/>
              <w:right w:val="single" w:sz="4" w:space="0" w:color="auto"/>
            </w:tcBorders>
            <w:shd w:val="clear" w:color="auto" w:fill="auto"/>
            <w:vAlign w:val="center"/>
            <w:hideMark/>
          </w:tcPr>
          <w:p w14:paraId="0C45113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0B1BFF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E1E834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76,000</w:t>
            </w:r>
          </w:p>
        </w:tc>
        <w:tc>
          <w:tcPr>
            <w:tcW w:w="880" w:type="dxa"/>
            <w:tcBorders>
              <w:top w:val="nil"/>
              <w:left w:val="nil"/>
              <w:bottom w:val="nil"/>
              <w:right w:val="single" w:sz="4" w:space="0" w:color="auto"/>
            </w:tcBorders>
            <w:shd w:val="clear" w:color="auto" w:fill="auto"/>
            <w:vAlign w:val="center"/>
            <w:hideMark/>
          </w:tcPr>
          <w:p w14:paraId="039E3F9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575,000</w:t>
            </w:r>
          </w:p>
        </w:tc>
        <w:tc>
          <w:tcPr>
            <w:tcW w:w="880" w:type="dxa"/>
            <w:tcBorders>
              <w:top w:val="nil"/>
              <w:left w:val="nil"/>
              <w:bottom w:val="nil"/>
              <w:right w:val="single" w:sz="4" w:space="0" w:color="auto"/>
            </w:tcBorders>
            <w:shd w:val="clear" w:color="auto" w:fill="auto"/>
            <w:vAlign w:val="center"/>
            <w:hideMark/>
          </w:tcPr>
          <w:p w14:paraId="68FB2C32"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449,000</w:t>
            </w:r>
          </w:p>
        </w:tc>
        <w:tc>
          <w:tcPr>
            <w:tcW w:w="880" w:type="dxa"/>
            <w:tcBorders>
              <w:top w:val="nil"/>
              <w:left w:val="nil"/>
              <w:bottom w:val="nil"/>
              <w:right w:val="single" w:sz="4" w:space="0" w:color="auto"/>
            </w:tcBorders>
            <w:shd w:val="clear" w:color="auto" w:fill="auto"/>
            <w:vAlign w:val="center"/>
            <w:hideMark/>
          </w:tcPr>
          <w:p w14:paraId="06DB62EB"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407,000</w:t>
            </w:r>
          </w:p>
        </w:tc>
        <w:tc>
          <w:tcPr>
            <w:tcW w:w="880" w:type="dxa"/>
            <w:tcBorders>
              <w:top w:val="nil"/>
              <w:left w:val="nil"/>
              <w:bottom w:val="nil"/>
              <w:right w:val="single" w:sz="4" w:space="0" w:color="auto"/>
            </w:tcBorders>
            <w:shd w:val="clear" w:color="auto" w:fill="auto"/>
            <w:vAlign w:val="center"/>
            <w:hideMark/>
          </w:tcPr>
          <w:p w14:paraId="296E824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F898EE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B3BFFF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7D7B4F2"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945784F"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1 507,000</w:t>
            </w:r>
          </w:p>
        </w:tc>
        <w:tc>
          <w:tcPr>
            <w:tcW w:w="880" w:type="dxa"/>
            <w:tcBorders>
              <w:top w:val="nil"/>
              <w:left w:val="nil"/>
              <w:bottom w:val="nil"/>
              <w:right w:val="single" w:sz="4" w:space="0" w:color="auto"/>
            </w:tcBorders>
            <w:shd w:val="clear" w:color="auto" w:fill="auto"/>
            <w:vAlign w:val="center"/>
            <w:hideMark/>
          </w:tcPr>
          <w:p w14:paraId="29256B15"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243,065</w:t>
            </w:r>
          </w:p>
        </w:tc>
      </w:tr>
      <w:tr w:rsidR="001D2F07" w:rsidRPr="001D2F07" w14:paraId="3A67932B" w14:textId="77777777" w:rsidTr="001D2F07">
        <w:trPr>
          <w:trHeight w:val="230"/>
        </w:trPr>
        <w:tc>
          <w:tcPr>
            <w:tcW w:w="640" w:type="dxa"/>
            <w:vMerge/>
            <w:tcBorders>
              <w:top w:val="nil"/>
              <w:left w:val="single" w:sz="4" w:space="0" w:color="auto"/>
              <w:bottom w:val="single" w:sz="4" w:space="0" w:color="auto"/>
              <w:right w:val="single" w:sz="4" w:space="0" w:color="auto"/>
            </w:tcBorders>
            <w:vAlign w:val="center"/>
            <w:hideMark/>
          </w:tcPr>
          <w:p w14:paraId="106B12D3" w14:textId="77777777" w:rsidR="001D2F07" w:rsidRPr="001D2F07" w:rsidRDefault="001D2F07" w:rsidP="001D2F07">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76BDE3C5" w14:textId="77777777" w:rsidR="001D2F07" w:rsidRPr="001D2F07" w:rsidRDefault="001D2F07" w:rsidP="001D2F07">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6DD7E277" w14:textId="77777777" w:rsidR="001D2F07" w:rsidRPr="001D2F07" w:rsidRDefault="001D2F07" w:rsidP="001D2F07">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E17F0A3" w14:textId="77777777" w:rsidR="001D2F07" w:rsidRPr="001D2F07" w:rsidRDefault="001D2F07" w:rsidP="001D2F07">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7774500"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59EFC2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F3C0DE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DEE376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6D128A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10DF76"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F59A19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C98CAA9"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CA3A710"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D4CD96A"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83DB817"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2CBF22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5153A3A"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r>
      <w:tr w:rsidR="001D2F07" w:rsidRPr="001D2F07" w14:paraId="68FCCF92" w14:textId="77777777" w:rsidTr="001D2F07">
        <w:trPr>
          <w:trHeight w:val="230"/>
        </w:trPr>
        <w:tc>
          <w:tcPr>
            <w:tcW w:w="640" w:type="dxa"/>
            <w:vMerge/>
            <w:tcBorders>
              <w:top w:val="nil"/>
              <w:left w:val="single" w:sz="4" w:space="0" w:color="auto"/>
              <w:bottom w:val="single" w:sz="4" w:space="0" w:color="auto"/>
              <w:right w:val="single" w:sz="4" w:space="0" w:color="auto"/>
            </w:tcBorders>
            <w:vAlign w:val="center"/>
            <w:hideMark/>
          </w:tcPr>
          <w:p w14:paraId="3285B921" w14:textId="77777777" w:rsidR="001D2F07" w:rsidRPr="001D2F07" w:rsidRDefault="001D2F07" w:rsidP="001D2F07">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F1BFF07" w14:textId="77777777" w:rsidR="001D2F07" w:rsidRPr="001D2F07" w:rsidRDefault="001D2F07" w:rsidP="001D2F07">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001399CC" w14:textId="77777777" w:rsidR="001D2F07" w:rsidRPr="001D2F07" w:rsidRDefault="001D2F07" w:rsidP="001D2F07">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AFFC9F4" w14:textId="77777777" w:rsidR="001D2F07" w:rsidRPr="001D2F07" w:rsidRDefault="001D2F07" w:rsidP="001D2F07">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1F35AE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FF22493"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7203F2"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0E3BCB"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918D5A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C85721"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C37E6F"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ED61BF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FB18E4"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9F68D9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A38F02"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7B22ACD"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920C39B" w14:textId="77777777" w:rsidR="001D2F07" w:rsidRPr="001D2F07" w:rsidRDefault="001D2F07" w:rsidP="001D2F07">
            <w:pPr>
              <w:jc w:val="right"/>
              <w:rPr>
                <w:rFonts w:ascii="Arial" w:eastAsia="Times New Roman" w:hAnsi="Arial" w:cs="Arial"/>
                <w:color w:val="000000"/>
                <w:sz w:val="14"/>
                <w:szCs w:val="14"/>
                <w:lang w:val="cs-CZ" w:eastAsia="cs-CZ"/>
              </w:rPr>
            </w:pPr>
            <w:r w:rsidRPr="001D2F07">
              <w:rPr>
                <w:rFonts w:ascii="Arial" w:eastAsia="Times New Roman" w:hAnsi="Arial" w:cs="Arial"/>
                <w:color w:val="000000"/>
                <w:sz w:val="14"/>
                <w:szCs w:val="14"/>
                <w:lang w:val="cs-CZ" w:eastAsia="cs-CZ"/>
              </w:rPr>
              <w:t> </w:t>
            </w:r>
          </w:p>
        </w:tc>
      </w:tr>
    </w:tbl>
    <w:p w14:paraId="615C8327" w14:textId="48F1DC2B" w:rsidR="00342859" w:rsidRDefault="00342859" w:rsidP="009E49E6">
      <w:pPr>
        <w:ind w:left="113" w:right="108"/>
        <w:jc w:val="both"/>
        <w:rPr>
          <w:rFonts w:ascii="Arial" w:eastAsia="Arial" w:hAnsi="Arial" w:cs="Arial"/>
          <w:color w:val="000000"/>
          <w:sz w:val="20"/>
          <w:lang w:val="cs-CZ"/>
        </w:rPr>
      </w:pPr>
    </w:p>
    <w:p w14:paraId="01982661" w14:textId="77777777" w:rsidR="00D30061" w:rsidRPr="002F2BE4" w:rsidRDefault="00D30061" w:rsidP="009E49E6">
      <w:pPr>
        <w:ind w:left="113" w:right="108"/>
        <w:jc w:val="both"/>
        <w:rPr>
          <w:rFonts w:ascii="Arial" w:eastAsia="Arial" w:hAnsi="Arial" w:cs="Arial"/>
          <w:color w:val="000000"/>
          <w:sz w:val="20"/>
          <w:lang w:val="cs-CZ"/>
        </w:rPr>
      </w:pPr>
    </w:p>
    <w:p w14:paraId="138F915F" w14:textId="77777777"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03.1.51 Rovnost žen a mužů ve všech oblastech, a to i pokud jde o přístup k zaměstnání a kariérní postup, sladění pracovního a soukromého života a podpora stejné odměny za stejnou práci</w:t>
      </w:r>
    </w:p>
    <w:tbl>
      <w:tblPr>
        <w:tblW w:w="15760" w:type="dxa"/>
        <w:tblInd w:w="75" w:type="dxa"/>
        <w:tblCellMar>
          <w:left w:w="70" w:type="dxa"/>
          <w:right w:w="70" w:type="dxa"/>
        </w:tblCellMar>
        <w:tblLook w:val="04A0" w:firstRow="1" w:lastRow="0" w:firstColumn="1" w:lastColumn="0" w:noHBand="0" w:noVBand="1"/>
      </w:tblPr>
      <w:tblGrid>
        <w:gridCol w:w="638"/>
        <w:gridCol w:w="1803"/>
        <w:gridCol w:w="849"/>
        <w:gridCol w:w="977"/>
        <w:gridCol w:w="875"/>
        <w:gridCol w:w="874"/>
        <w:gridCol w:w="874"/>
        <w:gridCol w:w="874"/>
        <w:gridCol w:w="874"/>
        <w:gridCol w:w="874"/>
        <w:gridCol w:w="874"/>
        <w:gridCol w:w="874"/>
        <w:gridCol w:w="874"/>
        <w:gridCol w:w="874"/>
        <w:gridCol w:w="874"/>
        <w:gridCol w:w="1004"/>
        <w:gridCol w:w="874"/>
      </w:tblGrid>
      <w:tr w:rsidR="001D2F07" w:rsidRPr="00187594" w14:paraId="26E34A0C" w14:textId="77777777" w:rsidTr="00D30061">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25D3EC5"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3E076D"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CAF9DBE"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433DE5"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Kategorie regionu (je-li relevantní)</w:t>
            </w:r>
          </w:p>
        </w:tc>
        <w:tc>
          <w:tcPr>
            <w:tcW w:w="880" w:type="dxa"/>
            <w:tcBorders>
              <w:top w:val="single" w:sz="4" w:space="0" w:color="auto"/>
              <w:left w:val="nil"/>
              <w:bottom w:val="nil"/>
              <w:right w:val="single" w:sz="4" w:space="0" w:color="auto"/>
            </w:tcBorders>
            <w:shd w:val="clear" w:color="000000" w:fill="FFFFFF"/>
            <w:vAlign w:val="center"/>
            <w:hideMark/>
          </w:tcPr>
          <w:p w14:paraId="66AA32AF"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A676221"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B2C5DCF"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017B586"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89BC207"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A6F530B"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BD1B84C"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797F348"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B5CE96D"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673AD07"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EC1A263"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057F7654"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05EB1723"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Míra splnění</w:t>
            </w:r>
          </w:p>
        </w:tc>
      </w:tr>
      <w:tr w:rsidR="001D2F07" w:rsidRPr="00187594" w14:paraId="58D051CA"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89C67E7" w14:textId="77777777" w:rsidR="001D2F07" w:rsidRPr="00187594" w:rsidRDefault="001D2F07"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234AF5F1" w14:textId="77777777" w:rsidR="001D2F07" w:rsidRPr="00187594" w:rsidRDefault="001D2F07"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0DC9DD1F" w14:textId="77777777" w:rsidR="001D2F07" w:rsidRPr="00187594" w:rsidRDefault="001D2F07"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4349514" w14:textId="77777777" w:rsidR="001D2F07" w:rsidRPr="00187594" w:rsidRDefault="001D2F07" w:rsidP="00D30061">
            <w:pPr>
              <w:rPr>
                <w:rFonts w:ascii="Arial" w:eastAsia="Times New Roman" w:hAnsi="Arial" w:cs="Arial"/>
                <w:b/>
                <w:bCs/>
                <w:color w:val="000000"/>
                <w:sz w:val="14"/>
                <w:szCs w:val="14"/>
                <w:lang w:val="cs-CZ" w:eastAsia="cs-CZ"/>
              </w:rPr>
            </w:pP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047D730"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1F172BC0"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6F61A06"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A5137A4"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r>
      <w:tr w:rsidR="001D2F07" w:rsidRPr="00187594" w14:paraId="6FDB3A4E"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ADE8999" w14:textId="77777777" w:rsidR="001D2F07" w:rsidRPr="00187594" w:rsidRDefault="001D2F07"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56519CE7" w14:textId="77777777" w:rsidR="001D2F07" w:rsidRPr="00187594" w:rsidRDefault="001D2F07"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3FD4075" w14:textId="77777777" w:rsidR="001D2F07" w:rsidRPr="00187594" w:rsidRDefault="001D2F07"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759E899D" w14:textId="77777777" w:rsidR="001D2F07" w:rsidRPr="00187594" w:rsidRDefault="001D2F07" w:rsidP="00D30061">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5E124651" w14:textId="77777777" w:rsidR="001D2F07" w:rsidRPr="00187594" w:rsidRDefault="001D2F07" w:rsidP="00D30061">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7E207C0C"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F43C468"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5D2A0ED"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C746117"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7BD83A7"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C705E67"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DE29338"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836CAA5"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9090D28"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B4AA30E"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195E1CAA" w14:textId="77777777" w:rsidR="001D2F07" w:rsidRPr="00187594" w:rsidRDefault="001D2F07" w:rsidP="00D30061">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4A7E71A9" w14:textId="77777777" w:rsidR="001D2F07" w:rsidRPr="00187594" w:rsidRDefault="001D2F07" w:rsidP="00D30061">
            <w:pPr>
              <w:rPr>
                <w:rFonts w:ascii="Arial" w:eastAsia="Times New Roman" w:hAnsi="Arial" w:cs="Arial"/>
                <w:b/>
                <w:bCs/>
                <w:color w:val="000000"/>
                <w:sz w:val="14"/>
                <w:szCs w:val="14"/>
                <w:lang w:val="cs-CZ" w:eastAsia="cs-CZ"/>
              </w:rPr>
            </w:pPr>
          </w:p>
        </w:tc>
      </w:tr>
      <w:tr w:rsidR="001D2F07" w:rsidRPr="00187594" w14:paraId="7B603E12"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858C157" w14:textId="77777777" w:rsidR="001D2F07" w:rsidRPr="00187594" w:rsidRDefault="001D2F07"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FFDFBF4" w14:textId="77777777" w:rsidR="001D2F07" w:rsidRPr="00187594" w:rsidRDefault="001D2F07"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DB76ED9" w14:textId="77777777" w:rsidR="001D2F07" w:rsidRPr="00187594" w:rsidRDefault="001D2F07"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21243EF2" w14:textId="77777777" w:rsidR="001D2F07" w:rsidRPr="00187594" w:rsidRDefault="001D2F07" w:rsidP="00D30061">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068F81AA"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A6E0FA1"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B5A6827"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65AAA1C"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F3CDD72"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D084020"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090B9B6"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B31236E"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7290229"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B44B883"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667365B"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209D26D0"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7E6C6AA"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M</w:t>
            </w:r>
          </w:p>
        </w:tc>
      </w:tr>
      <w:tr w:rsidR="001D2F07" w:rsidRPr="00187594" w14:paraId="7B0ED499"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363A4255" w14:textId="77777777" w:rsidR="001D2F07" w:rsidRPr="00187594" w:rsidRDefault="001D2F07"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740F9237" w14:textId="77777777" w:rsidR="001D2F07" w:rsidRPr="00187594" w:rsidRDefault="001D2F07"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46931EF" w14:textId="77777777" w:rsidR="001D2F07" w:rsidRPr="00187594" w:rsidRDefault="001D2F07"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22AD4B4F" w14:textId="77777777" w:rsidR="001D2F07" w:rsidRPr="00187594" w:rsidRDefault="001D2F07" w:rsidP="00D30061">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6D2ED2FD"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8612414"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1B1E9F6"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1693BEA"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D2C46AB"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69FE39E"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EEBE18A"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A384D5C"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CFCC7A5"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883DD48"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5CCF2EB"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940" w:type="dxa"/>
            <w:tcBorders>
              <w:top w:val="nil"/>
              <w:left w:val="nil"/>
              <w:bottom w:val="single" w:sz="4" w:space="0" w:color="auto"/>
              <w:right w:val="single" w:sz="4" w:space="0" w:color="auto"/>
            </w:tcBorders>
            <w:shd w:val="clear" w:color="000000" w:fill="FFFFFF"/>
            <w:vAlign w:val="center"/>
            <w:hideMark/>
          </w:tcPr>
          <w:p w14:paraId="428FDA18"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3AE9174" w14:textId="77777777" w:rsidR="001D2F07" w:rsidRPr="00187594" w:rsidRDefault="001D2F07" w:rsidP="00D30061">
            <w:pPr>
              <w:jc w:val="center"/>
              <w:rPr>
                <w:rFonts w:ascii="Arial" w:eastAsia="Times New Roman" w:hAnsi="Arial" w:cs="Arial"/>
                <w:b/>
                <w:bCs/>
                <w:color w:val="000000"/>
                <w:sz w:val="14"/>
                <w:szCs w:val="14"/>
                <w:lang w:val="cs-CZ" w:eastAsia="cs-CZ"/>
              </w:rPr>
            </w:pPr>
            <w:r w:rsidRPr="00187594">
              <w:rPr>
                <w:rFonts w:ascii="Arial" w:eastAsia="Times New Roman" w:hAnsi="Arial" w:cs="Arial"/>
                <w:b/>
                <w:bCs/>
                <w:color w:val="000000"/>
                <w:sz w:val="14"/>
                <w:szCs w:val="14"/>
                <w:lang w:val="cs-CZ" w:eastAsia="cs-CZ"/>
              </w:rPr>
              <w:t>Ž</w:t>
            </w:r>
          </w:p>
        </w:tc>
      </w:tr>
      <w:tr w:rsidR="001D2F07" w:rsidRPr="00187594" w14:paraId="50AFF5C9"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02FEDA09"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50001</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5FF46D7"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Kapacita podporovaných zařízení péče o děti nebo vzdělávacích zařízení</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2D4D6918"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0DC59707"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703F9F8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3 526,000</w:t>
            </w:r>
          </w:p>
        </w:tc>
        <w:tc>
          <w:tcPr>
            <w:tcW w:w="880" w:type="dxa"/>
            <w:tcBorders>
              <w:top w:val="nil"/>
              <w:left w:val="nil"/>
              <w:bottom w:val="nil"/>
              <w:right w:val="single" w:sz="4" w:space="0" w:color="auto"/>
            </w:tcBorders>
            <w:shd w:val="clear" w:color="auto" w:fill="auto"/>
            <w:vAlign w:val="center"/>
            <w:hideMark/>
          </w:tcPr>
          <w:p w14:paraId="53D8C8A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E96FB4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1336EC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3 042,000</w:t>
            </w:r>
          </w:p>
        </w:tc>
        <w:tc>
          <w:tcPr>
            <w:tcW w:w="880" w:type="dxa"/>
            <w:tcBorders>
              <w:top w:val="nil"/>
              <w:left w:val="nil"/>
              <w:bottom w:val="nil"/>
              <w:right w:val="single" w:sz="4" w:space="0" w:color="auto"/>
            </w:tcBorders>
            <w:shd w:val="clear" w:color="auto" w:fill="auto"/>
            <w:vAlign w:val="center"/>
            <w:hideMark/>
          </w:tcPr>
          <w:p w14:paraId="6D2D657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5 832,000</w:t>
            </w:r>
          </w:p>
        </w:tc>
        <w:tc>
          <w:tcPr>
            <w:tcW w:w="880" w:type="dxa"/>
            <w:tcBorders>
              <w:top w:val="nil"/>
              <w:left w:val="nil"/>
              <w:bottom w:val="nil"/>
              <w:right w:val="single" w:sz="4" w:space="0" w:color="auto"/>
            </w:tcBorders>
            <w:shd w:val="clear" w:color="auto" w:fill="auto"/>
            <w:vAlign w:val="center"/>
            <w:hideMark/>
          </w:tcPr>
          <w:p w14:paraId="01996CC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4 916,000</w:t>
            </w:r>
          </w:p>
        </w:tc>
        <w:tc>
          <w:tcPr>
            <w:tcW w:w="880" w:type="dxa"/>
            <w:tcBorders>
              <w:top w:val="nil"/>
              <w:left w:val="nil"/>
              <w:bottom w:val="nil"/>
              <w:right w:val="single" w:sz="4" w:space="0" w:color="auto"/>
            </w:tcBorders>
            <w:shd w:val="clear" w:color="auto" w:fill="auto"/>
            <w:vAlign w:val="center"/>
            <w:hideMark/>
          </w:tcPr>
          <w:p w14:paraId="75EEE82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6 764,800</w:t>
            </w:r>
          </w:p>
        </w:tc>
        <w:tc>
          <w:tcPr>
            <w:tcW w:w="880" w:type="dxa"/>
            <w:tcBorders>
              <w:top w:val="nil"/>
              <w:left w:val="nil"/>
              <w:bottom w:val="nil"/>
              <w:right w:val="single" w:sz="4" w:space="0" w:color="auto"/>
            </w:tcBorders>
            <w:shd w:val="clear" w:color="auto" w:fill="auto"/>
            <w:vAlign w:val="center"/>
            <w:hideMark/>
          </w:tcPr>
          <w:p w14:paraId="694C320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B27F51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6F3005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361339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630613B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20 554,800</w:t>
            </w:r>
          </w:p>
        </w:tc>
        <w:tc>
          <w:tcPr>
            <w:tcW w:w="880" w:type="dxa"/>
            <w:tcBorders>
              <w:top w:val="nil"/>
              <w:left w:val="nil"/>
              <w:bottom w:val="nil"/>
              <w:right w:val="single" w:sz="4" w:space="0" w:color="auto"/>
            </w:tcBorders>
            <w:shd w:val="clear" w:color="auto" w:fill="auto"/>
            <w:vAlign w:val="center"/>
            <w:hideMark/>
          </w:tcPr>
          <w:p w14:paraId="7B2EE26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582,950</w:t>
            </w:r>
          </w:p>
        </w:tc>
      </w:tr>
      <w:tr w:rsidR="001D2F07" w:rsidRPr="00187594" w14:paraId="6AEEB742"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097509BF"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6A03A32D"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897D76E"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643067E2"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00E298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5C3DD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FBD4F7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C9EC42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1D7D4E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01049E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EF4F5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6C4DB6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22143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B6DC63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D58FB3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9AAA71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2D971C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59ACB7E5"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62F94242"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F6FC24F"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D7E0C7E"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77B215A9"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5F5F71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8143EF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BC1346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03E14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5E651C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FDC628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BE004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1DBF9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4B0FC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2A9AAB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075C1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F64B2E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52F110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29543A1F"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5217A62E"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50001</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704F1251"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Kapacita podporovaných zařízení péče o děti nebo vzdělávacích zařízení</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247EA4F0"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298A5A3D"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3BB4A1D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474,000</w:t>
            </w:r>
          </w:p>
        </w:tc>
        <w:tc>
          <w:tcPr>
            <w:tcW w:w="880" w:type="dxa"/>
            <w:tcBorders>
              <w:top w:val="nil"/>
              <w:left w:val="nil"/>
              <w:bottom w:val="single" w:sz="4" w:space="0" w:color="auto"/>
              <w:right w:val="single" w:sz="4" w:space="0" w:color="auto"/>
            </w:tcBorders>
            <w:shd w:val="clear" w:color="auto" w:fill="auto"/>
            <w:vAlign w:val="center"/>
            <w:hideMark/>
          </w:tcPr>
          <w:p w14:paraId="1BB17A1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2A68F8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ADD754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693,000</w:t>
            </w:r>
          </w:p>
        </w:tc>
        <w:tc>
          <w:tcPr>
            <w:tcW w:w="880" w:type="dxa"/>
            <w:tcBorders>
              <w:top w:val="nil"/>
              <w:left w:val="nil"/>
              <w:bottom w:val="single" w:sz="4" w:space="0" w:color="auto"/>
              <w:right w:val="single" w:sz="4" w:space="0" w:color="auto"/>
            </w:tcBorders>
            <w:shd w:val="clear" w:color="auto" w:fill="auto"/>
            <w:vAlign w:val="center"/>
            <w:hideMark/>
          </w:tcPr>
          <w:p w14:paraId="2CE8FDF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515,000</w:t>
            </w:r>
          </w:p>
        </w:tc>
        <w:tc>
          <w:tcPr>
            <w:tcW w:w="880" w:type="dxa"/>
            <w:tcBorders>
              <w:top w:val="nil"/>
              <w:left w:val="nil"/>
              <w:bottom w:val="single" w:sz="4" w:space="0" w:color="auto"/>
              <w:right w:val="single" w:sz="4" w:space="0" w:color="auto"/>
            </w:tcBorders>
            <w:shd w:val="clear" w:color="auto" w:fill="auto"/>
            <w:vAlign w:val="center"/>
            <w:hideMark/>
          </w:tcPr>
          <w:p w14:paraId="016396B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1 027,000</w:t>
            </w:r>
          </w:p>
        </w:tc>
        <w:tc>
          <w:tcPr>
            <w:tcW w:w="880" w:type="dxa"/>
            <w:tcBorders>
              <w:top w:val="nil"/>
              <w:left w:val="nil"/>
              <w:bottom w:val="single" w:sz="4" w:space="0" w:color="auto"/>
              <w:right w:val="single" w:sz="4" w:space="0" w:color="auto"/>
            </w:tcBorders>
            <w:shd w:val="clear" w:color="auto" w:fill="auto"/>
            <w:vAlign w:val="center"/>
            <w:hideMark/>
          </w:tcPr>
          <w:p w14:paraId="6498D35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1 442,000</w:t>
            </w:r>
          </w:p>
        </w:tc>
        <w:tc>
          <w:tcPr>
            <w:tcW w:w="880" w:type="dxa"/>
            <w:tcBorders>
              <w:top w:val="nil"/>
              <w:left w:val="nil"/>
              <w:bottom w:val="single" w:sz="4" w:space="0" w:color="auto"/>
              <w:right w:val="single" w:sz="4" w:space="0" w:color="auto"/>
            </w:tcBorders>
            <w:shd w:val="clear" w:color="auto" w:fill="auto"/>
            <w:vAlign w:val="center"/>
            <w:hideMark/>
          </w:tcPr>
          <w:p w14:paraId="55F0EF5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1C065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92C615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9E4A3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219258D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3 677,000</w:t>
            </w:r>
          </w:p>
        </w:tc>
        <w:tc>
          <w:tcPr>
            <w:tcW w:w="880" w:type="dxa"/>
            <w:tcBorders>
              <w:top w:val="nil"/>
              <w:left w:val="nil"/>
              <w:bottom w:val="single" w:sz="4" w:space="0" w:color="auto"/>
              <w:right w:val="single" w:sz="4" w:space="0" w:color="auto"/>
            </w:tcBorders>
            <w:shd w:val="clear" w:color="auto" w:fill="auto"/>
            <w:vAlign w:val="center"/>
            <w:hideMark/>
          </w:tcPr>
          <w:p w14:paraId="06669AF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775,738</w:t>
            </w:r>
          </w:p>
        </w:tc>
      </w:tr>
      <w:tr w:rsidR="001D2F07" w:rsidRPr="00187594" w14:paraId="42751C3A"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1F466DD0"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6BEF8107"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E35D9C9"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2F0D1C1"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7BABBBD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531CE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896B8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BEE825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0C1AB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693AF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07EBD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EECC2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1BC1F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4ED4F5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F08927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6E6E5D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0C85C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6DBAE852"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21C8BD81"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D1ACEF0"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78819531"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E4567FF"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7B36A6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05667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F39429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2BC86C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8A632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0B464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09413F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CDF1F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C7B24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0DF2D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02A787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85CADA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67E7E2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4AC93C4D"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366F94B1"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50100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71A80A5D"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Počet podpořených zařízení péče o děti předškolního věku</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56A2773D"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Zařízení</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31C536E7"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75D80A4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294,000</w:t>
            </w:r>
          </w:p>
        </w:tc>
        <w:tc>
          <w:tcPr>
            <w:tcW w:w="880" w:type="dxa"/>
            <w:tcBorders>
              <w:top w:val="nil"/>
              <w:left w:val="nil"/>
              <w:bottom w:val="single" w:sz="4" w:space="0" w:color="auto"/>
              <w:right w:val="single" w:sz="4" w:space="0" w:color="auto"/>
            </w:tcBorders>
            <w:shd w:val="clear" w:color="auto" w:fill="auto"/>
            <w:vAlign w:val="center"/>
            <w:hideMark/>
          </w:tcPr>
          <w:p w14:paraId="7C0FB8E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236930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2B2295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204,000</w:t>
            </w:r>
          </w:p>
        </w:tc>
        <w:tc>
          <w:tcPr>
            <w:tcW w:w="880" w:type="dxa"/>
            <w:tcBorders>
              <w:top w:val="nil"/>
              <w:left w:val="nil"/>
              <w:bottom w:val="single" w:sz="4" w:space="0" w:color="auto"/>
              <w:right w:val="single" w:sz="4" w:space="0" w:color="auto"/>
            </w:tcBorders>
            <w:shd w:val="clear" w:color="auto" w:fill="auto"/>
            <w:vAlign w:val="center"/>
            <w:hideMark/>
          </w:tcPr>
          <w:p w14:paraId="07E7B26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210,000</w:t>
            </w:r>
          </w:p>
        </w:tc>
        <w:tc>
          <w:tcPr>
            <w:tcW w:w="880" w:type="dxa"/>
            <w:tcBorders>
              <w:top w:val="nil"/>
              <w:left w:val="nil"/>
              <w:bottom w:val="single" w:sz="4" w:space="0" w:color="auto"/>
              <w:right w:val="single" w:sz="4" w:space="0" w:color="auto"/>
            </w:tcBorders>
            <w:shd w:val="clear" w:color="auto" w:fill="auto"/>
            <w:vAlign w:val="center"/>
            <w:hideMark/>
          </w:tcPr>
          <w:p w14:paraId="5EB3660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700,000</w:t>
            </w:r>
          </w:p>
        </w:tc>
        <w:tc>
          <w:tcPr>
            <w:tcW w:w="880" w:type="dxa"/>
            <w:tcBorders>
              <w:top w:val="nil"/>
              <w:left w:val="nil"/>
              <w:bottom w:val="single" w:sz="4" w:space="0" w:color="auto"/>
              <w:right w:val="single" w:sz="4" w:space="0" w:color="auto"/>
            </w:tcBorders>
            <w:shd w:val="clear" w:color="auto" w:fill="auto"/>
            <w:vAlign w:val="center"/>
            <w:hideMark/>
          </w:tcPr>
          <w:p w14:paraId="235D6271" w14:textId="20CB4EF9" w:rsidR="001D2F07" w:rsidRPr="00187594" w:rsidRDefault="007A22BB" w:rsidP="00233C24">
            <w:pPr>
              <w:jc w:val="right"/>
              <w:rPr>
                <w:rFonts w:ascii="Arial" w:eastAsia="Times New Roman" w:hAnsi="Arial" w:cs="Arial"/>
                <w:color w:val="000000"/>
                <w:sz w:val="14"/>
                <w:szCs w:val="14"/>
                <w:lang w:val="cs-CZ" w:eastAsia="cs-CZ"/>
              </w:rPr>
            </w:pPr>
            <w:r>
              <w:rPr>
                <w:rFonts w:ascii="Arial" w:eastAsia="Times New Roman" w:hAnsi="Arial" w:cs="Arial"/>
                <w:color w:val="000000"/>
                <w:sz w:val="14"/>
                <w:szCs w:val="14"/>
                <w:lang w:val="cs-CZ" w:eastAsia="cs-CZ"/>
              </w:rPr>
              <w:t>186</w:t>
            </w:r>
            <w:r w:rsidR="001D2F07" w:rsidRPr="00187594">
              <w:rPr>
                <w:rFonts w:ascii="Arial" w:eastAsia="Times New Roman" w:hAnsi="Arial" w:cs="Arial"/>
                <w:color w:val="000000"/>
                <w:sz w:val="14"/>
                <w:szCs w:val="14"/>
                <w:lang w:val="cs-CZ" w:eastAsia="cs-CZ"/>
              </w:rPr>
              <w:t>,000</w:t>
            </w:r>
          </w:p>
        </w:tc>
        <w:tc>
          <w:tcPr>
            <w:tcW w:w="880" w:type="dxa"/>
            <w:tcBorders>
              <w:top w:val="nil"/>
              <w:left w:val="nil"/>
              <w:bottom w:val="single" w:sz="4" w:space="0" w:color="auto"/>
              <w:right w:val="single" w:sz="4" w:space="0" w:color="auto"/>
            </w:tcBorders>
            <w:shd w:val="clear" w:color="auto" w:fill="auto"/>
            <w:vAlign w:val="center"/>
            <w:hideMark/>
          </w:tcPr>
          <w:p w14:paraId="5096592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2E6E75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F44C01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8A8FB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DB768DF" w14:textId="68C6307C" w:rsidR="001D2F07" w:rsidRPr="00187594" w:rsidRDefault="00BE0A23" w:rsidP="00D30061">
            <w:pPr>
              <w:jc w:val="right"/>
              <w:rPr>
                <w:rFonts w:ascii="Arial" w:eastAsia="Times New Roman" w:hAnsi="Arial" w:cs="Arial"/>
                <w:color w:val="000000"/>
                <w:sz w:val="14"/>
                <w:szCs w:val="14"/>
                <w:lang w:val="cs-CZ" w:eastAsia="cs-CZ"/>
              </w:rPr>
            </w:pPr>
            <w:r>
              <w:rPr>
                <w:rFonts w:ascii="Arial" w:eastAsia="Times New Roman" w:hAnsi="Arial" w:cs="Arial"/>
                <w:color w:val="000000"/>
                <w:sz w:val="14"/>
                <w:szCs w:val="14"/>
                <w:lang w:val="cs-CZ" w:eastAsia="cs-CZ"/>
              </w:rPr>
              <w:t>1 300</w:t>
            </w:r>
            <w:r w:rsidR="001D2F07" w:rsidRPr="00187594">
              <w:rPr>
                <w:rFonts w:ascii="Arial" w:eastAsia="Times New Roman" w:hAnsi="Arial" w:cs="Arial"/>
                <w:color w:val="000000"/>
                <w:sz w:val="14"/>
                <w:szCs w:val="14"/>
                <w:lang w:val="cs-CZ" w:eastAsia="cs-CZ"/>
              </w:rPr>
              <w:t>,000</w:t>
            </w:r>
          </w:p>
        </w:tc>
        <w:tc>
          <w:tcPr>
            <w:tcW w:w="880" w:type="dxa"/>
            <w:tcBorders>
              <w:top w:val="nil"/>
              <w:left w:val="nil"/>
              <w:bottom w:val="single" w:sz="4" w:space="0" w:color="auto"/>
              <w:right w:val="single" w:sz="4" w:space="0" w:color="auto"/>
            </w:tcBorders>
            <w:shd w:val="clear" w:color="auto" w:fill="auto"/>
            <w:vAlign w:val="center"/>
            <w:hideMark/>
          </w:tcPr>
          <w:p w14:paraId="403EF85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378,912</w:t>
            </w:r>
          </w:p>
        </w:tc>
      </w:tr>
      <w:tr w:rsidR="001D2F07" w:rsidRPr="00187594" w14:paraId="63191F2F"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251B4000"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172F44D"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212FF92"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DE35676"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5578BF3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4C6C5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E5D4E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62630D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22D3A9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2CB3E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FF707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78AC90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24E905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045D6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18025A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C31BE4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5E7E1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3C1581DA"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55CE498E"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65E8B39C"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B3F5E82"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9197E37"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20BC76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EE19A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15A137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A8F41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A859D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8A636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13E39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E0E35A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2C100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F6F61F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F0D110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352EF0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FA9470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40DA2E6E"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2023512E"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50100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5EE020B"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Počet podpořených zařízení péče o děti předškolního věku</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16D1198B"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Zařízení</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6ECDB027"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63EBAD0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39,000</w:t>
            </w:r>
          </w:p>
        </w:tc>
        <w:tc>
          <w:tcPr>
            <w:tcW w:w="880" w:type="dxa"/>
            <w:tcBorders>
              <w:top w:val="nil"/>
              <w:left w:val="nil"/>
              <w:bottom w:val="single" w:sz="4" w:space="0" w:color="auto"/>
              <w:right w:val="single" w:sz="4" w:space="0" w:color="auto"/>
            </w:tcBorders>
            <w:shd w:val="clear" w:color="auto" w:fill="auto"/>
            <w:vAlign w:val="center"/>
            <w:hideMark/>
          </w:tcPr>
          <w:p w14:paraId="6359858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C64C81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15DD73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26,000</w:t>
            </w:r>
          </w:p>
        </w:tc>
        <w:tc>
          <w:tcPr>
            <w:tcW w:w="880" w:type="dxa"/>
            <w:tcBorders>
              <w:top w:val="nil"/>
              <w:left w:val="nil"/>
              <w:bottom w:val="single" w:sz="4" w:space="0" w:color="auto"/>
              <w:right w:val="single" w:sz="4" w:space="0" w:color="auto"/>
            </w:tcBorders>
            <w:shd w:val="clear" w:color="auto" w:fill="auto"/>
            <w:vAlign w:val="center"/>
            <w:hideMark/>
          </w:tcPr>
          <w:p w14:paraId="4816AC0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42,000</w:t>
            </w:r>
          </w:p>
        </w:tc>
        <w:tc>
          <w:tcPr>
            <w:tcW w:w="880" w:type="dxa"/>
            <w:tcBorders>
              <w:top w:val="nil"/>
              <w:left w:val="nil"/>
              <w:bottom w:val="single" w:sz="4" w:space="0" w:color="auto"/>
              <w:right w:val="single" w:sz="4" w:space="0" w:color="auto"/>
            </w:tcBorders>
            <w:shd w:val="clear" w:color="auto" w:fill="auto"/>
            <w:vAlign w:val="center"/>
            <w:hideMark/>
          </w:tcPr>
          <w:p w14:paraId="28D362B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113,000</w:t>
            </w:r>
          </w:p>
        </w:tc>
        <w:tc>
          <w:tcPr>
            <w:tcW w:w="880" w:type="dxa"/>
            <w:tcBorders>
              <w:top w:val="nil"/>
              <w:left w:val="nil"/>
              <w:bottom w:val="single" w:sz="4" w:space="0" w:color="auto"/>
              <w:right w:val="single" w:sz="4" w:space="0" w:color="auto"/>
            </w:tcBorders>
            <w:shd w:val="clear" w:color="auto" w:fill="auto"/>
            <w:vAlign w:val="center"/>
            <w:hideMark/>
          </w:tcPr>
          <w:p w14:paraId="507EC0D9" w14:textId="20292C0F" w:rsidR="001D2F07" w:rsidRPr="00187594" w:rsidRDefault="007A22BB" w:rsidP="00D30061">
            <w:pPr>
              <w:jc w:val="right"/>
              <w:rPr>
                <w:rFonts w:ascii="Arial" w:eastAsia="Times New Roman" w:hAnsi="Arial" w:cs="Arial"/>
                <w:color w:val="000000"/>
                <w:sz w:val="14"/>
                <w:szCs w:val="14"/>
                <w:lang w:val="cs-CZ" w:eastAsia="cs-CZ"/>
              </w:rPr>
            </w:pPr>
            <w:r>
              <w:rPr>
                <w:rFonts w:ascii="Arial" w:eastAsia="Times New Roman" w:hAnsi="Arial" w:cs="Arial"/>
                <w:color w:val="000000"/>
                <w:sz w:val="14"/>
                <w:szCs w:val="14"/>
                <w:lang w:val="cs-CZ" w:eastAsia="cs-CZ"/>
              </w:rPr>
              <w:t>68</w:t>
            </w:r>
            <w:r w:rsidR="001D2F07" w:rsidRPr="00187594">
              <w:rPr>
                <w:rFonts w:ascii="Arial" w:eastAsia="Times New Roman" w:hAnsi="Arial" w:cs="Arial"/>
                <w:color w:val="000000"/>
                <w:sz w:val="14"/>
                <w:szCs w:val="14"/>
                <w:lang w:val="cs-CZ" w:eastAsia="cs-CZ"/>
              </w:rPr>
              <w:t>,000</w:t>
            </w:r>
          </w:p>
        </w:tc>
        <w:tc>
          <w:tcPr>
            <w:tcW w:w="880" w:type="dxa"/>
            <w:tcBorders>
              <w:top w:val="nil"/>
              <w:left w:val="nil"/>
              <w:bottom w:val="single" w:sz="4" w:space="0" w:color="auto"/>
              <w:right w:val="single" w:sz="4" w:space="0" w:color="auto"/>
            </w:tcBorders>
            <w:shd w:val="clear" w:color="auto" w:fill="auto"/>
            <w:vAlign w:val="center"/>
            <w:hideMark/>
          </w:tcPr>
          <w:p w14:paraId="29B931C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0B77D2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A4A180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8918A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1841437" w14:textId="4CDE8700" w:rsidR="001D2F07" w:rsidRPr="00187594" w:rsidRDefault="00BE0A23" w:rsidP="00D30061">
            <w:pPr>
              <w:jc w:val="right"/>
              <w:rPr>
                <w:rFonts w:ascii="Arial" w:eastAsia="Times New Roman" w:hAnsi="Arial" w:cs="Arial"/>
                <w:color w:val="000000"/>
                <w:sz w:val="14"/>
                <w:szCs w:val="14"/>
                <w:lang w:val="cs-CZ" w:eastAsia="cs-CZ"/>
              </w:rPr>
            </w:pPr>
            <w:r>
              <w:rPr>
                <w:rFonts w:ascii="Arial" w:eastAsia="Times New Roman" w:hAnsi="Arial" w:cs="Arial"/>
                <w:color w:val="000000"/>
                <w:sz w:val="14"/>
                <w:szCs w:val="14"/>
                <w:lang w:val="cs-CZ" w:eastAsia="cs-CZ"/>
              </w:rPr>
              <w:t>249</w:t>
            </w:r>
            <w:r w:rsidR="001D2F07" w:rsidRPr="00187594">
              <w:rPr>
                <w:rFonts w:ascii="Arial" w:eastAsia="Times New Roman" w:hAnsi="Arial" w:cs="Arial"/>
                <w:color w:val="000000"/>
                <w:sz w:val="14"/>
                <w:szCs w:val="14"/>
                <w:lang w:val="cs-CZ" w:eastAsia="cs-CZ"/>
              </w:rPr>
              <w:t>,000</w:t>
            </w:r>
          </w:p>
        </w:tc>
        <w:tc>
          <w:tcPr>
            <w:tcW w:w="880" w:type="dxa"/>
            <w:tcBorders>
              <w:top w:val="nil"/>
              <w:left w:val="nil"/>
              <w:bottom w:val="single" w:sz="4" w:space="0" w:color="auto"/>
              <w:right w:val="single" w:sz="4" w:space="0" w:color="auto"/>
            </w:tcBorders>
            <w:shd w:val="clear" w:color="auto" w:fill="auto"/>
            <w:vAlign w:val="center"/>
            <w:hideMark/>
          </w:tcPr>
          <w:p w14:paraId="13084F6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464,103</w:t>
            </w:r>
          </w:p>
        </w:tc>
      </w:tr>
      <w:tr w:rsidR="001D2F07" w:rsidRPr="00187594" w14:paraId="2CBE7664"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0D3404E9"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1FAD150B"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E0D1BE4"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67F3CBF3"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EE4061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CB626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18AB10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0B7434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19D92F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1B5F8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2B889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F22FF0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C9FE13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C9054C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11F11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35A2D0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7D8E0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07E26B9F"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21D0979F"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5A557891"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1BFF294C"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6DFFB30"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79B42B3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FEAC17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0C95A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9D6BE1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47C46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245D4B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BFF618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4C5B9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F62A5D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68212B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149A8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C78C85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0A9A9C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25EC55D4"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144754B5"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50105</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F896D99"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Počet zaměstnavatelů, kteří podporují flexibilní formy práce</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263E4D81"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Podniky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3F301190"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321E8C4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62,000</w:t>
            </w:r>
          </w:p>
        </w:tc>
        <w:tc>
          <w:tcPr>
            <w:tcW w:w="880" w:type="dxa"/>
            <w:tcBorders>
              <w:top w:val="nil"/>
              <w:left w:val="nil"/>
              <w:bottom w:val="single" w:sz="4" w:space="0" w:color="auto"/>
              <w:right w:val="single" w:sz="4" w:space="0" w:color="auto"/>
            </w:tcBorders>
            <w:shd w:val="clear" w:color="auto" w:fill="auto"/>
            <w:vAlign w:val="center"/>
            <w:hideMark/>
          </w:tcPr>
          <w:p w14:paraId="58F8628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BE97E2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798C00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8,000</w:t>
            </w:r>
          </w:p>
        </w:tc>
        <w:tc>
          <w:tcPr>
            <w:tcW w:w="880" w:type="dxa"/>
            <w:tcBorders>
              <w:top w:val="nil"/>
              <w:left w:val="nil"/>
              <w:bottom w:val="single" w:sz="4" w:space="0" w:color="auto"/>
              <w:right w:val="single" w:sz="4" w:space="0" w:color="auto"/>
            </w:tcBorders>
            <w:shd w:val="clear" w:color="auto" w:fill="auto"/>
            <w:vAlign w:val="center"/>
            <w:hideMark/>
          </w:tcPr>
          <w:p w14:paraId="1A0CD3E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72,000</w:t>
            </w:r>
          </w:p>
        </w:tc>
        <w:tc>
          <w:tcPr>
            <w:tcW w:w="880" w:type="dxa"/>
            <w:tcBorders>
              <w:top w:val="nil"/>
              <w:left w:val="nil"/>
              <w:bottom w:val="single" w:sz="4" w:space="0" w:color="auto"/>
              <w:right w:val="single" w:sz="4" w:space="0" w:color="auto"/>
            </w:tcBorders>
            <w:shd w:val="clear" w:color="auto" w:fill="auto"/>
            <w:vAlign w:val="center"/>
            <w:hideMark/>
          </w:tcPr>
          <w:p w14:paraId="7929C6D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217,000</w:t>
            </w:r>
          </w:p>
        </w:tc>
        <w:tc>
          <w:tcPr>
            <w:tcW w:w="880" w:type="dxa"/>
            <w:tcBorders>
              <w:top w:val="nil"/>
              <w:left w:val="nil"/>
              <w:bottom w:val="single" w:sz="4" w:space="0" w:color="auto"/>
              <w:right w:val="single" w:sz="4" w:space="0" w:color="auto"/>
            </w:tcBorders>
            <w:shd w:val="clear" w:color="auto" w:fill="auto"/>
            <w:vAlign w:val="center"/>
            <w:hideMark/>
          </w:tcPr>
          <w:p w14:paraId="52BF01D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211,000</w:t>
            </w:r>
          </w:p>
        </w:tc>
        <w:tc>
          <w:tcPr>
            <w:tcW w:w="880" w:type="dxa"/>
            <w:tcBorders>
              <w:top w:val="nil"/>
              <w:left w:val="nil"/>
              <w:bottom w:val="single" w:sz="4" w:space="0" w:color="auto"/>
              <w:right w:val="single" w:sz="4" w:space="0" w:color="auto"/>
            </w:tcBorders>
            <w:shd w:val="clear" w:color="auto" w:fill="auto"/>
            <w:vAlign w:val="center"/>
            <w:hideMark/>
          </w:tcPr>
          <w:p w14:paraId="04B6BB8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44C76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6A30F2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88A5A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D46EB5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508,000</w:t>
            </w:r>
          </w:p>
        </w:tc>
        <w:tc>
          <w:tcPr>
            <w:tcW w:w="880" w:type="dxa"/>
            <w:tcBorders>
              <w:top w:val="nil"/>
              <w:left w:val="nil"/>
              <w:bottom w:val="single" w:sz="4" w:space="0" w:color="auto"/>
              <w:right w:val="single" w:sz="4" w:space="0" w:color="auto"/>
            </w:tcBorders>
            <w:shd w:val="clear" w:color="auto" w:fill="auto"/>
            <w:vAlign w:val="center"/>
            <w:hideMark/>
          </w:tcPr>
          <w:p w14:paraId="04BEC73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819,355</w:t>
            </w:r>
          </w:p>
        </w:tc>
      </w:tr>
      <w:tr w:rsidR="001D2F07" w:rsidRPr="00187594" w14:paraId="09376BE9"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76A5743D"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4693A47"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13ED81D9"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99B2352"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FA6D12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DB3F47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B5F41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60CF4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FC728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C213E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81AE7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0E5A7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0B0E48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D3C582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F0E97B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DDF7FF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23C954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51633C78"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2E337614"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745AC18"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16E7CB7F"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5767225"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C05D95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6EFD8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FFE1C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84832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A93BE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6CC03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E163AD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DC53E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8B79D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1CD2A0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6D340D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16B453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4AD89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776EB33E"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6713AE5B"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50105</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7914CAA6"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Počet zaměstnavatelů, kteří podporují flexibilní formy práce</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2DAF2A3B"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Podniky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33F3F0E0"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306C9A3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8,000</w:t>
            </w:r>
          </w:p>
        </w:tc>
        <w:tc>
          <w:tcPr>
            <w:tcW w:w="880" w:type="dxa"/>
            <w:tcBorders>
              <w:top w:val="nil"/>
              <w:left w:val="nil"/>
              <w:bottom w:val="nil"/>
              <w:right w:val="single" w:sz="4" w:space="0" w:color="auto"/>
            </w:tcBorders>
            <w:shd w:val="clear" w:color="auto" w:fill="auto"/>
            <w:vAlign w:val="center"/>
            <w:hideMark/>
          </w:tcPr>
          <w:p w14:paraId="5166005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127A57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904290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auto" w:fill="auto"/>
            <w:vAlign w:val="center"/>
            <w:hideMark/>
          </w:tcPr>
          <w:p w14:paraId="2FA737C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7,000</w:t>
            </w:r>
          </w:p>
        </w:tc>
        <w:tc>
          <w:tcPr>
            <w:tcW w:w="880" w:type="dxa"/>
            <w:tcBorders>
              <w:top w:val="nil"/>
              <w:left w:val="nil"/>
              <w:bottom w:val="nil"/>
              <w:right w:val="single" w:sz="4" w:space="0" w:color="auto"/>
            </w:tcBorders>
            <w:shd w:val="clear" w:color="auto" w:fill="auto"/>
            <w:vAlign w:val="center"/>
            <w:hideMark/>
          </w:tcPr>
          <w:p w14:paraId="3D14A54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68,000</w:t>
            </w:r>
          </w:p>
        </w:tc>
        <w:tc>
          <w:tcPr>
            <w:tcW w:w="880" w:type="dxa"/>
            <w:tcBorders>
              <w:top w:val="nil"/>
              <w:left w:val="nil"/>
              <w:bottom w:val="nil"/>
              <w:right w:val="single" w:sz="4" w:space="0" w:color="auto"/>
            </w:tcBorders>
            <w:shd w:val="clear" w:color="auto" w:fill="auto"/>
            <w:vAlign w:val="center"/>
            <w:hideMark/>
          </w:tcPr>
          <w:p w14:paraId="5C15DE5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28,000</w:t>
            </w:r>
          </w:p>
        </w:tc>
        <w:tc>
          <w:tcPr>
            <w:tcW w:w="880" w:type="dxa"/>
            <w:tcBorders>
              <w:top w:val="nil"/>
              <w:left w:val="nil"/>
              <w:bottom w:val="nil"/>
              <w:right w:val="single" w:sz="4" w:space="0" w:color="auto"/>
            </w:tcBorders>
            <w:shd w:val="clear" w:color="auto" w:fill="auto"/>
            <w:vAlign w:val="center"/>
            <w:hideMark/>
          </w:tcPr>
          <w:p w14:paraId="4DFFEDB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E4EBF0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E04131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D5D2A3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A28E65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104,000</w:t>
            </w:r>
          </w:p>
        </w:tc>
        <w:tc>
          <w:tcPr>
            <w:tcW w:w="880" w:type="dxa"/>
            <w:tcBorders>
              <w:top w:val="nil"/>
              <w:left w:val="nil"/>
              <w:bottom w:val="nil"/>
              <w:right w:val="single" w:sz="4" w:space="0" w:color="auto"/>
            </w:tcBorders>
            <w:shd w:val="clear" w:color="auto" w:fill="auto"/>
            <w:vAlign w:val="center"/>
            <w:hideMark/>
          </w:tcPr>
          <w:p w14:paraId="6E1A064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1 300,000</w:t>
            </w:r>
          </w:p>
        </w:tc>
      </w:tr>
      <w:tr w:rsidR="001D2F07" w:rsidRPr="00187594" w14:paraId="0515D16B"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6CDF443C"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C49B598"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2C8758A"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F520980"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943293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091529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21B21E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5EFB49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7EEF3D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50E79A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75D7B4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84FC99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7F6259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0CC30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A2038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76F6B1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86BA7E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1C7A1478"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310FB0B1"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1FA4055"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3882C20A"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B5AC637"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472D18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DCB53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21711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EFBBB2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A48559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40823B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4F4DF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86DF94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020E9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F7586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F0655A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111E93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72E0B7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57B4B93B"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12700355"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6E3C8F25"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244C7248"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23C9071B"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72224D3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9 169,000</w:t>
            </w:r>
          </w:p>
        </w:tc>
        <w:tc>
          <w:tcPr>
            <w:tcW w:w="880" w:type="dxa"/>
            <w:tcBorders>
              <w:top w:val="nil"/>
              <w:left w:val="nil"/>
              <w:bottom w:val="single" w:sz="4" w:space="0" w:color="auto"/>
              <w:right w:val="single" w:sz="4" w:space="0" w:color="auto"/>
            </w:tcBorders>
            <w:shd w:val="clear" w:color="auto" w:fill="auto"/>
            <w:vAlign w:val="center"/>
            <w:hideMark/>
          </w:tcPr>
          <w:p w14:paraId="28F8BF2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9C9E70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1AFCEC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1 707,000</w:t>
            </w:r>
          </w:p>
        </w:tc>
        <w:tc>
          <w:tcPr>
            <w:tcW w:w="880" w:type="dxa"/>
            <w:tcBorders>
              <w:top w:val="nil"/>
              <w:left w:val="nil"/>
              <w:bottom w:val="single" w:sz="4" w:space="0" w:color="auto"/>
              <w:right w:val="single" w:sz="4" w:space="0" w:color="auto"/>
            </w:tcBorders>
            <w:shd w:val="clear" w:color="auto" w:fill="auto"/>
            <w:vAlign w:val="center"/>
            <w:hideMark/>
          </w:tcPr>
          <w:p w14:paraId="509D8C9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13 349,000</w:t>
            </w:r>
          </w:p>
        </w:tc>
        <w:tc>
          <w:tcPr>
            <w:tcW w:w="880" w:type="dxa"/>
            <w:tcBorders>
              <w:top w:val="nil"/>
              <w:left w:val="nil"/>
              <w:bottom w:val="single" w:sz="4" w:space="0" w:color="auto"/>
              <w:right w:val="single" w:sz="4" w:space="0" w:color="auto"/>
            </w:tcBorders>
            <w:shd w:val="clear" w:color="auto" w:fill="auto"/>
            <w:vAlign w:val="center"/>
            <w:hideMark/>
          </w:tcPr>
          <w:p w14:paraId="4726D82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18 085,000</w:t>
            </w:r>
          </w:p>
        </w:tc>
        <w:tc>
          <w:tcPr>
            <w:tcW w:w="880" w:type="dxa"/>
            <w:tcBorders>
              <w:top w:val="nil"/>
              <w:left w:val="nil"/>
              <w:bottom w:val="single" w:sz="4" w:space="0" w:color="auto"/>
              <w:right w:val="single" w:sz="4" w:space="0" w:color="auto"/>
            </w:tcBorders>
            <w:shd w:val="clear" w:color="auto" w:fill="auto"/>
            <w:vAlign w:val="center"/>
            <w:hideMark/>
          </w:tcPr>
          <w:p w14:paraId="383ECDC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14 820,000</w:t>
            </w:r>
          </w:p>
        </w:tc>
        <w:tc>
          <w:tcPr>
            <w:tcW w:w="880" w:type="dxa"/>
            <w:tcBorders>
              <w:top w:val="nil"/>
              <w:left w:val="nil"/>
              <w:bottom w:val="single" w:sz="4" w:space="0" w:color="auto"/>
              <w:right w:val="single" w:sz="4" w:space="0" w:color="auto"/>
            </w:tcBorders>
            <w:shd w:val="clear" w:color="auto" w:fill="auto"/>
            <w:vAlign w:val="center"/>
            <w:hideMark/>
          </w:tcPr>
          <w:p w14:paraId="5C68DF9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E56D30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3EAF40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A0C91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E4F970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47 961,000</w:t>
            </w:r>
          </w:p>
        </w:tc>
        <w:tc>
          <w:tcPr>
            <w:tcW w:w="880" w:type="dxa"/>
            <w:tcBorders>
              <w:top w:val="nil"/>
              <w:left w:val="nil"/>
              <w:bottom w:val="single" w:sz="4" w:space="0" w:color="auto"/>
              <w:right w:val="single" w:sz="4" w:space="0" w:color="auto"/>
            </w:tcBorders>
            <w:shd w:val="clear" w:color="auto" w:fill="auto"/>
            <w:vAlign w:val="center"/>
            <w:hideMark/>
          </w:tcPr>
          <w:p w14:paraId="0E61C44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523,078</w:t>
            </w:r>
          </w:p>
        </w:tc>
      </w:tr>
      <w:tr w:rsidR="001D2F07" w:rsidRPr="00187594" w14:paraId="0218D3C9"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4B32DE8E"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7990CA6B"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2B26D19"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210263B"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5097909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192743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A81B59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D1FC6C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734,000</w:t>
            </w:r>
          </w:p>
        </w:tc>
        <w:tc>
          <w:tcPr>
            <w:tcW w:w="880" w:type="dxa"/>
            <w:tcBorders>
              <w:top w:val="nil"/>
              <w:left w:val="nil"/>
              <w:bottom w:val="single" w:sz="4" w:space="0" w:color="auto"/>
              <w:right w:val="single" w:sz="4" w:space="0" w:color="auto"/>
            </w:tcBorders>
            <w:shd w:val="clear" w:color="auto" w:fill="auto"/>
            <w:vAlign w:val="center"/>
            <w:hideMark/>
          </w:tcPr>
          <w:p w14:paraId="771AB71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4 149,000</w:t>
            </w:r>
          </w:p>
        </w:tc>
        <w:tc>
          <w:tcPr>
            <w:tcW w:w="880" w:type="dxa"/>
            <w:tcBorders>
              <w:top w:val="nil"/>
              <w:left w:val="nil"/>
              <w:bottom w:val="single" w:sz="4" w:space="0" w:color="auto"/>
              <w:right w:val="single" w:sz="4" w:space="0" w:color="auto"/>
            </w:tcBorders>
            <w:shd w:val="clear" w:color="auto" w:fill="auto"/>
            <w:vAlign w:val="center"/>
            <w:hideMark/>
          </w:tcPr>
          <w:p w14:paraId="56EE905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5 888,000</w:t>
            </w:r>
          </w:p>
        </w:tc>
        <w:tc>
          <w:tcPr>
            <w:tcW w:w="880" w:type="dxa"/>
            <w:tcBorders>
              <w:top w:val="nil"/>
              <w:left w:val="nil"/>
              <w:bottom w:val="single" w:sz="4" w:space="0" w:color="auto"/>
              <w:right w:val="single" w:sz="4" w:space="0" w:color="auto"/>
            </w:tcBorders>
            <w:shd w:val="clear" w:color="auto" w:fill="auto"/>
            <w:vAlign w:val="center"/>
            <w:hideMark/>
          </w:tcPr>
          <w:p w14:paraId="1924799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5 597,000</w:t>
            </w:r>
          </w:p>
        </w:tc>
        <w:tc>
          <w:tcPr>
            <w:tcW w:w="880" w:type="dxa"/>
            <w:tcBorders>
              <w:top w:val="nil"/>
              <w:left w:val="nil"/>
              <w:bottom w:val="single" w:sz="4" w:space="0" w:color="auto"/>
              <w:right w:val="single" w:sz="4" w:space="0" w:color="auto"/>
            </w:tcBorders>
            <w:shd w:val="clear" w:color="auto" w:fill="auto"/>
            <w:vAlign w:val="center"/>
            <w:hideMark/>
          </w:tcPr>
          <w:p w14:paraId="2758F50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ABD450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0E8A9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AE89E2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907EDF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16 368,000</w:t>
            </w:r>
          </w:p>
        </w:tc>
        <w:tc>
          <w:tcPr>
            <w:tcW w:w="880" w:type="dxa"/>
            <w:tcBorders>
              <w:top w:val="nil"/>
              <w:left w:val="nil"/>
              <w:bottom w:val="single" w:sz="4" w:space="0" w:color="auto"/>
              <w:right w:val="single" w:sz="4" w:space="0" w:color="auto"/>
            </w:tcBorders>
            <w:shd w:val="clear" w:color="auto" w:fill="auto"/>
            <w:vAlign w:val="center"/>
            <w:hideMark/>
          </w:tcPr>
          <w:p w14:paraId="20413EF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r>
      <w:tr w:rsidR="001D2F07" w:rsidRPr="00187594" w14:paraId="2CB3A260"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0D8181E4"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3C60C054"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66BF1F58"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4D226216"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B19CE2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8 340,000</w:t>
            </w:r>
          </w:p>
        </w:tc>
        <w:tc>
          <w:tcPr>
            <w:tcW w:w="880" w:type="dxa"/>
            <w:tcBorders>
              <w:top w:val="nil"/>
              <w:left w:val="nil"/>
              <w:bottom w:val="single" w:sz="4" w:space="0" w:color="auto"/>
              <w:right w:val="single" w:sz="4" w:space="0" w:color="auto"/>
            </w:tcBorders>
            <w:shd w:val="clear" w:color="auto" w:fill="auto"/>
            <w:vAlign w:val="center"/>
            <w:hideMark/>
          </w:tcPr>
          <w:p w14:paraId="6806275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F206D3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A0B397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973,000</w:t>
            </w:r>
          </w:p>
        </w:tc>
        <w:tc>
          <w:tcPr>
            <w:tcW w:w="880" w:type="dxa"/>
            <w:tcBorders>
              <w:top w:val="nil"/>
              <w:left w:val="nil"/>
              <w:bottom w:val="single" w:sz="4" w:space="0" w:color="auto"/>
              <w:right w:val="single" w:sz="4" w:space="0" w:color="auto"/>
            </w:tcBorders>
            <w:shd w:val="clear" w:color="auto" w:fill="auto"/>
            <w:vAlign w:val="center"/>
            <w:hideMark/>
          </w:tcPr>
          <w:p w14:paraId="0BA94E1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9 200,000</w:t>
            </w:r>
          </w:p>
        </w:tc>
        <w:tc>
          <w:tcPr>
            <w:tcW w:w="880" w:type="dxa"/>
            <w:tcBorders>
              <w:top w:val="nil"/>
              <w:left w:val="nil"/>
              <w:bottom w:val="single" w:sz="4" w:space="0" w:color="auto"/>
              <w:right w:val="single" w:sz="4" w:space="0" w:color="auto"/>
            </w:tcBorders>
            <w:shd w:val="clear" w:color="auto" w:fill="auto"/>
            <w:vAlign w:val="center"/>
            <w:hideMark/>
          </w:tcPr>
          <w:p w14:paraId="7924E45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12 197,000</w:t>
            </w:r>
          </w:p>
        </w:tc>
        <w:tc>
          <w:tcPr>
            <w:tcW w:w="880" w:type="dxa"/>
            <w:tcBorders>
              <w:top w:val="nil"/>
              <w:left w:val="nil"/>
              <w:bottom w:val="single" w:sz="4" w:space="0" w:color="auto"/>
              <w:right w:val="single" w:sz="4" w:space="0" w:color="auto"/>
            </w:tcBorders>
            <w:shd w:val="clear" w:color="auto" w:fill="auto"/>
            <w:vAlign w:val="center"/>
            <w:hideMark/>
          </w:tcPr>
          <w:p w14:paraId="1758318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9 223,000</w:t>
            </w:r>
          </w:p>
        </w:tc>
        <w:tc>
          <w:tcPr>
            <w:tcW w:w="880" w:type="dxa"/>
            <w:tcBorders>
              <w:top w:val="nil"/>
              <w:left w:val="nil"/>
              <w:bottom w:val="single" w:sz="4" w:space="0" w:color="auto"/>
              <w:right w:val="single" w:sz="4" w:space="0" w:color="auto"/>
            </w:tcBorders>
            <w:shd w:val="clear" w:color="auto" w:fill="auto"/>
            <w:vAlign w:val="center"/>
            <w:hideMark/>
          </w:tcPr>
          <w:p w14:paraId="2D71A93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7494C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F7C067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11907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0DF579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31 593,000</w:t>
            </w:r>
          </w:p>
        </w:tc>
        <w:tc>
          <w:tcPr>
            <w:tcW w:w="880" w:type="dxa"/>
            <w:tcBorders>
              <w:top w:val="nil"/>
              <w:left w:val="nil"/>
              <w:bottom w:val="single" w:sz="4" w:space="0" w:color="auto"/>
              <w:right w:val="single" w:sz="4" w:space="0" w:color="auto"/>
            </w:tcBorders>
            <w:shd w:val="clear" w:color="auto" w:fill="auto"/>
            <w:vAlign w:val="center"/>
            <w:hideMark/>
          </w:tcPr>
          <w:p w14:paraId="7330A84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378,813</w:t>
            </w:r>
          </w:p>
        </w:tc>
      </w:tr>
      <w:tr w:rsidR="001D2F07" w:rsidRPr="00187594" w14:paraId="7FE53AAD"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026911EC"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13E1446F"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440B048F"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75BAAF33"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15E01BC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1 231,000</w:t>
            </w:r>
          </w:p>
        </w:tc>
        <w:tc>
          <w:tcPr>
            <w:tcW w:w="880" w:type="dxa"/>
            <w:tcBorders>
              <w:top w:val="nil"/>
              <w:left w:val="nil"/>
              <w:bottom w:val="single" w:sz="4" w:space="0" w:color="auto"/>
              <w:right w:val="single" w:sz="4" w:space="0" w:color="auto"/>
            </w:tcBorders>
            <w:shd w:val="clear" w:color="auto" w:fill="auto"/>
            <w:vAlign w:val="center"/>
            <w:hideMark/>
          </w:tcPr>
          <w:p w14:paraId="5196A2F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AF7D43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095626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367,000</w:t>
            </w:r>
          </w:p>
        </w:tc>
        <w:tc>
          <w:tcPr>
            <w:tcW w:w="880" w:type="dxa"/>
            <w:tcBorders>
              <w:top w:val="nil"/>
              <w:left w:val="nil"/>
              <w:bottom w:val="single" w:sz="4" w:space="0" w:color="auto"/>
              <w:right w:val="single" w:sz="4" w:space="0" w:color="auto"/>
            </w:tcBorders>
            <w:shd w:val="clear" w:color="auto" w:fill="auto"/>
            <w:vAlign w:val="center"/>
            <w:hideMark/>
          </w:tcPr>
          <w:p w14:paraId="6DECDF2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1 998,000</w:t>
            </w:r>
          </w:p>
        </w:tc>
        <w:tc>
          <w:tcPr>
            <w:tcW w:w="880" w:type="dxa"/>
            <w:tcBorders>
              <w:top w:val="nil"/>
              <w:left w:val="nil"/>
              <w:bottom w:val="single" w:sz="4" w:space="0" w:color="auto"/>
              <w:right w:val="single" w:sz="4" w:space="0" w:color="auto"/>
            </w:tcBorders>
            <w:shd w:val="clear" w:color="auto" w:fill="auto"/>
            <w:vAlign w:val="center"/>
            <w:hideMark/>
          </w:tcPr>
          <w:p w14:paraId="333913C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2 325,000</w:t>
            </w:r>
          </w:p>
        </w:tc>
        <w:tc>
          <w:tcPr>
            <w:tcW w:w="880" w:type="dxa"/>
            <w:tcBorders>
              <w:top w:val="nil"/>
              <w:left w:val="nil"/>
              <w:bottom w:val="single" w:sz="4" w:space="0" w:color="auto"/>
              <w:right w:val="single" w:sz="4" w:space="0" w:color="auto"/>
            </w:tcBorders>
            <w:shd w:val="clear" w:color="auto" w:fill="auto"/>
            <w:vAlign w:val="center"/>
            <w:hideMark/>
          </w:tcPr>
          <w:p w14:paraId="2FB7F5C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2 099,000</w:t>
            </w:r>
          </w:p>
        </w:tc>
        <w:tc>
          <w:tcPr>
            <w:tcW w:w="880" w:type="dxa"/>
            <w:tcBorders>
              <w:top w:val="nil"/>
              <w:left w:val="nil"/>
              <w:bottom w:val="single" w:sz="4" w:space="0" w:color="auto"/>
              <w:right w:val="single" w:sz="4" w:space="0" w:color="auto"/>
            </w:tcBorders>
            <w:shd w:val="clear" w:color="auto" w:fill="auto"/>
            <w:vAlign w:val="center"/>
            <w:hideMark/>
          </w:tcPr>
          <w:p w14:paraId="3F5CE09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218A2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6BEC17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F10689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3884BF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6 789,000</w:t>
            </w:r>
          </w:p>
        </w:tc>
        <w:tc>
          <w:tcPr>
            <w:tcW w:w="880" w:type="dxa"/>
            <w:tcBorders>
              <w:top w:val="nil"/>
              <w:left w:val="nil"/>
              <w:bottom w:val="single" w:sz="4" w:space="0" w:color="auto"/>
              <w:right w:val="single" w:sz="4" w:space="0" w:color="auto"/>
            </w:tcBorders>
            <w:shd w:val="clear" w:color="auto" w:fill="auto"/>
            <w:vAlign w:val="center"/>
            <w:hideMark/>
          </w:tcPr>
          <w:p w14:paraId="2ED6C23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551,503</w:t>
            </w:r>
          </w:p>
        </w:tc>
      </w:tr>
      <w:tr w:rsidR="001D2F07" w:rsidRPr="00187594" w14:paraId="21B95316"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1808ED5F"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98705FE"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3BFDA8C1"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D3FD8E5"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570886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92EC97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2F49EF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D8372C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158,000</w:t>
            </w:r>
          </w:p>
        </w:tc>
        <w:tc>
          <w:tcPr>
            <w:tcW w:w="880" w:type="dxa"/>
            <w:tcBorders>
              <w:top w:val="nil"/>
              <w:left w:val="nil"/>
              <w:bottom w:val="single" w:sz="4" w:space="0" w:color="auto"/>
              <w:right w:val="single" w:sz="4" w:space="0" w:color="auto"/>
            </w:tcBorders>
            <w:shd w:val="clear" w:color="auto" w:fill="auto"/>
            <w:vAlign w:val="center"/>
            <w:hideMark/>
          </w:tcPr>
          <w:p w14:paraId="36D6F83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608,000</w:t>
            </w:r>
          </w:p>
        </w:tc>
        <w:tc>
          <w:tcPr>
            <w:tcW w:w="880" w:type="dxa"/>
            <w:tcBorders>
              <w:top w:val="nil"/>
              <w:left w:val="nil"/>
              <w:bottom w:val="single" w:sz="4" w:space="0" w:color="auto"/>
              <w:right w:val="single" w:sz="4" w:space="0" w:color="auto"/>
            </w:tcBorders>
            <w:shd w:val="clear" w:color="auto" w:fill="auto"/>
            <w:vAlign w:val="center"/>
            <w:hideMark/>
          </w:tcPr>
          <w:p w14:paraId="6FFE12B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644,000</w:t>
            </w:r>
          </w:p>
        </w:tc>
        <w:tc>
          <w:tcPr>
            <w:tcW w:w="880" w:type="dxa"/>
            <w:tcBorders>
              <w:top w:val="nil"/>
              <w:left w:val="nil"/>
              <w:bottom w:val="single" w:sz="4" w:space="0" w:color="auto"/>
              <w:right w:val="single" w:sz="4" w:space="0" w:color="auto"/>
            </w:tcBorders>
            <w:shd w:val="clear" w:color="auto" w:fill="auto"/>
            <w:vAlign w:val="center"/>
            <w:hideMark/>
          </w:tcPr>
          <w:p w14:paraId="0120555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929,000</w:t>
            </w:r>
          </w:p>
        </w:tc>
        <w:tc>
          <w:tcPr>
            <w:tcW w:w="880" w:type="dxa"/>
            <w:tcBorders>
              <w:top w:val="nil"/>
              <w:left w:val="nil"/>
              <w:bottom w:val="single" w:sz="4" w:space="0" w:color="auto"/>
              <w:right w:val="single" w:sz="4" w:space="0" w:color="auto"/>
            </w:tcBorders>
            <w:shd w:val="clear" w:color="auto" w:fill="auto"/>
            <w:vAlign w:val="center"/>
            <w:hideMark/>
          </w:tcPr>
          <w:p w14:paraId="50779FD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3BA06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861FB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E7B3FB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9491F7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2 339,000</w:t>
            </w:r>
          </w:p>
        </w:tc>
        <w:tc>
          <w:tcPr>
            <w:tcW w:w="880" w:type="dxa"/>
            <w:tcBorders>
              <w:top w:val="nil"/>
              <w:left w:val="nil"/>
              <w:bottom w:val="single" w:sz="4" w:space="0" w:color="auto"/>
              <w:right w:val="single" w:sz="4" w:space="0" w:color="auto"/>
            </w:tcBorders>
            <w:shd w:val="clear" w:color="auto" w:fill="auto"/>
            <w:vAlign w:val="center"/>
            <w:hideMark/>
          </w:tcPr>
          <w:p w14:paraId="1548B7A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r>
      <w:tr w:rsidR="001D2F07" w:rsidRPr="00187594" w14:paraId="6728D6BE"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5DB5444A"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E09A7CC"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376F994"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6516CA6"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CC1D38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1 120,000</w:t>
            </w:r>
          </w:p>
        </w:tc>
        <w:tc>
          <w:tcPr>
            <w:tcW w:w="880" w:type="dxa"/>
            <w:tcBorders>
              <w:top w:val="nil"/>
              <w:left w:val="nil"/>
              <w:bottom w:val="single" w:sz="4" w:space="0" w:color="auto"/>
              <w:right w:val="single" w:sz="4" w:space="0" w:color="auto"/>
            </w:tcBorders>
            <w:shd w:val="clear" w:color="auto" w:fill="auto"/>
            <w:vAlign w:val="center"/>
            <w:hideMark/>
          </w:tcPr>
          <w:p w14:paraId="52DCB6D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860076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70A34A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209,000</w:t>
            </w:r>
          </w:p>
        </w:tc>
        <w:tc>
          <w:tcPr>
            <w:tcW w:w="880" w:type="dxa"/>
            <w:tcBorders>
              <w:top w:val="nil"/>
              <w:left w:val="nil"/>
              <w:bottom w:val="single" w:sz="4" w:space="0" w:color="auto"/>
              <w:right w:val="single" w:sz="4" w:space="0" w:color="auto"/>
            </w:tcBorders>
            <w:shd w:val="clear" w:color="auto" w:fill="auto"/>
            <w:vAlign w:val="center"/>
            <w:hideMark/>
          </w:tcPr>
          <w:p w14:paraId="7D92799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1 390,000</w:t>
            </w:r>
          </w:p>
        </w:tc>
        <w:tc>
          <w:tcPr>
            <w:tcW w:w="880" w:type="dxa"/>
            <w:tcBorders>
              <w:top w:val="nil"/>
              <w:left w:val="nil"/>
              <w:bottom w:val="single" w:sz="4" w:space="0" w:color="auto"/>
              <w:right w:val="single" w:sz="4" w:space="0" w:color="auto"/>
            </w:tcBorders>
            <w:shd w:val="clear" w:color="auto" w:fill="auto"/>
            <w:vAlign w:val="center"/>
            <w:hideMark/>
          </w:tcPr>
          <w:p w14:paraId="774F023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1 681,000</w:t>
            </w:r>
          </w:p>
        </w:tc>
        <w:tc>
          <w:tcPr>
            <w:tcW w:w="880" w:type="dxa"/>
            <w:tcBorders>
              <w:top w:val="nil"/>
              <w:left w:val="nil"/>
              <w:bottom w:val="single" w:sz="4" w:space="0" w:color="auto"/>
              <w:right w:val="single" w:sz="4" w:space="0" w:color="auto"/>
            </w:tcBorders>
            <w:shd w:val="clear" w:color="auto" w:fill="auto"/>
            <w:vAlign w:val="center"/>
            <w:hideMark/>
          </w:tcPr>
          <w:p w14:paraId="2D152E6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1 170,000</w:t>
            </w:r>
          </w:p>
        </w:tc>
        <w:tc>
          <w:tcPr>
            <w:tcW w:w="880" w:type="dxa"/>
            <w:tcBorders>
              <w:top w:val="nil"/>
              <w:left w:val="nil"/>
              <w:bottom w:val="single" w:sz="4" w:space="0" w:color="auto"/>
              <w:right w:val="single" w:sz="4" w:space="0" w:color="auto"/>
            </w:tcBorders>
            <w:shd w:val="clear" w:color="auto" w:fill="auto"/>
            <w:vAlign w:val="center"/>
            <w:hideMark/>
          </w:tcPr>
          <w:p w14:paraId="20A3173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BD757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E51093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DB3D6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6D04C2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4 450,000</w:t>
            </w:r>
          </w:p>
        </w:tc>
        <w:tc>
          <w:tcPr>
            <w:tcW w:w="880" w:type="dxa"/>
            <w:tcBorders>
              <w:top w:val="nil"/>
              <w:left w:val="nil"/>
              <w:bottom w:val="single" w:sz="4" w:space="0" w:color="auto"/>
              <w:right w:val="single" w:sz="4" w:space="0" w:color="auto"/>
            </w:tcBorders>
            <w:shd w:val="clear" w:color="auto" w:fill="auto"/>
            <w:vAlign w:val="center"/>
            <w:hideMark/>
          </w:tcPr>
          <w:p w14:paraId="6006279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397,321</w:t>
            </w:r>
          </w:p>
        </w:tc>
      </w:tr>
      <w:tr w:rsidR="001D2F07" w:rsidRPr="00187594" w14:paraId="2DA5242A" w14:textId="77777777" w:rsidTr="00736418">
        <w:trPr>
          <w:trHeight w:hRule="exact" w:val="284"/>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24C31489"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6AF7999E"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37CD3809"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56EB9200"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264CF6F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31,000</w:t>
            </w:r>
          </w:p>
        </w:tc>
        <w:tc>
          <w:tcPr>
            <w:tcW w:w="880" w:type="dxa"/>
            <w:tcBorders>
              <w:top w:val="nil"/>
              <w:left w:val="nil"/>
              <w:bottom w:val="single" w:sz="4" w:space="0" w:color="auto"/>
              <w:right w:val="single" w:sz="4" w:space="0" w:color="auto"/>
            </w:tcBorders>
            <w:shd w:val="clear" w:color="auto" w:fill="auto"/>
            <w:vAlign w:val="center"/>
            <w:hideMark/>
          </w:tcPr>
          <w:p w14:paraId="71AA7FC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4F5A5C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EE68A8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D5C595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19,893</w:t>
            </w:r>
          </w:p>
        </w:tc>
        <w:tc>
          <w:tcPr>
            <w:tcW w:w="880" w:type="dxa"/>
            <w:tcBorders>
              <w:top w:val="nil"/>
              <w:left w:val="nil"/>
              <w:bottom w:val="single" w:sz="4" w:space="0" w:color="auto"/>
              <w:right w:val="single" w:sz="4" w:space="0" w:color="auto"/>
            </w:tcBorders>
            <w:shd w:val="clear" w:color="auto" w:fill="auto"/>
            <w:vAlign w:val="center"/>
            <w:hideMark/>
          </w:tcPr>
          <w:p w14:paraId="5ADB6C3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177,020</w:t>
            </w:r>
          </w:p>
        </w:tc>
        <w:tc>
          <w:tcPr>
            <w:tcW w:w="880" w:type="dxa"/>
            <w:tcBorders>
              <w:top w:val="nil"/>
              <w:left w:val="nil"/>
              <w:bottom w:val="single" w:sz="4" w:space="0" w:color="auto"/>
              <w:right w:val="single" w:sz="4" w:space="0" w:color="auto"/>
            </w:tcBorders>
            <w:shd w:val="clear" w:color="auto" w:fill="auto"/>
            <w:vAlign w:val="center"/>
            <w:hideMark/>
          </w:tcPr>
          <w:p w14:paraId="2ED25FB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99,520</w:t>
            </w:r>
          </w:p>
        </w:tc>
        <w:tc>
          <w:tcPr>
            <w:tcW w:w="880" w:type="dxa"/>
            <w:tcBorders>
              <w:top w:val="nil"/>
              <w:left w:val="nil"/>
              <w:bottom w:val="single" w:sz="4" w:space="0" w:color="auto"/>
              <w:right w:val="single" w:sz="4" w:space="0" w:color="auto"/>
            </w:tcBorders>
            <w:shd w:val="clear" w:color="auto" w:fill="auto"/>
            <w:vAlign w:val="center"/>
            <w:hideMark/>
          </w:tcPr>
          <w:p w14:paraId="57AE564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631C6F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AB3A1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E052F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DDB493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296,433</w:t>
            </w:r>
          </w:p>
        </w:tc>
        <w:tc>
          <w:tcPr>
            <w:tcW w:w="880" w:type="dxa"/>
            <w:tcBorders>
              <w:top w:val="nil"/>
              <w:left w:val="nil"/>
              <w:bottom w:val="single" w:sz="4" w:space="0" w:color="auto"/>
              <w:right w:val="single" w:sz="4" w:space="0" w:color="auto"/>
            </w:tcBorders>
            <w:shd w:val="clear" w:color="auto" w:fill="auto"/>
            <w:vAlign w:val="center"/>
            <w:hideMark/>
          </w:tcPr>
          <w:p w14:paraId="7095608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956,235</w:t>
            </w:r>
          </w:p>
        </w:tc>
      </w:tr>
      <w:tr w:rsidR="001D2F07" w:rsidRPr="00187594" w14:paraId="4CFB7D5F"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33692252"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63566D11"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05A317BF"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CD2A372"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7D53AF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42B99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D6BCB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133AD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DC4E29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5363D7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CDF9F2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9EA184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4B2259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159354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65D9E5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090364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7E8D3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6D3A1BB1"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670586FE"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5A18A42D"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7E5F2D62"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45CFD0B"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E644CF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8E95B8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B68FB9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587EC5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A830A2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28F1E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DD5EBAF"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BF899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90D563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B1746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5CAF63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653BC2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565CB6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5A345543" w14:textId="77777777" w:rsidTr="00736418">
        <w:trPr>
          <w:trHeight w:hRule="exact" w:val="284"/>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6945423F"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210B48ED"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48F95E00"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2197FECB" w14:textId="77777777" w:rsidR="001D2F07" w:rsidRPr="00187594" w:rsidRDefault="001D2F07" w:rsidP="00D30061">
            <w:pPr>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5F166E9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4,000</w:t>
            </w:r>
          </w:p>
        </w:tc>
        <w:tc>
          <w:tcPr>
            <w:tcW w:w="880" w:type="dxa"/>
            <w:tcBorders>
              <w:top w:val="nil"/>
              <w:left w:val="nil"/>
              <w:bottom w:val="single" w:sz="4" w:space="0" w:color="auto"/>
              <w:right w:val="single" w:sz="4" w:space="0" w:color="auto"/>
            </w:tcBorders>
            <w:shd w:val="clear" w:color="auto" w:fill="auto"/>
            <w:vAlign w:val="center"/>
            <w:hideMark/>
          </w:tcPr>
          <w:p w14:paraId="7A9D5D3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20DCFF7"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6EFE73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C85CA1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1,110</w:t>
            </w:r>
          </w:p>
        </w:tc>
        <w:tc>
          <w:tcPr>
            <w:tcW w:w="880" w:type="dxa"/>
            <w:tcBorders>
              <w:top w:val="nil"/>
              <w:left w:val="nil"/>
              <w:bottom w:val="single" w:sz="4" w:space="0" w:color="auto"/>
              <w:right w:val="single" w:sz="4" w:space="0" w:color="auto"/>
            </w:tcBorders>
            <w:shd w:val="clear" w:color="auto" w:fill="auto"/>
            <w:vAlign w:val="center"/>
            <w:hideMark/>
          </w:tcPr>
          <w:p w14:paraId="53A71CD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58,000</w:t>
            </w:r>
          </w:p>
        </w:tc>
        <w:tc>
          <w:tcPr>
            <w:tcW w:w="880" w:type="dxa"/>
            <w:tcBorders>
              <w:top w:val="nil"/>
              <w:left w:val="nil"/>
              <w:bottom w:val="single" w:sz="4" w:space="0" w:color="auto"/>
              <w:right w:val="single" w:sz="4" w:space="0" w:color="auto"/>
            </w:tcBorders>
            <w:shd w:val="clear" w:color="auto" w:fill="auto"/>
            <w:vAlign w:val="center"/>
            <w:hideMark/>
          </w:tcPr>
          <w:p w14:paraId="4D0B26D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10,460</w:t>
            </w:r>
          </w:p>
        </w:tc>
        <w:tc>
          <w:tcPr>
            <w:tcW w:w="880" w:type="dxa"/>
            <w:tcBorders>
              <w:top w:val="nil"/>
              <w:left w:val="nil"/>
              <w:bottom w:val="single" w:sz="4" w:space="0" w:color="auto"/>
              <w:right w:val="single" w:sz="4" w:space="0" w:color="auto"/>
            </w:tcBorders>
            <w:shd w:val="clear" w:color="auto" w:fill="auto"/>
            <w:vAlign w:val="center"/>
            <w:hideMark/>
          </w:tcPr>
          <w:p w14:paraId="3FDD2CA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3066E11"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8B93786"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493F61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B554F43"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69,570</w:t>
            </w:r>
          </w:p>
        </w:tc>
        <w:tc>
          <w:tcPr>
            <w:tcW w:w="880" w:type="dxa"/>
            <w:tcBorders>
              <w:top w:val="nil"/>
              <w:left w:val="nil"/>
              <w:bottom w:val="single" w:sz="4" w:space="0" w:color="auto"/>
              <w:right w:val="single" w:sz="4" w:space="0" w:color="auto"/>
            </w:tcBorders>
            <w:shd w:val="clear" w:color="auto" w:fill="auto"/>
            <w:vAlign w:val="center"/>
            <w:hideMark/>
          </w:tcPr>
          <w:p w14:paraId="52CE94E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1 739,250</w:t>
            </w:r>
          </w:p>
        </w:tc>
      </w:tr>
      <w:tr w:rsidR="001D2F07" w:rsidRPr="00187594" w14:paraId="2263D367"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24B7CD46"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3A4AB96B"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FB8002E"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0EBDB66"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34CA71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B3827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A1BA6C"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2797FE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A2B888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212F7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B27618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0D4EB1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34B4E3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042F55"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988ED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9ABD7F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88279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r w:rsidR="001D2F07" w:rsidRPr="00187594" w14:paraId="0CA359DC"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6AB1E072" w14:textId="77777777" w:rsidR="001D2F07" w:rsidRPr="00187594" w:rsidRDefault="001D2F07"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4FC60F0" w14:textId="77777777" w:rsidR="001D2F07" w:rsidRPr="00187594" w:rsidRDefault="001D2F07"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11FA3C4" w14:textId="77777777" w:rsidR="001D2F07" w:rsidRPr="00187594" w:rsidRDefault="001D2F07"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5DA621B" w14:textId="77777777" w:rsidR="001D2F07" w:rsidRPr="00187594" w:rsidRDefault="001D2F07"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5F27FB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1AB4D9"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298BE1A"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C1BA0B"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B0B269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5D44C9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C8B1F9D"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0488CF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A5401A0"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3CF0534"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80790EE"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54FC9A8"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0F83202" w14:textId="77777777" w:rsidR="001D2F07" w:rsidRPr="00187594" w:rsidRDefault="001D2F07" w:rsidP="00D30061">
            <w:pPr>
              <w:jc w:val="right"/>
              <w:rPr>
                <w:rFonts w:ascii="Arial" w:eastAsia="Times New Roman" w:hAnsi="Arial" w:cs="Arial"/>
                <w:color w:val="000000"/>
                <w:sz w:val="14"/>
                <w:szCs w:val="14"/>
                <w:lang w:val="cs-CZ" w:eastAsia="cs-CZ"/>
              </w:rPr>
            </w:pPr>
            <w:r w:rsidRPr="00187594">
              <w:rPr>
                <w:rFonts w:ascii="Arial" w:eastAsia="Times New Roman" w:hAnsi="Arial" w:cs="Arial"/>
                <w:color w:val="000000"/>
                <w:sz w:val="14"/>
                <w:szCs w:val="14"/>
                <w:lang w:val="cs-CZ" w:eastAsia="cs-CZ"/>
              </w:rPr>
              <w:t> </w:t>
            </w:r>
          </w:p>
        </w:tc>
      </w:tr>
    </w:tbl>
    <w:p w14:paraId="11BECB46" w14:textId="77777777" w:rsidR="00342859" w:rsidRPr="002F2BE4" w:rsidRDefault="00342859" w:rsidP="009E49E6">
      <w:pPr>
        <w:ind w:right="108"/>
        <w:jc w:val="both"/>
        <w:rPr>
          <w:rFonts w:ascii="Arial" w:eastAsia="Arial" w:hAnsi="Arial" w:cs="Arial"/>
          <w:color w:val="000000"/>
          <w:sz w:val="20"/>
          <w:lang w:val="cs-CZ"/>
        </w:rPr>
      </w:pPr>
    </w:p>
    <w:p w14:paraId="37E9CAB3" w14:textId="37FF4AF3"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03.1.52 Pomoc pracovníkům, podnikům a podnikatelům přizpůsobovat se změnám</w:t>
      </w:r>
    </w:p>
    <w:tbl>
      <w:tblPr>
        <w:tblW w:w="15800" w:type="dxa"/>
        <w:tblInd w:w="75" w:type="dxa"/>
        <w:tblCellMar>
          <w:left w:w="70" w:type="dxa"/>
          <w:right w:w="70" w:type="dxa"/>
        </w:tblCellMar>
        <w:tblLook w:val="04A0" w:firstRow="1" w:lastRow="0" w:firstColumn="1" w:lastColumn="0" w:noHBand="0" w:noVBand="1"/>
      </w:tblPr>
      <w:tblGrid>
        <w:gridCol w:w="637"/>
        <w:gridCol w:w="1800"/>
        <w:gridCol w:w="849"/>
        <w:gridCol w:w="977"/>
        <w:gridCol w:w="915"/>
        <w:gridCol w:w="874"/>
        <w:gridCol w:w="874"/>
        <w:gridCol w:w="874"/>
        <w:gridCol w:w="875"/>
        <w:gridCol w:w="875"/>
        <w:gridCol w:w="875"/>
        <w:gridCol w:w="874"/>
        <w:gridCol w:w="874"/>
        <w:gridCol w:w="874"/>
        <w:gridCol w:w="874"/>
        <w:gridCol w:w="1004"/>
        <w:gridCol w:w="875"/>
      </w:tblGrid>
      <w:tr w:rsidR="00D30061" w:rsidRPr="00D30061" w14:paraId="6B89A058" w14:textId="77777777" w:rsidTr="00D30061">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0F600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E44C4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A4F282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9C4D46F"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Kategorie regionu (je-li relevantní)</w:t>
            </w:r>
          </w:p>
        </w:tc>
        <w:tc>
          <w:tcPr>
            <w:tcW w:w="920" w:type="dxa"/>
            <w:tcBorders>
              <w:top w:val="single" w:sz="4" w:space="0" w:color="auto"/>
              <w:left w:val="nil"/>
              <w:bottom w:val="nil"/>
              <w:right w:val="single" w:sz="4" w:space="0" w:color="auto"/>
            </w:tcBorders>
            <w:shd w:val="clear" w:color="000000" w:fill="FFFFFF"/>
            <w:vAlign w:val="center"/>
            <w:hideMark/>
          </w:tcPr>
          <w:p w14:paraId="4F1685D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E1A131A"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95B9F8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B045BD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143C70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03750C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522B81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FFCFD01"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783077A"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8C28D51"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AB42687"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1C36FB8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045C7F3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Míra splnění</w:t>
            </w:r>
          </w:p>
        </w:tc>
      </w:tr>
      <w:tr w:rsidR="00D30061" w:rsidRPr="00D30061" w14:paraId="2FA689B1"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9D94CBA"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40613FAE"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DD4D452"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8E22D07" w14:textId="77777777" w:rsidR="00D30061" w:rsidRPr="00D30061" w:rsidRDefault="00D30061" w:rsidP="00D30061">
            <w:pPr>
              <w:rPr>
                <w:rFonts w:ascii="Arial" w:eastAsia="Times New Roman" w:hAnsi="Arial" w:cs="Arial"/>
                <w:b/>
                <w:bCs/>
                <w:color w:val="000000"/>
                <w:sz w:val="14"/>
                <w:szCs w:val="14"/>
                <w:lang w:val="cs-CZ" w:eastAsia="cs-CZ"/>
              </w:rPr>
            </w:pPr>
          </w:p>
        </w:tc>
        <w:tc>
          <w:tcPr>
            <w:tcW w:w="9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7E613E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10972F4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FDC23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C1152E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r>
      <w:tr w:rsidR="00D30061" w:rsidRPr="00D30061" w14:paraId="0D28B743"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2FD04FF"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5FB57F3B"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0DED70B"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FECAE52" w14:textId="77777777" w:rsidR="00D30061" w:rsidRPr="00D30061" w:rsidRDefault="00D30061" w:rsidP="00D30061">
            <w:pPr>
              <w:rPr>
                <w:rFonts w:ascii="Arial" w:eastAsia="Times New Roman" w:hAnsi="Arial" w:cs="Arial"/>
                <w:b/>
                <w:bCs/>
                <w:color w:val="000000"/>
                <w:sz w:val="14"/>
                <w:szCs w:val="14"/>
                <w:lang w:val="cs-CZ" w:eastAsia="cs-CZ"/>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05E833CB"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3817A87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EA6E67F"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3E58D5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86C68DE"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2000F2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752F50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48E287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CB335C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223A16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BF40BD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3C780B81"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645E351E" w14:textId="77777777" w:rsidR="00D30061" w:rsidRPr="00D30061" w:rsidRDefault="00D30061" w:rsidP="00D30061">
            <w:pPr>
              <w:rPr>
                <w:rFonts w:ascii="Arial" w:eastAsia="Times New Roman" w:hAnsi="Arial" w:cs="Arial"/>
                <w:b/>
                <w:bCs/>
                <w:color w:val="000000"/>
                <w:sz w:val="14"/>
                <w:szCs w:val="14"/>
                <w:lang w:val="cs-CZ" w:eastAsia="cs-CZ"/>
              </w:rPr>
            </w:pPr>
          </w:p>
        </w:tc>
      </w:tr>
      <w:tr w:rsidR="00D30061" w:rsidRPr="00D30061" w14:paraId="3FA11F79"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E0B4660"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4197C431"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764E5441"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36033441" w14:textId="77777777" w:rsidR="00D30061" w:rsidRPr="00D30061" w:rsidRDefault="00D30061" w:rsidP="00D30061">
            <w:pPr>
              <w:rPr>
                <w:rFonts w:ascii="Arial" w:eastAsia="Times New Roman" w:hAnsi="Arial" w:cs="Arial"/>
                <w:b/>
                <w:bCs/>
                <w:color w:val="000000"/>
                <w:sz w:val="14"/>
                <w:szCs w:val="14"/>
                <w:lang w:val="cs-CZ" w:eastAsia="cs-CZ"/>
              </w:rPr>
            </w:pPr>
          </w:p>
        </w:tc>
        <w:tc>
          <w:tcPr>
            <w:tcW w:w="920" w:type="dxa"/>
            <w:tcBorders>
              <w:top w:val="nil"/>
              <w:left w:val="nil"/>
              <w:bottom w:val="single" w:sz="4" w:space="0" w:color="auto"/>
              <w:right w:val="single" w:sz="4" w:space="0" w:color="auto"/>
            </w:tcBorders>
            <w:shd w:val="clear" w:color="000000" w:fill="FFFFFF"/>
            <w:vAlign w:val="center"/>
            <w:hideMark/>
          </w:tcPr>
          <w:p w14:paraId="33F8782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E26688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283EBC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9F87BF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CB7C02A"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054068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28AC827"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12D3D9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FA1616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D22EDF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00FB0B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54FC093E"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3FB6D6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r>
      <w:tr w:rsidR="00D30061" w:rsidRPr="00D30061" w14:paraId="7152E33E"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34145FE"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1A26DD5E"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0072C8C"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E44E90E" w14:textId="77777777" w:rsidR="00D30061" w:rsidRPr="00D30061" w:rsidRDefault="00D30061" w:rsidP="00D30061">
            <w:pPr>
              <w:rPr>
                <w:rFonts w:ascii="Arial" w:eastAsia="Times New Roman" w:hAnsi="Arial" w:cs="Arial"/>
                <w:b/>
                <w:bCs/>
                <w:color w:val="000000"/>
                <w:sz w:val="14"/>
                <w:szCs w:val="14"/>
                <w:lang w:val="cs-CZ" w:eastAsia="cs-CZ"/>
              </w:rPr>
            </w:pPr>
          </w:p>
        </w:tc>
        <w:tc>
          <w:tcPr>
            <w:tcW w:w="920" w:type="dxa"/>
            <w:tcBorders>
              <w:top w:val="nil"/>
              <w:left w:val="nil"/>
              <w:bottom w:val="single" w:sz="4" w:space="0" w:color="auto"/>
              <w:right w:val="single" w:sz="4" w:space="0" w:color="auto"/>
            </w:tcBorders>
            <w:shd w:val="clear" w:color="000000" w:fill="FFFFFF"/>
            <w:vAlign w:val="center"/>
            <w:hideMark/>
          </w:tcPr>
          <w:p w14:paraId="04AD6AA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BE1FEE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7FBF8FE"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88C20C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2D18F5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C73CBE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163111A"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093C94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09E1A9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C6ECC41"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19E925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940" w:type="dxa"/>
            <w:tcBorders>
              <w:top w:val="nil"/>
              <w:left w:val="nil"/>
              <w:bottom w:val="single" w:sz="4" w:space="0" w:color="auto"/>
              <w:right w:val="single" w:sz="4" w:space="0" w:color="auto"/>
            </w:tcBorders>
            <w:shd w:val="clear" w:color="000000" w:fill="FFFFFF"/>
            <w:vAlign w:val="center"/>
            <w:hideMark/>
          </w:tcPr>
          <w:p w14:paraId="2B60B3FA"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7E5434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r>
      <w:tr w:rsidR="00D30061" w:rsidRPr="00D30061" w14:paraId="56D6A9B4" w14:textId="77777777" w:rsidTr="00D30061">
        <w:trPr>
          <w:trHeight w:val="360"/>
        </w:trPr>
        <w:tc>
          <w:tcPr>
            <w:tcW w:w="6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E4A34F"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4559C2D3"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93EA2D"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8B8BCE"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920" w:type="dxa"/>
            <w:tcBorders>
              <w:top w:val="nil"/>
              <w:left w:val="nil"/>
              <w:bottom w:val="single" w:sz="4" w:space="0" w:color="auto"/>
              <w:right w:val="single" w:sz="4" w:space="0" w:color="auto"/>
            </w:tcBorders>
            <w:shd w:val="clear" w:color="000000" w:fill="FFFFFF"/>
            <w:vAlign w:val="center"/>
            <w:hideMark/>
          </w:tcPr>
          <w:p w14:paraId="6C7F0DF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141 752,000</w:t>
            </w:r>
          </w:p>
        </w:tc>
        <w:tc>
          <w:tcPr>
            <w:tcW w:w="880" w:type="dxa"/>
            <w:tcBorders>
              <w:top w:val="nil"/>
              <w:left w:val="nil"/>
              <w:bottom w:val="single" w:sz="4" w:space="0" w:color="auto"/>
              <w:right w:val="single" w:sz="4" w:space="0" w:color="auto"/>
            </w:tcBorders>
            <w:shd w:val="clear" w:color="000000" w:fill="FFFFFF"/>
            <w:vAlign w:val="center"/>
            <w:hideMark/>
          </w:tcPr>
          <w:p w14:paraId="6146A18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6DB097A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2AB7D8E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6A092F4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6 448,000</w:t>
            </w:r>
          </w:p>
        </w:tc>
        <w:tc>
          <w:tcPr>
            <w:tcW w:w="880" w:type="dxa"/>
            <w:tcBorders>
              <w:top w:val="nil"/>
              <w:left w:val="nil"/>
              <w:bottom w:val="single" w:sz="4" w:space="0" w:color="auto"/>
              <w:right w:val="single" w:sz="4" w:space="0" w:color="auto"/>
            </w:tcBorders>
            <w:shd w:val="clear" w:color="000000" w:fill="FFFFFF"/>
            <w:vAlign w:val="center"/>
            <w:hideMark/>
          </w:tcPr>
          <w:p w14:paraId="7D68497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42 507,000</w:t>
            </w:r>
          </w:p>
        </w:tc>
        <w:tc>
          <w:tcPr>
            <w:tcW w:w="880" w:type="dxa"/>
            <w:tcBorders>
              <w:top w:val="nil"/>
              <w:left w:val="nil"/>
              <w:bottom w:val="single" w:sz="4" w:space="0" w:color="auto"/>
              <w:right w:val="single" w:sz="4" w:space="0" w:color="auto"/>
            </w:tcBorders>
            <w:shd w:val="clear" w:color="000000" w:fill="FFFFFF"/>
            <w:vAlign w:val="center"/>
            <w:hideMark/>
          </w:tcPr>
          <w:p w14:paraId="24D7C97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34 315,000</w:t>
            </w:r>
          </w:p>
        </w:tc>
        <w:tc>
          <w:tcPr>
            <w:tcW w:w="880" w:type="dxa"/>
            <w:tcBorders>
              <w:top w:val="nil"/>
              <w:left w:val="nil"/>
              <w:bottom w:val="single" w:sz="4" w:space="0" w:color="auto"/>
              <w:right w:val="single" w:sz="4" w:space="0" w:color="auto"/>
            </w:tcBorders>
            <w:shd w:val="clear" w:color="000000" w:fill="FFFFFF"/>
            <w:vAlign w:val="center"/>
            <w:hideMark/>
          </w:tcPr>
          <w:p w14:paraId="0559266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82362D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0946E2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952E56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C365C7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83 270,000</w:t>
            </w:r>
          </w:p>
        </w:tc>
        <w:tc>
          <w:tcPr>
            <w:tcW w:w="880" w:type="dxa"/>
            <w:tcBorders>
              <w:top w:val="nil"/>
              <w:left w:val="nil"/>
              <w:bottom w:val="single" w:sz="4" w:space="0" w:color="auto"/>
              <w:right w:val="single" w:sz="4" w:space="0" w:color="auto"/>
            </w:tcBorders>
            <w:shd w:val="clear" w:color="000000" w:fill="FFFFFF"/>
            <w:vAlign w:val="center"/>
            <w:hideMark/>
          </w:tcPr>
          <w:p w14:paraId="7C86B4E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58,743</w:t>
            </w:r>
          </w:p>
        </w:tc>
      </w:tr>
      <w:tr w:rsidR="00D30061" w:rsidRPr="00D30061" w14:paraId="358314AA" w14:textId="77777777" w:rsidTr="00D30061">
        <w:trPr>
          <w:trHeight w:val="230"/>
        </w:trPr>
        <w:tc>
          <w:tcPr>
            <w:tcW w:w="640" w:type="dxa"/>
            <w:vMerge/>
            <w:tcBorders>
              <w:top w:val="nil"/>
              <w:left w:val="single" w:sz="4" w:space="0" w:color="auto"/>
              <w:bottom w:val="single" w:sz="4" w:space="0" w:color="auto"/>
              <w:right w:val="single" w:sz="4" w:space="0" w:color="auto"/>
            </w:tcBorders>
            <w:vAlign w:val="center"/>
            <w:hideMark/>
          </w:tcPr>
          <w:p w14:paraId="0439499E"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4C9E31B"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701A38D4"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9031BCC" w14:textId="77777777" w:rsidR="00D30061" w:rsidRPr="00D30061" w:rsidRDefault="00D30061" w:rsidP="00D30061">
            <w:pPr>
              <w:rPr>
                <w:rFonts w:ascii="Arial" w:eastAsia="Times New Roman" w:hAnsi="Arial" w:cs="Arial"/>
                <w:color w:val="000000"/>
                <w:sz w:val="14"/>
                <w:szCs w:val="14"/>
                <w:lang w:val="cs-CZ" w:eastAsia="cs-CZ"/>
              </w:rPr>
            </w:pPr>
          </w:p>
        </w:tc>
        <w:tc>
          <w:tcPr>
            <w:tcW w:w="920" w:type="dxa"/>
            <w:tcBorders>
              <w:top w:val="nil"/>
              <w:left w:val="nil"/>
              <w:bottom w:val="single" w:sz="4" w:space="0" w:color="auto"/>
              <w:right w:val="single" w:sz="4" w:space="0" w:color="auto"/>
            </w:tcBorders>
            <w:shd w:val="clear" w:color="000000" w:fill="FFFFFF"/>
            <w:vAlign w:val="center"/>
            <w:hideMark/>
          </w:tcPr>
          <w:p w14:paraId="474E217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hideMark/>
          </w:tcPr>
          <w:p w14:paraId="1B66F9E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hideMark/>
          </w:tcPr>
          <w:p w14:paraId="588E99D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hideMark/>
          </w:tcPr>
          <w:p w14:paraId="71B0B56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hideMark/>
          </w:tcPr>
          <w:p w14:paraId="232C2AA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3 659,000</w:t>
            </w:r>
          </w:p>
        </w:tc>
        <w:tc>
          <w:tcPr>
            <w:tcW w:w="880" w:type="dxa"/>
            <w:tcBorders>
              <w:top w:val="nil"/>
              <w:left w:val="nil"/>
              <w:bottom w:val="single" w:sz="4" w:space="0" w:color="auto"/>
              <w:right w:val="single" w:sz="4" w:space="0" w:color="auto"/>
            </w:tcBorders>
            <w:shd w:val="clear" w:color="auto" w:fill="auto"/>
            <w:vAlign w:val="center"/>
            <w:hideMark/>
          </w:tcPr>
          <w:p w14:paraId="706C1FD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27 687,000</w:t>
            </w:r>
          </w:p>
        </w:tc>
        <w:tc>
          <w:tcPr>
            <w:tcW w:w="880" w:type="dxa"/>
            <w:tcBorders>
              <w:top w:val="nil"/>
              <w:left w:val="nil"/>
              <w:bottom w:val="single" w:sz="4" w:space="0" w:color="auto"/>
              <w:right w:val="single" w:sz="4" w:space="0" w:color="auto"/>
            </w:tcBorders>
            <w:shd w:val="clear" w:color="000000" w:fill="FFFFFF"/>
            <w:vAlign w:val="center"/>
            <w:hideMark/>
          </w:tcPr>
          <w:p w14:paraId="7F0EE55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21 705,000</w:t>
            </w:r>
          </w:p>
        </w:tc>
        <w:tc>
          <w:tcPr>
            <w:tcW w:w="880" w:type="dxa"/>
            <w:tcBorders>
              <w:top w:val="nil"/>
              <w:left w:val="nil"/>
              <w:bottom w:val="single" w:sz="4" w:space="0" w:color="auto"/>
              <w:right w:val="single" w:sz="4" w:space="0" w:color="auto"/>
            </w:tcBorders>
            <w:shd w:val="clear" w:color="000000" w:fill="FFFFFF"/>
            <w:vAlign w:val="center"/>
            <w:hideMark/>
          </w:tcPr>
          <w:p w14:paraId="7980C08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B66BC0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F475EC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00C187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B145A9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53 051,000</w:t>
            </w:r>
          </w:p>
        </w:tc>
        <w:tc>
          <w:tcPr>
            <w:tcW w:w="880" w:type="dxa"/>
            <w:tcBorders>
              <w:top w:val="nil"/>
              <w:left w:val="nil"/>
              <w:bottom w:val="single" w:sz="4" w:space="0" w:color="auto"/>
              <w:right w:val="single" w:sz="4" w:space="0" w:color="auto"/>
            </w:tcBorders>
            <w:shd w:val="clear" w:color="000000" w:fill="FFFFFF"/>
            <w:vAlign w:val="center"/>
            <w:hideMark/>
          </w:tcPr>
          <w:p w14:paraId="46E40AE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3CF1BD06" w14:textId="77777777" w:rsidTr="00D30061">
        <w:trPr>
          <w:trHeight w:val="240"/>
        </w:trPr>
        <w:tc>
          <w:tcPr>
            <w:tcW w:w="640" w:type="dxa"/>
            <w:vMerge/>
            <w:tcBorders>
              <w:top w:val="nil"/>
              <w:left w:val="single" w:sz="4" w:space="0" w:color="auto"/>
              <w:bottom w:val="single" w:sz="4" w:space="0" w:color="auto"/>
              <w:right w:val="single" w:sz="4" w:space="0" w:color="auto"/>
            </w:tcBorders>
            <w:vAlign w:val="center"/>
            <w:hideMark/>
          </w:tcPr>
          <w:p w14:paraId="00BC81F2"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5AD1DFA1"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07CFE9A"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6403A75" w14:textId="77777777" w:rsidR="00D30061" w:rsidRPr="00D30061" w:rsidRDefault="00D30061" w:rsidP="00D30061">
            <w:pPr>
              <w:rPr>
                <w:rFonts w:ascii="Arial" w:eastAsia="Times New Roman" w:hAnsi="Arial" w:cs="Arial"/>
                <w:color w:val="000000"/>
                <w:sz w:val="14"/>
                <w:szCs w:val="14"/>
                <w:lang w:val="cs-CZ" w:eastAsia="cs-CZ"/>
              </w:rPr>
            </w:pPr>
          </w:p>
        </w:tc>
        <w:tc>
          <w:tcPr>
            <w:tcW w:w="920" w:type="dxa"/>
            <w:tcBorders>
              <w:top w:val="nil"/>
              <w:left w:val="nil"/>
              <w:bottom w:val="single" w:sz="4" w:space="0" w:color="auto"/>
              <w:right w:val="single" w:sz="4" w:space="0" w:color="auto"/>
            </w:tcBorders>
            <w:shd w:val="clear" w:color="000000" w:fill="FFFFFF"/>
            <w:vAlign w:val="center"/>
            <w:hideMark/>
          </w:tcPr>
          <w:p w14:paraId="390F4C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hideMark/>
          </w:tcPr>
          <w:p w14:paraId="1AEA6AF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hideMark/>
          </w:tcPr>
          <w:p w14:paraId="2E16289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hideMark/>
          </w:tcPr>
          <w:p w14:paraId="231F54A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hideMark/>
          </w:tcPr>
          <w:p w14:paraId="03FEC4C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2 789,000</w:t>
            </w:r>
          </w:p>
        </w:tc>
        <w:tc>
          <w:tcPr>
            <w:tcW w:w="880" w:type="dxa"/>
            <w:tcBorders>
              <w:top w:val="nil"/>
              <w:left w:val="nil"/>
              <w:bottom w:val="single" w:sz="4" w:space="0" w:color="auto"/>
              <w:right w:val="single" w:sz="4" w:space="0" w:color="auto"/>
            </w:tcBorders>
            <w:shd w:val="clear" w:color="auto" w:fill="auto"/>
            <w:vAlign w:val="center"/>
            <w:hideMark/>
          </w:tcPr>
          <w:p w14:paraId="5FCF349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14 820,000</w:t>
            </w:r>
          </w:p>
        </w:tc>
        <w:tc>
          <w:tcPr>
            <w:tcW w:w="880" w:type="dxa"/>
            <w:tcBorders>
              <w:top w:val="nil"/>
              <w:left w:val="nil"/>
              <w:bottom w:val="single" w:sz="4" w:space="0" w:color="auto"/>
              <w:right w:val="single" w:sz="4" w:space="0" w:color="auto"/>
            </w:tcBorders>
            <w:shd w:val="clear" w:color="000000" w:fill="FFFFFF"/>
            <w:vAlign w:val="center"/>
            <w:hideMark/>
          </w:tcPr>
          <w:p w14:paraId="2B22920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12 610,000</w:t>
            </w:r>
          </w:p>
        </w:tc>
        <w:tc>
          <w:tcPr>
            <w:tcW w:w="880" w:type="dxa"/>
            <w:tcBorders>
              <w:top w:val="nil"/>
              <w:left w:val="nil"/>
              <w:bottom w:val="single" w:sz="4" w:space="0" w:color="auto"/>
              <w:right w:val="single" w:sz="4" w:space="0" w:color="auto"/>
            </w:tcBorders>
            <w:shd w:val="clear" w:color="000000" w:fill="FFFFFF"/>
            <w:vAlign w:val="center"/>
            <w:hideMark/>
          </w:tcPr>
          <w:p w14:paraId="6849D1D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3040C2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D5244D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8272FC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26129D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30 219,000</w:t>
            </w:r>
          </w:p>
        </w:tc>
        <w:tc>
          <w:tcPr>
            <w:tcW w:w="880" w:type="dxa"/>
            <w:tcBorders>
              <w:top w:val="nil"/>
              <w:left w:val="nil"/>
              <w:bottom w:val="single" w:sz="4" w:space="0" w:color="auto"/>
              <w:right w:val="single" w:sz="4" w:space="0" w:color="auto"/>
            </w:tcBorders>
            <w:shd w:val="clear" w:color="000000" w:fill="FFFFFF"/>
            <w:vAlign w:val="center"/>
            <w:hideMark/>
          </w:tcPr>
          <w:p w14:paraId="148E94D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41C0C3EF" w14:textId="77777777" w:rsidTr="00736418">
        <w:trPr>
          <w:trHeight w:hRule="exact" w:val="284"/>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20ED67BF"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4EB1D8B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17D2AAA9"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07E9DD41"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920" w:type="dxa"/>
            <w:tcBorders>
              <w:top w:val="nil"/>
              <w:left w:val="nil"/>
              <w:bottom w:val="single" w:sz="4" w:space="0" w:color="auto"/>
              <w:right w:val="single" w:sz="4" w:space="0" w:color="auto"/>
            </w:tcBorders>
            <w:shd w:val="clear" w:color="auto" w:fill="auto"/>
            <w:vAlign w:val="center"/>
            <w:hideMark/>
          </w:tcPr>
          <w:p w14:paraId="31D9C18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13,000</w:t>
            </w:r>
          </w:p>
        </w:tc>
        <w:tc>
          <w:tcPr>
            <w:tcW w:w="880" w:type="dxa"/>
            <w:tcBorders>
              <w:top w:val="nil"/>
              <w:left w:val="nil"/>
              <w:bottom w:val="single" w:sz="4" w:space="0" w:color="auto"/>
              <w:right w:val="single" w:sz="4" w:space="0" w:color="auto"/>
            </w:tcBorders>
            <w:shd w:val="clear" w:color="auto" w:fill="auto"/>
            <w:vAlign w:val="center"/>
            <w:hideMark/>
          </w:tcPr>
          <w:p w14:paraId="09E1693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78E971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447DA2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3,500</w:t>
            </w:r>
          </w:p>
        </w:tc>
        <w:tc>
          <w:tcPr>
            <w:tcW w:w="880" w:type="dxa"/>
            <w:tcBorders>
              <w:top w:val="nil"/>
              <w:left w:val="nil"/>
              <w:bottom w:val="single" w:sz="4" w:space="0" w:color="auto"/>
              <w:right w:val="single" w:sz="4" w:space="0" w:color="auto"/>
            </w:tcBorders>
            <w:shd w:val="clear" w:color="auto" w:fill="auto"/>
            <w:vAlign w:val="center"/>
            <w:hideMark/>
          </w:tcPr>
          <w:p w14:paraId="7387C60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44,560</w:t>
            </w:r>
          </w:p>
        </w:tc>
        <w:tc>
          <w:tcPr>
            <w:tcW w:w="880" w:type="dxa"/>
            <w:tcBorders>
              <w:top w:val="nil"/>
              <w:left w:val="nil"/>
              <w:bottom w:val="single" w:sz="4" w:space="0" w:color="auto"/>
              <w:right w:val="single" w:sz="4" w:space="0" w:color="auto"/>
            </w:tcBorders>
            <w:shd w:val="clear" w:color="auto" w:fill="auto"/>
            <w:vAlign w:val="center"/>
            <w:hideMark/>
          </w:tcPr>
          <w:p w14:paraId="3AC4000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22,720</w:t>
            </w:r>
          </w:p>
        </w:tc>
        <w:tc>
          <w:tcPr>
            <w:tcW w:w="880" w:type="dxa"/>
            <w:tcBorders>
              <w:top w:val="nil"/>
              <w:left w:val="nil"/>
              <w:bottom w:val="single" w:sz="4" w:space="0" w:color="auto"/>
              <w:right w:val="single" w:sz="4" w:space="0" w:color="auto"/>
            </w:tcBorders>
            <w:shd w:val="clear" w:color="auto" w:fill="auto"/>
            <w:vAlign w:val="center"/>
            <w:hideMark/>
          </w:tcPr>
          <w:p w14:paraId="0C4233D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64,640</w:t>
            </w:r>
          </w:p>
        </w:tc>
        <w:tc>
          <w:tcPr>
            <w:tcW w:w="880" w:type="dxa"/>
            <w:tcBorders>
              <w:top w:val="nil"/>
              <w:left w:val="nil"/>
              <w:bottom w:val="single" w:sz="4" w:space="0" w:color="auto"/>
              <w:right w:val="single" w:sz="4" w:space="0" w:color="auto"/>
            </w:tcBorders>
            <w:shd w:val="clear" w:color="auto" w:fill="auto"/>
            <w:vAlign w:val="center"/>
            <w:hideMark/>
          </w:tcPr>
          <w:p w14:paraId="62CC498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2E7CC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753D2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B8B64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13472F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135,420</w:t>
            </w:r>
          </w:p>
        </w:tc>
        <w:tc>
          <w:tcPr>
            <w:tcW w:w="880" w:type="dxa"/>
            <w:tcBorders>
              <w:top w:val="nil"/>
              <w:left w:val="nil"/>
              <w:bottom w:val="single" w:sz="4" w:space="0" w:color="auto"/>
              <w:right w:val="single" w:sz="4" w:space="0" w:color="auto"/>
            </w:tcBorders>
            <w:shd w:val="clear" w:color="auto" w:fill="auto"/>
            <w:vAlign w:val="center"/>
            <w:hideMark/>
          </w:tcPr>
          <w:p w14:paraId="542C478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1 041,692</w:t>
            </w:r>
          </w:p>
        </w:tc>
      </w:tr>
      <w:tr w:rsidR="00D30061" w:rsidRPr="00D30061" w14:paraId="368652AA"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1B298E7B"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44BB251"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070498A8"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6612698" w14:textId="77777777" w:rsidR="00D30061" w:rsidRPr="00D30061" w:rsidRDefault="00D30061" w:rsidP="00D30061">
            <w:pPr>
              <w:rPr>
                <w:rFonts w:ascii="Arial" w:eastAsia="Times New Roman" w:hAnsi="Arial" w:cs="Arial"/>
                <w:color w:val="000000"/>
                <w:sz w:val="14"/>
                <w:szCs w:val="14"/>
                <w:lang w:val="cs-CZ" w:eastAsia="cs-CZ"/>
              </w:rPr>
            </w:pPr>
          </w:p>
        </w:tc>
        <w:tc>
          <w:tcPr>
            <w:tcW w:w="920" w:type="dxa"/>
            <w:tcBorders>
              <w:top w:val="nil"/>
              <w:left w:val="nil"/>
              <w:bottom w:val="single" w:sz="4" w:space="0" w:color="auto"/>
              <w:right w:val="single" w:sz="4" w:space="0" w:color="auto"/>
            </w:tcBorders>
            <w:shd w:val="clear" w:color="auto" w:fill="auto"/>
            <w:vAlign w:val="center"/>
            <w:hideMark/>
          </w:tcPr>
          <w:p w14:paraId="68126C9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DC886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692C4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5D3C83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B43FC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FF29F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FA4BB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36800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DB0F6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EB6B8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E88732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3B694F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7D432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76B8F84A"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5A1E0445"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C96B3F7"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C82EFF5"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63C730D" w14:textId="77777777" w:rsidR="00D30061" w:rsidRPr="00D30061" w:rsidRDefault="00D30061" w:rsidP="00D30061">
            <w:pPr>
              <w:rPr>
                <w:rFonts w:ascii="Arial" w:eastAsia="Times New Roman" w:hAnsi="Arial" w:cs="Arial"/>
                <w:color w:val="000000"/>
                <w:sz w:val="14"/>
                <w:szCs w:val="14"/>
                <w:lang w:val="cs-CZ" w:eastAsia="cs-CZ"/>
              </w:rPr>
            </w:pPr>
          </w:p>
        </w:tc>
        <w:tc>
          <w:tcPr>
            <w:tcW w:w="920" w:type="dxa"/>
            <w:tcBorders>
              <w:top w:val="nil"/>
              <w:left w:val="nil"/>
              <w:bottom w:val="single" w:sz="4" w:space="0" w:color="auto"/>
              <w:right w:val="single" w:sz="4" w:space="0" w:color="auto"/>
            </w:tcBorders>
            <w:shd w:val="clear" w:color="auto" w:fill="auto"/>
            <w:vAlign w:val="center"/>
            <w:hideMark/>
          </w:tcPr>
          <w:p w14:paraId="6816ACE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8F3614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BE787F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5881F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7E11F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184A7B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22258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06083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7679A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25DAA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B4304F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522B46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F6F952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0967D399" w14:textId="77777777" w:rsidTr="00736418">
        <w:trPr>
          <w:trHeight w:hRule="exact" w:val="284"/>
        </w:trPr>
        <w:tc>
          <w:tcPr>
            <w:tcW w:w="6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1A1EE7"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52204CAC"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2A4AA3"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7E152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920" w:type="dxa"/>
            <w:tcBorders>
              <w:top w:val="nil"/>
              <w:left w:val="nil"/>
              <w:bottom w:val="single" w:sz="4" w:space="0" w:color="auto"/>
              <w:right w:val="single" w:sz="4" w:space="0" w:color="auto"/>
            </w:tcBorders>
            <w:shd w:val="clear" w:color="000000" w:fill="FFFFFF"/>
            <w:vAlign w:val="center"/>
            <w:hideMark/>
          </w:tcPr>
          <w:p w14:paraId="28FD322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2,000</w:t>
            </w:r>
          </w:p>
        </w:tc>
        <w:tc>
          <w:tcPr>
            <w:tcW w:w="880" w:type="dxa"/>
            <w:tcBorders>
              <w:top w:val="nil"/>
              <w:left w:val="nil"/>
              <w:bottom w:val="single" w:sz="4" w:space="0" w:color="auto"/>
              <w:right w:val="single" w:sz="4" w:space="0" w:color="auto"/>
            </w:tcBorders>
            <w:shd w:val="clear" w:color="000000" w:fill="FFFFFF"/>
            <w:vAlign w:val="center"/>
            <w:hideMark/>
          </w:tcPr>
          <w:p w14:paraId="147A17F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2AF5A2F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2C78ACF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0,500</w:t>
            </w:r>
          </w:p>
        </w:tc>
        <w:tc>
          <w:tcPr>
            <w:tcW w:w="880" w:type="dxa"/>
            <w:tcBorders>
              <w:top w:val="nil"/>
              <w:left w:val="nil"/>
              <w:bottom w:val="single" w:sz="4" w:space="0" w:color="auto"/>
              <w:right w:val="single" w:sz="4" w:space="0" w:color="auto"/>
            </w:tcBorders>
            <w:shd w:val="clear" w:color="000000" w:fill="FFFFFF"/>
            <w:vAlign w:val="center"/>
            <w:hideMark/>
          </w:tcPr>
          <w:p w14:paraId="2C90B9D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5,580</w:t>
            </w:r>
          </w:p>
        </w:tc>
        <w:tc>
          <w:tcPr>
            <w:tcW w:w="880" w:type="dxa"/>
            <w:tcBorders>
              <w:top w:val="nil"/>
              <w:left w:val="nil"/>
              <w:bottom w:val="single" w:sz="4" w:space="0" w:color="auto"/>
              <w:right w:val="single" w:sz="4" w:space="0" w:color="auto"/>
            </w:tcBorders>
            <w:shd w:val="clear" w:color="auto" w:fill="auto"/>
            <w:vAlign w:val="center"/>
            <w:hideMark/>
          </w:tcPr>
          <w:p w14:paraId="4736C18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4,150</w:t>
            </w:r>
          </w:p>
        </w:tc>
        <w:tc>
          <w:tcPr>
            <w:tcW w:w="880" w:type="dxa"/>
            <w:tcBorders>
              <w:top w:val="nil"/>
              <w:left w:val="nil"/>
              <w:bottom w:val="single" w:sz="4" w:space="0" w:color="auto"/>
              <w:right w:val="single" w:sz="4" w:space="0" w:color="auto"/>
            </w:tcBorders>
            <w:shd w:val="clear" w:color="000000" w:fill="FFFFFF"/>
            <w:vAlign w:val="center"/>
            <w:hideMark/>
          </w:tcPr>
          <w:p w14:paraId="1AAB300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9,350</w:t>
            </w:r>
          </w:p>
        </w:tc>
        <w:tc>
          <w:tcPr>
            <w:tcW w:w="880" w:type="dxa"/>
            <w:tcBorders>
              <w:top w:val="nil"/>
              <w:left w:val="nil"/>
              <w:bottom w:val="single" w:sz="4" w:space="0" w:color="auto"/>
              <w:right w:val="single" w:sz="4" w:space="0" w:color="auto"/>
            </w:tcBorders>
            <w:shd w:val="clear" w:color="000000" w:fill="FFFFFF"/>
            <w:vAlign w:val="center"/>
            <w:hideMark/>
          </w:tcPr>
          <w:p w14:paraId="345DA00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6D03A0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D4FEFF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EB4EDF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E1A92B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19,580</w:t>
            </w:r>
          </w:p>
        </w:tc>
        <w:tc>
          <w:tcPr>
            <w:tcW w:w="880" w:type="dxa"/>
            <w:tcBorders>
              <w:top w:val="nil"/>
              <w:left w:val="nil"/>
              <w:bottom w:val="single" w:sz="4" w:space="0" w:color="auto"/>
              <w:right w:val="single" w:sz="4" w:space="0" w:color="auto"/>
            </w:tcBorders>
            <w:shd w:val="clear" w:color="000000" w:fill="FFFFFF"/>
            <w:vAlign w:val="center"/>
            <w:hideMark/>
          </w:tcPr>
          <w:p w14:paraId="5C7B834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979,000</w:t>
            </w:r>
          </w:p>
        </w:tc>
      </w:tr>
      <w:tr w:rsidR="00D30061" w:rsidRPr="00D30061" w14:paraId="3EA32894"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6F2D4CC7"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37E750F9"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01A42D7"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4A82F88A" w14:textId="77777777" w:rsidR="00D30061" w:rsidRPr="00D30061" w:rsidRDefault="00D30061" w:rsidP="00D30061">
            <w:pPr>
              <w:rPr>
                <w:rFonts w:ascii="Arial" w:eastAsia="Times New Roman" w:hAnsi="Arial" w:cs="Arial"/>
                <w:color w:val="000000"/>
                <w:sz w:val="14"/>
                <w:szCs w:val="14"/>
                <w:lang w:val="cs-CZ" w:eastAsia="cs-CZ"/>
              </w:rPr>
            </w:pPr>
          </w:p>
        </w:tc>
        <w:tc>
          <w:tcPr>
            <w:tcW w:w="920" w:type="dxa"/>
            <w:tcBorders>
              <w:top w:val="nil"/>
              <w:left w:val="nil"/>
              <w:bottom w:val="single" w:sz="4" w:space="0" w:color="auto"/>
              <w:right w:val="single" w:sz="4" w:space="0" w:color="auto"/>
            </w:tcBorders>
            <w:shd w:val="clear" w:color="000000" w:fill="FFFFFF"/>
            <w:vAlign w:val="center"/>
            <w:hideMark/>
          </w:tcPr>
          <w:p w14:paraId="1D85961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8DB763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65262D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1A588B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67A0B4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0F6AD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183E32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BAEFA0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2BBDA9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BBD446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6F5AE6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A31A6B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DD4FAB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7C7422E8"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14589766"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5B4F188"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9A2C134"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63DAB6B7" w14:textId="77777777" w:rsidR="00D30061" w:rsidRPr="00D30061" w:rsidRDefault="00D30061" w:rsidP="00D30061">
            <w:pPr>
              <w:rPr>
                <w:rFonts w:ascii="Arial" w:eastAsia="Times New Roman" w:hAnsi="Arial" w:cs="Arial"/>
                <w:color w:val="000000"/>
                <w:sz w:val="14"/>
                <w:szCs w:val="14"/>
                <w:lang w:val="cs-CZ" w:eastAsia="cs-CZ"/>
              </w:rPr>
            </w:pPr>
          </w:p>
        </w:tc>
        <w:tc>
          <w:tcPr>
            <w:tcW w:w="920" w:type="dxa"/>
            <w:tcBorders>
              <w:top w:val="nil"/>
              <w:left w:val="nil"/>
              <w:bottom w:val="single" w:sz="4" w:space="0" w:color="auto"/>
              <w:right w:val="single" w:sz="4" w:space="0" w:color="auto"/>
            </w:tcBorders>
            <w:shd w:val="clear" w:color="000000" w:fill="FFFFFF"/>
            <w:vAlign w:val="center"/>
            <w:hideMark/>
          </w:tcPr>
          <w:p w14:paraId="58A0679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CB3E9C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D1C0E7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8630A1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A8837E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D48CE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32D5AE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E05D8A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154DB4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F6DFD0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98FD5A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E040ED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CB9516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bl>
    <w:p w14:paraId="29125917" w14:textId="63623EAD" w:rsidR="00342859" w:rsidRPr="002F2BE4" w:rsidRDefault="00342859" w:rsidP="009E49E6">
      <w:pPr>
        <w:ind w:right="108"/>
        <w:jc w:val="both"/>
        <w:rPr>
          <w:rFonts w:ascii="Arial" w:eastAsia="Arial" w:hAnsi="Arial" w:cs="Arial"/>
          <w:color w:val="000000"/>
          <w:sz w:val="20"/>
          <w:lang w:val="cs-CZ"/>
        </w:rPr>
      </w:pPr>
    </w:p>
    <w:p w14:paraId="65DD4395" w14:textId="77777777"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03.1.54 Modernizace institucí trhu práce, jako jsou veřejné a soukromé služby zaměstnanosti a přispívání k adaptaci na potřeby trhu práce, včetně prostřednictvím opatření pro zlepšení nadnárodní mobility pracovníků a programů mobility a lepší spolupráce mezi institucemi a příslušnými zúčastněnými stranami</w:t>
      </w:r>
    </w:p>
    <w:tbl>
      <w:tblPr>
        <w:tblW w:w="15800" w:type="dxa"/>
        <w:tblInd w:w="75" w:type="dxa"/>
        <w:tblCellMar>
          <w:left w:w="70" w:type="dxa"/>
          <w:right w:w="70" w:type="dxa"/>
        </w:tblCellMar>
        <w:tblLook w:val="04A0" w:firstRow="1" w:lastRow="0" w:firstColumn="1" w:lastColumn="0" w:noHBand="0" w:noVBand="1"/>
      </w:tblPr>
      <w:tblGrid>
        <w:gridCol w:w="638"/>
        <w:gridCol w:w="1801"/>
        <w:gridCol w:w="849"/>
        <w:gridCol w:w="977"/>
        <w:gridCol w:w="895"/>
        <w:gridCol w:w="874"/>
        <w:gridCol w:w="874"/>
        <w:gridCol w:w="874"/>
        <w:gridCol w:w="874"/>
        <w:gridCol w:w="875"/>
        <w:gridCol w:w="875"/>
        <w:gridCol w:w="874"/>
        <w:gridCol w:w="874"/>
        <w:gridCol w:w="874"/>
        <w:gridCol w:w="874"/>
        <w:gridCol w:w="1004"/>
        <w:gridCol w:w="894"/>
      </w:tblGrid>
      <w:tr w:rsidR="00D30061" w:rsidRPr="00D30061" w14:paraId="73B4D8C0" w14:textId="77777777" w:rsidTr="00D30061">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2FEBD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77296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37BA117"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DFDF4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Kategorie regionu (je-li relevantní)</w:t>
            </w:r>
          </w:p>
        </w:tc>
        <w:tc>
          <w:tcPr>
            <w:tcW w:w="900" w:type="dxa"/>
            <w:tcBorders>
              <w:top w:val="single" w:sz="4" w:space="0" w:color="auto"/>
              <w:left w:val="nil"/>
              <w:bottom w:val="nil"/>
              <w:right w:val="single" w:sz="4" w:space="0" w:color="auto"/>
            </w:tcBorders>
            <w:shd w:val="clear" w:color="000000" w:fill="FFFFFF"/>
            <w:vAlign w:val="center"/>
            <w:hideMark/>
          </w:tcPr>
          <w:p w14:paraId="4F865A2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03D411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8F6EEA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42ECB65"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23DC13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62A9841"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B1FA25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7A40BA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B608925"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17A2B1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6D47C6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60B5743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Kumulativní hodnota (vypočítána automaticky)</w:t>
            </w:r>
          </w:p>
        </w:tc>
        <w:tc>
          <w:tcPr>
            <w:tcW w:w="900" w:type="dxa"/>
            <w:tcBorders>
              <w:top w:val="single" w:sz="4" w:space="0" w:color="auto"/>
              <w:left w:val="nil"/>
              <w:bottom w:val="nil"/>
              <w:right w:val="single" w:sz="4" w:space="0" w:color="auto"/>
            </w:tcBorders>
            <w:shd w:val="clear" w:color="000000" w:fill="FFFFFF"/>
            <w:vAlign w:val="center"/>
            <w:hideMark/>
          </w:tcPr>
          <w:p w14:paraId="2C37CCB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Míra splnění</w:t>
            </w:r>
          </w:p>
        </w:tc>
      </w:tr>
      <w:tr w:rsidR="00D30061" w:rsidRPr="00D30061" w14:paraId="7DEBA7DC"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BEC22E6"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2D03DA27"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07D4C2BE"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83FABD3" w14:textId="77777777" w:rsidR="00D30061" w:rsidRPr="00D30061" w:rsidRDefault="00D30061" w:rsidP="00D30061">
            <w:pPr>
              <w:rPr>
                <w:rFonts w:ascii="Arial" w:eastAsia="Times New Roman" w:hAnsi="Arial" w:cs="Arial"/>
                <w:b/>
                <w:bCs/>
                <w:color w:val="000000"/>
                <w:sz w:val="14"/>
                <w:szCs w:val="14"/>
                <w:lang w:val="cs-CZ" w:eastAsia="cs-CZ"/>
              </w:rPr>
            </w:pP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DAF64FE"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1CC2259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F29BA7F"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EE47865"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r>
      <w:tr w:rsidR="00D30061" w:rsidRPr="00D30061" w14:paraId="36E36782"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549395B6"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CE34B72"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76D23691"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798456ED" w14:textId="77777777" w:rsidR="00D30061" w:rsidRPr="00D30061" w:rsidRDefault="00D30061" w:rsidP="00D30061">
            <w:pPr>
              <w:rPr>
                <w:rFonts w:ascii="Arial" w:eastAsia="Times New Roman" w:hAnsi="Arial" w:cs="Arial"/>
                <w:b/>
                <w:bCs/>
                <w:color w:val="000000"/>
                <w:sz w:val="14"/>
                <w:szCs w:val="14"/>
                <w:lang w:val="cs-CZ" w:eastAsia="cs-CZ"/>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6507C4D8"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7617915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12EE47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F003FE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79FD55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9C7280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857060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D8E4B6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6F0602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EA4891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92AF1B1"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7F870D0E" w14:textId="77777777" w:rsidR="00D30061" w:rsidRPr="00D30061" w:rsidRDefault="00D30061" w:rsidP="00D30061">
            <w:pPr>
              <w:rPr>
                <w:rFonts w:ascii="Arial" w:eastAsia="Times New Roman" w:hAnsi="Arial" w:cs="Arial"/>
                <w:b/>
                <w:bCs/>
                <w:color w:val="000000"/>
                <w:sz w:val="14"/>
                <w:szCs w:val="14"/>
                <w:lang w:val="cs-CZ" w:eastAsia="cs-CZ"/>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7B0CD8BB" w14:textId="77777777" w:rsidR="00D30061" w:rsidRPr="00D30061" w:rsidRDefault="00D30061" w:rsidP="00D30061">
            <w:pPr>
              <w:rPr>
                <w:rFonts w:ascii="Arial" w:eastAsia="Times New Roman" w:hAnsi="Arial" w:cs="Arial"/>
                <w:b/>
                <w:bCs/>
                <w:color w:val="000000"/>
                <w:sz w:val="14"/>
                <w:szCs w:val="14"/>
                <w:lang w:val="cs-CZ" w:eastAsia="cs-CZ"/>
              </w:rPr>
            </w:pPr>
          </w:p>
        </w:tc>
      </w:tr>
      <w:tr w:rsidR="00D30061" w:rsidRPr="00D30061" w14:paraId="0A57C2B4"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D06BD84"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16A1623F"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4842D6F0"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473C9D0A" w14:textId="77777777" w:rsidR="00D30061" w:rsidRPr="00D30061" w:rsidRDefault="00D30061" w:rsidP="00D30061">
            <w:pPr>
              <w:rPr>
                <w:rFonts w:ascii="Arial" w:eastAsia="Times New Roman" w:hAnsi="Arial" w:cs="Arial"/>
                <w:b/>
                <w:bCs/>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7B615907"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0A15DE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99D14A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A2E366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9EA61FE"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FBE0CD1"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8FE629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2197C0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6B7B00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FE79DD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39FBAB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71C9F3D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900" w:type="dxa"/>
            <w:tcBorders>
              <w:top w:val="nil"/>
              <w:left w:val="nil"/>
              <w:bottom w:val="single" w:sz="4" w:space="0" w:color="auto"/>
              <w:right w:val="single" w:sz="4" w:space="0" w:color="auto"/>
            </w:tcBorders>
            <w:shd w:val="clear" w:color="000000" w:fill="FFFFFF"/>
            <w:vAlign w:val="center"/>
            <w:hideMark/>
          </w:tcPr>
          <w:p w14:paraId="6B9D3DC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r>
      <w:tr w:rsidR="00D30061" w:rsidRPr="00D30061" w14:paraId="1B8B8D76"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3D52AE9"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3DC1D57"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2E5E4D47"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72C758E2" w14:textId="77777777" w:rsidR="00D30061" w:rsidRPr="00D30061" w:rsidRDefault="00D30061" w:rsidP="00D30061">
            <w:pPr>
              <w:rPr>
                <w:rFonts w:ascii="Arial" w:eastAsia="Times New Roman" w:hAnsi="Arial" w:cs="Arial"/>
                <w:b/>
                <w:bCs/>
                <w:color w:val="000000"/>
                <w:sz w:val="14"/>
                <w:szCs w:val="14"/>
                <w:lang w:val="cs-CZ" w:eastAsia="cs-CZ"/>
              </w:rPr>
            </w:pPr>
          </w:p>
        </w:tc>
        <w:tc>
          <w:tcPr>
            <w:tcW w:w="900" w:type="dxa"/>
            <w:tcBorders>
              <w:top w:val="nil"/>
              <w:left w:val="nil"/>
              <w:bottom w:val="nil"/>
              <w:right w:val="single" w:sz="4" w:space="0" w:color="auto"/>
            </w:tcBorders>
            <w:shd w:val="clear" w:color="000000" w:fill="FFFFFF"/>
            <w:vAlign w:val="center"/>
            <w:hideMark/>
          </w:tcPr>
          <w:p w14:paraId="64A9C9D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0B2158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AF19C2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1FFC35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BF64F5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34E181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5FFFF2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8EB72B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B9D060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1FD779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3E19A2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940" w:type="dxa"/>
            <w:tcBorders>
              <w:top w:val="nil"/>
              <w:left w:val="nil"/>
              <w:bottom w:val="nil"/>
              <w:right w:val="single" w:sz="4" w:space="0" w:color="auto"/>
            </w:tcBorders>
            <w:shd w:val="clear" w:color="000000" w:fill="FFFFFF"/>
            <w:vAlign w:val="center"/>
            <w:hideMark/>
          </w:tcPr>
          <w:p w14:paraId="00E26EEF"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900" w:type="dxa"/>
            <w:tcBorders>
              <w:top w:val="nil"/>
              <w:left w:val="nil"/>
              <w:bottom w:val="nil"/>
              <w:right w:val="single" w:sz="4" w:space="0" w:color="auto"/>
            </w:tcBorders>
            <w:shd w:val="clear" w:color="000000" w:fill="FFFFFF"/>
            <w:vAlign w:val="center"/>
            <w:hideMark/>
          </w:tcPr>
          <w:p w14:paraId="09C667DF"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r>
      <w:tr w:rsidR="00D30061" w:rsidRPr="00D30061" w14:paraId="2EC2AAB5"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BEB6BA"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5674F15F"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5CABF7"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3E168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14:paraId="45F1D1F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3 099,000</w:t>
            </w:r>
          </w:p>
        </w:tc>
        <w:tc>
          <w:tcPr>
            <w:tcW w:w="880" w:type="dxa"/>
            <w:tcBorders>
              <w:top w:val="nil"/>
              <w:left w:val="nil"/>
              <w:bottom w:val="single" w:sz="4" w:space="0" w:color="auto"/>
              <w:right w:val="single" w:sz="4" w:space="0" w:color="auto"/>
            </w:tcBorders>
            <w:shd w:val="clear" w:color="000000" w:fill="FFFFFF"/>
            <w:vAlign w:val="center"/>
            <w:hideMark/>
          </w:tcPr>
          <w:p w14:paraId="6910C3A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432FAC1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16E921C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08C1B71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A98F6F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634,000</w:t>
            </w:r>
          </w:p>
        </w:tc>
        <w:tc>
          <w:tcPr>
            <w:tcW w:w="880" w:type="dxa"/>
            <w:tcBorders>
              <w:top w:val="nil"/>
              <w:left w:val="nil"/>
              <w:bottom w:val="single" w:sz="4" w:space="0" w:color="auto"/>
              <w:right w:val="single" w:sz="4" w:space="0" w:color="auto"/>
            </w:tcBorders>
            <w:shd w:val="clear" w:color="000000" w:fill="FFFFFF"/>
            <w:vAlign w:val="center"/>
            <w:hideMark/>
          </w:tcPr>
          <w:p w14:paraId="2947623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1 314,000</w:t>
            </w:r>
          </w:p>
        </w:tc>
        <w:tc>
          <w:tcPr>
            <w:tcW w:w="880" w:type="dxa"/>
            <w:tcBorders>
              <w:top w:val="nil"/>
              <w:left w:val="nil"/>
              <w:bottom w:val="single" w:sz="4" w:space="0" w:color="auto"/>
              <w:right w:val="single" w:sz="4" w:space="0" w:color="auto"/>
            </w:tcBorders>
            <w:shd w:val="clear" w:color="000000" w:fill="FFFFFF"/>
            <w:vAlign w:val="center"/>
            <w:hideMark/>
          </w:tcPr>
          <w:p w14:paraId="32905EF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7988C1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2431E1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3E5C94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1682EE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1 948,000</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14:paraId="74DBC93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62,859</w:t>
            </w:r>
          </w:p>
        </w:tc>
      </w:tr>
      <w:tr w:rsidR="00D30061" w:rsidRPr="00D30061" w14:paraId="5C3BC797"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7D1B9AEC"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7134047"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895B70A"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29BCCE8" w14:textId="77777777" w:rsidR="00D30061" w:rsidRPr="00D30061" w:rsidRDefault="00D30061" w:rsidP="00D30061">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7E10A4B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5F8AEDE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6FD6457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0A347C3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1A8E1FA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960083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82,000</w:t>
            </w:r>
          </w:p>
        </w:tc>
        <w:tc>
          <w:tcPr>
            <w:tcW w:w="880" w:type="dxa"/>
            <w:tcBorders>
              <w:top w:val="nil"/>
              <w:left w:val="nil"/>
              <w:bottom w:val="single" w:sz="4" w:space="0" w:color="auto"/>
              <w:right w:val="single" w:sz="4" w:space="0" w:color="auto"/>
            </w:tcBorders>
            <w:shd w:val="clear" w:color="000000" w:fill="FFFFFF"/>
            <w:vAlign w:val="center"/>
            <w:hideMark/>
          </w:tcPr>
          <w:p w14:paraId="54278CE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130,000</w:t>
            </w:r>
          </w:p>
        </w:tc>
        <w:tc>
          <w:tcPr>
            <w:tcW w:w="880" w:type="dxa"/>
            <w:tcBorders>
              <w:top w:val="nil"/>
              <w:left w:val="nil"/>
              <w:bottom w:val="single" w:sz="4" w:space="0" w:color="auto"/>
              <w:right w:val="single" w:sz="4" w:space="0" w:color="auto"/>
            </w:tcBorders>
            <w:shd w:val="clear" w:color="000000" w:fill="FFFFFF"/>
            <w:vAlign w:val="center"/>
            <w:hideMark/>
          </w:tcPr>
          <w:p w14:paraId="0C54735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ED9EE7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99EB3A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85F1F1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43917F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212,000</w:t>
            </w:r>
          </w:p>
        </w:tc>
        <w:tc>
          <w:tcPr>
            <w:tcW w:w="900" w:type="dxa"/>
            <w:tcBorders>
              <w:top w:val="nil"/>
              <w:left w:val="nil"/>
              <w:bottom w:val="single" w:sz="4" w:space="0" w:color="auto"/>
              <w:right w:val="single" w:sz="4" w:space="0" w:color="auto"/>
            </w:tcBorders>
            <w:shd w:val="clear" w:color="000000" w:fill="FFFFFF"/>
            <w:vAlign w:val="center"/>
            <w:hideMark/>
          </w:tcPr>
          <w:p w14:paraId="1D5836D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513473DF"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7C64D99F"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3FDACEF"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75E0368C"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5997E03" w14:textId="77777777" w:rsidR="00D30061" w:rsidRPr="00D30061" w:rsidRDefault="00D30061" w:rsidP="00D30061">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5C841B5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5318F7A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7FE1737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0718A0F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56E3BE5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A0988D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552,000</w:t>
            </w:r>
          </w:p>
        </w:tc>
        <w:tc>
          <w:tcPr>
            <w:tcW w:w="880" w:type="dxa"/>
            <w:tcBorders>
              <w:top w:val="nil"/>
              <w:left w:val="nil"/>
              <w:bottom w:val="single" w:sz="4" w:space="0" w:color="auto"/>
              <w:right w:val="single" w:sz="4" w:space="0" w:color="auto"/>
            </w:tcBorders>
            <w:shd w:val="clear" w:color="000000" w:fill="FFFFFF"/>
            <w:vAlign w:val="center"/>
            <w:hideMark/>
          </w:tcPr>
          <w:p w14:paraId="5AD452C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1 184,000</w:t>
            </w:r>
          </w:p>
        </w:tc>
        <w:tc>
          <w:tcPr>
            <w:tcW w:w="880" w:type="dxa"/>
            <w:tcBorders>
              <w:top w:val="nil"/>
              <w:left w:val="nil"/>
              <w:bottom w:val="single" w:sz="4" w:space="0" w:color="auto"/>
              <w:right w:val="single" w:sz="4" w:space="0" w:color="auto"/>
            </w:tcBorders>
            <w:shd w:val="clear" w:color="000000" w:fill="FFFFFF"/>
            <w:vAlign w:val="center"/>
            <w:hideMark/>
          </w:tcPr>
          <w:p w14:paraId="1E78D46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C78E55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502C20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5DA395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FD6C4A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1 736,000</w:t>
            </w:r>
          </w:p>
        </w:tc>
        <w:tc>
          <w:tcPr>
            <w:tcW w:w="900" w:type="dxa"/>
            <w:tcBorders>
              <w:top w:val="nil"/>
              <w:left w:val="nil"/>
              <w:bottom w:val="single" w:sz="4" w:space="0" w:color="auto"/>
              <w:right w:val="single" w:sz="4" w:space="0" w:color="auto"/>
            </w:tcBorders>
            <w:shd w:val="clear" w:color="000000" w:fill="FFFFFF"/>
            <w:vAlign w:val="center"/>
            <w:hideMark/>
          </w:tcPr>
          <w:p w14:paraId="3D4312C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055C079B"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4E1D75"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23CCFD7A"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250159"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B1668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900" w:type="dxa"/>
            <w:tcBorders>
              <w:top w:val="nil"/>
              <w:left w:val="nil"/>
              <w:bottom w:val="single" w:sz="4" w:space="0" w:color="auto"/>
              <w:right w:val="single" w:sz="4" w:space="0" w:color="auto"/>
            </w:tcBorders>
            <w:shd w:val="clear" w:color="000000" w:fill="FFFFFF"/>
            <w:vAlign w:val="center"/>
            <w:hideMark/>
          </w:tcPr>
          <w:p w14:paraId="58B6656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250,000</w:t>
            </w:r>
          </w:p>
        </w:tc>
        <w:tc>
          <w:tcPr>
            <w:tcW w:w="880" w:type="dxa"/>
            <w:tcBorders>
              <w:top w:val="nil"/>
              <w:left w:val="nil"/>
              <w:bottom w:val="single" w:sz="4" w:space="0" w:color="auto"/>
              <w:right w:val="single" w:sz="4" w:space="0" w:color="auto"/>
            </w:tcBorders>
            <w:shd w:val="clear" w:color="000000" w:fill="FFFFFF"/>
            <w:vAlign w:val="center"/>
            <w:hideMark/>
          </w:tcPr>
          <w:p w14:paraId="685C70D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3D61B4D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6863293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3F311B0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9E641D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52,000</w:t>
            </w:r>
          </w:p>
        </w:tc>
        <w:tc>
          <w:tcPr>
            <w:tcW w:w="880" w:type="dxa"/>
            <w:tcBorders>
              <w:top w:val="nil"/>
              <w:left w:val="nil"/>
              <w:bottom w:val="single" w:sz="4" w:space="0" w:color="auto"/>
              <w:right w:val="single" w:sz="4" w:space="0" w:color="auto"/>
            </w:tcBorders>
            <w:shd w:val="clear" w:color="000000" w:fill="FFFFFF"/>
            <w:vAlign w:val="center"/>
            <w:hideMark/>
          </w:tcPr>
          <w:p w14:paraId="7178C9B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105,000</w:t>
            </w:r>
          </w:p>
        </w:tc>
        <w:tc>
          <w:tcPr>
            <w:tcW w:w="880" w:type="dxa"/>
            <w:tcBorders>
              <w:top w:val="nil"/>
              <w:left w:val="nil"/>
              <w:bottom w:val="single" w:sz="4" w:space="0" w:color="auto"/>
              <w:right w:val="single" w:sz="4" w:space="0" w:color="auto"/>
            </w:tcBorders>
            <w:shd w:val="clear" w:color="000000" w:fill="FFFFFF"/>
            <w:vAlign w:val="center"/>
            <w:hideMark/>
          </w:tcPr>
          <w:p w14:paraId="41DE7D6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F7E3DE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91A6E9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61140E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EF340E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157,000</w:t>
            </w:r>
          </w:p>
        </w:tc>
        <w:tc>
          <w:tcPr>
            <w:tcW w:w="900" w:type="dxa"/>
            <w:tcBorders>
              <w:top w:val="nil"/>
              <w:left w:val="nil"/>
              <w:bottom w:val="single" w:sz="4" w:space="0" w:color="auto"/>
              <w:right w:val="single" w:sz="4" w:space="0" w:color="auto"/>
            </w:tcBorders>
            <w:shd w:val="clear" w:color="000000" w:fill="FFFFFF"/>
            <w:vAlign w:val="center"/>
            <w:hideMark/>
          </w:tcPr>
          <w:p w14:paraId="350E6C4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62,800</w:t>
            </w:r>
          </w:p>
        </w:tc>
      </w:tr>
      <w:tr w:rsidR="00D30061" w:rsidRPr="00D30061" w14:paraId="4CA0A6ED"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369C80CD"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D061ADB"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E4109FD"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029253A" w14:textId="77777777" w:rsidR="00D30061" w:rsidRPr="00D30061" w:rsidRDefault="00D30061" w:rsidP="00D30061">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4585CE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39475A1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015782C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15414AD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04E0CA3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EBA501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7,000</w:t>
            </w:r>
          </w:p>
        </w:tc>
        <w:tc>
          <w:tcPr>
            <w:tcW w:w="880" w:type="dxa"/>
            <w:tcBorders>
              <w:top w:val="nil"/>
              <w:left w:val="nil"/>
              <w:bottom w:val="single" w:sz="4" w:space="0" w:color="auto"/>
              <w:right w:val="single" w:sz="4" w:space="0" w:color="auto"/>
            </w:tcBorders>
            <w:shd w:val="clear" w:color="000000" w:fill="FFFFFF"/>
            <w:vAlign w:val="center"/>
            <w:hideMark/>
          </w:tcPr>
          <w:p w14:paraId="0CA096E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10,000</w:t>
            </w:r>
          </w:p>
        </w:tc>
        <w:tc>
          <w:tcPr>
            <w:tcW w:w="880" w:type="dxa"/>
            <w:tcBorders>
              <w:top w:val="nil"/>
              <w:left w:val="nil"/>
              <w:bottom w:val="single" w:sz="4" w:space="0" w:color="auto"/>
              <w:right w:val="single" w:sz="4" w:space="0" w:color="auto"/>
            </w:tcBorders>
            <w:shd w:val="clear" w:color="000000" w:fill="FFFFFF"/>
            <w:vAlign w:val="center"/>
            <w:hideMark/>
          </w:tcPr>
          <w:p w14:paraId="07CB0C9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3ADE3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10DDF5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C3E5AE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F316C1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17,000</w:t>
            </w:r>
          </w:p>
        </w:tc>
        <w:tc>
          <w:tcPr>
            <w:tcW w:w="900" w:type="dxa"/>
            <w:tcBorders>
              <w:top w:val="nil"/>
              <w:left w:val="nil"/>
              <w:bottom w:val="single" w:sz="4" w:space="0" w:color="auto"/>
              <w:right w:val="single" w:sz="4" w:space="0" w:color="auto"/>
            </w:tcBorders>
            <w:shd w:val="clear" w:color="000000" w:fill="FFFFFF"/>
            <w:vAlign w:val="center"/>
            <w:hideMark/>
          </w:tcPr>
          <w:p w14:paraId="060D707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08B9DE83"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4A30AB30"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8242927"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E4B9968"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548F543" w14:textId="77777777" w:rsidR="00D30061" w:rsidRPr="00D30061" w:rsidRDefault="00D30061" w:rsidP="00D30061">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7AF5D3F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43D0C52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3B27512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6E6096D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0A886C6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EB2CC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45,000</w:t>
            </w:r>
          </w:p>
        </w:tc>
        <w:tc>
          <w:tcPr>
            <w:tcW w:w="880" w:type="dxa"/>
            <w:tcBorders>
              <w:top w:val="nil"/>
              <w:left w:val="nil"/>
              <w:bottom w:val="single" w:sz="4" w:space="0" w:color="auto"/>
              <w:right w:val="single" w:sz="4" w:space="0" w:color="auto"/>
            </w:tcBorders>
            <w:shd w:val="clear" w:color="000000" w:fill="FFFFFF"/>
            <w:vAlign w:val="center"/>
            <w:hideMark/>
          </w:tcPr>
          <w:p w14:paraId="1C50061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95,000</w:t>
            </w:r>
          </w:p>
        </w:tc>
        <w:tc>
          <w:tcPr>
            <w:tcW w:w="880" w:type="dxa"/>
            <w:tcBorders>
              <w:top w:val="nil"/>
              <w:left w:val="nil"/>
              <w:bottom w:val="single" w:sz="4" w:space="0" w:color="auto"/>
              <w:right w:val="single" w:sz="4" w:space="0" w:color="auto"/>
            </w:tcBorders>
            <w:shd w:val="clear" w:color="000000" w:fill="FFFFFF"/>
            <w:vAlign w:val="center"/>
            <w:hideMark/>
          </w:tcPr>
          <w:p w14:paraId="450639C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AE2910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0E3AE2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99D403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0B4AE2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140,000</w:t>
            </w:r>
          </w:p>
        </w:tc>
        <w:tc>
          <w:tcPr>
            <w:tcW w:w="900" w:type="dxa"/>
            <w:tcBorders>
              <w:top w:val="nil"/>
              <w:left w:val="nil"/>
              <w:bottom w:val="single" w:sz="4" w:space="0" w:color="auto"/>
              <w:right w:val="single" w:sz="4" w:space="0" w:color="auto"/>
            </w:tcBorders>
            <w:shd w:val="clear" w:color="000000" w:fill="FFFFFF"/>
            <w:vAlign w:val="center"/>
            <w:hideMark/>
          </w:tcPr>
          <w:p w14:paraId="0E8B153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7BC7B02D" w14:textId="77777777" w:rsidTr="00736418">
        <w:trPr>
          <w:trHeight w:hRule="exact" w:val="284"/>
        </w:trPr>
        <w:tc>
          <w:tcPr>
            <w:tcW w:w="6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9A00E9"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7821C2C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397DB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97DAD3"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900" w:type="dxa"/>
            <w:tcBorders>
              <w:top w:val="nil"/>
              <w:left w:val="nil"/>
              <w:bottom w:val="single" w:sz="4" w:space="0" w:color="auto"/>
              <w:right w:val="single" w:sz="4" w:space="0" w:color="auto"/>
            </w:tcBorders>
            <w:shd w:val="clear" w:color="000000" w:fill="FFFFFF"/>
            <w:vAlign w:val="center"/>
            <w:hideMark/>
          </w:tcPr>
          <w:p w14:paraId="06B29D3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14,000</w:t>
            </w:r>
          </w:p>
        </w:tc>
        <w:tc>
          <w:tcPr>
            <w:tcW w:w="880" w:type="dxa"/>
            <w:tcBorders>
              <w:top w:val="nil"/>
              <w:left w:val="nil"/>
              <w:bottom w:val="single" w:sz="4" w:space="0" w:color="auto"/>
              <w:right w:val="single" w:sz="4" w:space="0" w:color="auto"/>
            </w:tcBorders>
            <w:shd w:val="clear" w:color="000000" w:fill="FFFFFF"/>
            <w:vAlign w:val="center"/>
            <w:hideMark/>
          </w:tcPr>
          <w:p w14:paraId="0D46AC5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6B4E392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32F38C2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4455495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6EAF11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2,780</w:t>
            </w:r>
          </w:p>
        </w:tc>
        <w:tc>
          <w:tcPr>
            <w:tcW w:w="880" w:type="dxa"/>
            <w:tcBorders>
              <w:top w:val="nil"/>
              <w:left w:val="nil"/>
              <w:bottom w:val="single" w:sz="4" w:space="0" w:color="auto"/>
              <w:right w:val="single" w:sz="4" w:space="0" w:color="auto"/>
            </w:tcBorders>
            <w:shd w:val="clear" w:color="000000" w:fill="FFFFFF"/>
            <w:vAlign w:val="center"/>
            <w:hideMark/>
          </w:tcPr>
          <w:p w14:paraId="4E2F9D1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19,430</w:t>
            </w:r>
          </w:p>
        </w:tc>
        <w:tc>
          <w:tcPr>
            <w:tcW w:w="880" w:type="dxa"/>
            <w:tcBorders>
              <w:top w:val="nil"/>
              <w:left w:val="nil"/>
              <w:bottom w:val="single" w:sz="4" w:space="0" w:color="auto"/>
              <w:right w:val="single" w:sz="4" w:space="0" w:color="auto"/>
            </w:tcBorders>
            <w:shd w:val="clear" w:color="000000" w:fill="FFFFFF"/>
            <w:vAlign w:val="center"/>
            <w:hideMark/>
          </w:tcPr>
          <w:p w14:paraId="13AACC8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A7642D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5EE46F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125089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4C7255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22,210</w:t>
            </w:r>
          </w:p>
        </w:tc>
        <w:tc>
          <w:tcPr>
            <w:tcW w:w="900" w:type="dxa"/>
            <w:tcBorders>
              <w:top w:val="nil"/>
              <w:left w:val="nil"/>
              <w:bottom w:val="single" w:sz="4" w:space="0" w:color="auto"/>
              <w:right w:val="single" w:sz="4" w:space="0" w:color="auto"/>
            </w:tcBorders>
            <w:shd w:val="clear" w:color="000000" w:fill="FFFFFF"/>
            <w:vAlign w:val="center"/>
            <w:hideMark/>
          </w:tcPr>
          <w:p w14:paraId="46EFE24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158,643</w:t>
            </w:r>
          </w:p>
        </w:tc>
      </w:tr>
      <w:tr w:rsidR="00D30061" w:rsidRPr="00D30061" w14:paraId="20ECC353"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36BEA303"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A807CE3"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3E43DF4A"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4CD9F705" w14:textId="77777777" w:rsidR="00D30061" w:rsidRPr="00D30061" w:rsidRDefault="00D30061" w:rsidP="00D30061">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60E64C3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E05B15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B704F2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E98BBF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46FF32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D02C1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E38FB3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B09A2E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BBA52E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60C292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B92F1C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F52B6B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00" w:type="dxa"/>
            <w:tcBorders>
              <w:top w:val="nil"/>
              <w:left w:val="nil"/>
              <w:bottom w:val="single" w:sz="4" w:space="0" w:color="auto"/>
              <w:right w:val="single" w:sz="4" w:space="0" w:color="auto"/>
            </w:tcBorders>
            <w:shd w:val="clear" w:color="000000" w:fill="FFFFFF"/>
            <w:vAlign w:val="center"/>
            <w:hideMark/>
          </w:tcPr>
          <w:p w14:paraId="033846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010471FC"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360DFD1B"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51B3B6E5"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767C50F8"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A3B3BDF" w14:textId="77777777" w:rsidR="00D30061" w:rsidRPr="00D30061" w:rsidRDefault="00D30061" w:rsidP="00D30061">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6D74A49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EDA1E4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0C7537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9DAE53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D990E2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3C1E8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111D3B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3F40AD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450C18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91C652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1625E1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5C0840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00" w:type="dxa"/>
            <w:tcBorders>
              <w:top w:val="nil"/>
              <w:left w:val="nil"/>
              <w:bottom w:val="single" w:sz="4" w:space="0" w:color="auto"/>
              <w:right w:val="single" w:sz="4" w:space="0" w:color="auto"/>
            </w:tcBorders>
            <w:shd w:val="clear" w:color="000000" w:fill="FFFFFF"/>
            <w:vAlign w:val="center"/>
            <w:hideMark/>
          </w:tcPr>
          <w:p w14:paraId="2595DB2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754E243D" w14:textId="77777777" w:rsidTr="00736418">
        <w:trPr>
          <w:trHeight w:hRule="exact" w:val="284"/>
        </w:trPr>
        <w:tc>
          <w:tcPr>
            <w:tcW w:w="6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9580BA"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5C78318B"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117BE7"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CAF2FB"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900" w:type="dxa"/>
            <w:tcBorders>
              <w:top w:val="nil"/>
              <w:left w:val="nil"/>
              <w:bottom w:val="single" w:sz="4" w:space="0" w:color="auto"/>
              <w:right w:val="single" w:sz="4" w:space="0" w:color="auto"/>
            </w:tcBorders>
            <w:shd w:val="clear" w:color="000000" w:fill="FFFFFF"/>
            <w:vAlign w:val="center"/>
            <w:hideMark/>
          </w:tcPr>
          <w:p w14:paraId="13D86B8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1,000</w:t>
            </w:r>
          </w:p>
        </w:tc>
        <w:tc>
          <w:tcPr>
            <w:tcW w:w="880" w:type="dxa"/>
            <w:tcBorders>
              <w:top w:val="nil"/>
              <w:left w:val="nil"/>
              <w:bottom w:val="single" w:sz="4" w:space="0" w:color="auto"/>
              <w:right w:val="single" w:sz="4" w:space="0" w:color="auto"/>
            </w:tcBorders>
            <w:shd w:val="clear" w:color="000000" w:fill="FFFFFF"/>
            <w:vAlign w:val="center"/>
            <w:hideMark/>
          </w:tcPr>
          <w:p w14:paraId="70A162B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7A56114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52E1AD2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000000" w:fill="FFFFFF"/>
            <w:vAlign w:val="center"/>
            <w:hideMark/>
          </w:tcPr>
          <w:p w14:paraId="36BD963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238103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0,220</w:t>
            </w:r>
          </w:p>
        </w:tc>
        <w:tc>
          <w:tcPr>
            <w:tcW w:w="880" w:type="dxa"/>
            <w:tcBorders>
              <w:top w:val="nil"/>
              <w:left w:val="nil"/>
              <w:bottom w:val="single" w:sz="4" w:space="0" w:color="auto"/>
              <w:right w:val="single" w:sz="4" w:space="0" w:color="auto"/>
            </w:tcBorders>
            <w:shd w:val="clear" w:color="000000" w:fill="FFFFFF"/>
            <w:vAlign w:val="center"/>
            <w:hideMark/>
          </w:tcPr>
          <w:p w14:paraId="5BD3318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1,570</w:t>
            </w:r>
          </w:p>
        </w:tc>
        <w:tc>
          <w:tcPr>
            <w:tcW w:w="880" w:type="dxa"/>
            <w:tcBorders>
              <w:top w:val="nil"/>
              <w:left w:val="nil"/>
              <w:bottom w:val="single" w:sz="4" w:space="0" w:color="auto"/>
              <w:right w:val="single" w:sz="4" w:space="0" w:color="auto"/>
            </w:tcBorders>
            <w:shd w:val="clear" w:color="000000" w:fill="FFFFFF"/>
            <w:vAlign w:val="center"/>
            <w:hideMark/>
          </w:tcPr>
          <w:p w14:paraId="5020B5B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1E79F2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DD21A3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044E23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DA7F66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1,790</w:t>
            </w:r>
          </w:p>
        </w:tc>
        <w:tc>
          <w:tcPr>
            <w:tcW w:w="900" w:type="dxa"/>
            <w:tcBorders>
              <w:top w:val="nil"/>
              <w:left w:val="nil"/>
              <w:bottom w:val="single" w:sz="4" w:space="0" w:color="auto"/>
              <w:right w:val="single" w:sz="4" w:space="0" w:color="auto"/>
            </w:tcBorders>
            <w:shd w:val="clear" w:color="000000" w:fill="FFFFFF"/>
            <w:vAlign w:val="center"/>
            <w:hideMark/>
          </w:tcPr>
          <w:p w14:paraId="5FA5C39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179,000</w:t>
            </w:r>
          </w:p>
        </w:tc>
      </w:tr>
      <w:tr w:rsidR="00D30061" w:rsidRPr="00D30061" w14:paraId="7FC6AB2F"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51D13FEE"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638E6C65"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69E13DD9"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10EA1E6" w14:textId="77777777" w:rsidR="00D30061" w:rsidRPr="00D30061" w:rsidRDefault="00D30061" w:rsidP="00D30061">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2965B5E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3DFFD4A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A8DF46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2E6F56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16066C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53A04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538C8A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E7622C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520248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D25FD6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57802C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80F97B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00" w:type="dxa"/>
            <w:tcBorders>
              <w:top w:val="nil"/>
              <w:left w:val="nil"/>
              <w:bottom w:val="single" w:sz="4" w:space="0" w:color="auto"/>
              <w:right w:val="single" w:sz="4" w:space="0" w:color="auto"/>
            </w:tcBorders>
            <w:shd w:val="clear" w:color="000000" w:fill="FFFFFF"/>
            <w:vAlign w:val="center"/>
            <w:hideMark/>
          </w:tcPr>
          <w:p w14:paraId="093CE26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4860D1C4" w14:textId="77777777" w:rsidTr="00736418">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03A23080"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02B4CE3"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18313E4A"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42F5B9A" w14:textId="77777777" w:rsidR="00D30061" w:rsidRPr="00D30061" w:rsidRDefault="00D30061" w:rsidP="00D30061">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17D9E61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1D5BCB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5AB345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402CC8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A6C833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FF20BA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3B4D9A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C0DF3E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E525C1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8A3349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58268B0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9AF9DF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00" w:type="dxa"/>
            <w:tcBorders>
              <w:top w:val="nil"/>
              <w:left w:val="nil"/>
              <w:bottom w:val="single" w:sz="4" w:space="0" w:color="auto"/>
              <w:right w:val="single" w:sz="4" w:space="0" w:color="auto"/>
            </w:tcBorders>
            <w:shd w:val="clear" w:color="000000" w:fill="FFFFFF"/>
            <w:vAlign w:val="center"/>
            <w:hideMark/>
          </w:tcPr>
          <w:p w14:paraId="414D2A6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bl>
    <w:p w14:paraId="30A3A740" w14:textId="77777777" w:rsidR="000147BE" w:rsidRPr="002F2BE4" w:rsidRDefault="000147BE" w:rsidP="009E49E6">
      <w:pPr>
        <w:ind w:right="108"/>
        <w:jc w:val="both"/>
        <w:rPr>
          <w:rFonts w:ascii="Arial" w:eastAsia="Arial" w:hAnsi="Arial" w:cs="Arial"/>
          <w:color w:val="000000"/>
          <w:sz w:val="20"/>
          <w:lang w:val="cs-CZ"/>
        </w:rPr>
      </w:pPr>
    </w:p>
    <w:p w14:paraId="1E799C50" w14:textId="77777777"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03.2.60 Aktivní začleňování, včetně začleňování s ohledem na podporu rovných příležitostí a aktivní účast a zlepšení zaměstnatelnosti</w:t>
      </w:r>
    </w:p>
    <w:tbl>
      <w:tblPr>
        <w:tblW w:w="15820" w:type="dxa"/>
        <w:tblInd w:w="75" w:type="dxa"/>
        <w:tblCellMar>
          <w:left w:w="70" w:type="dxa"/>
          <w:right w:w="70" w:type="dxa"/>
        </w:tblCellMar>
        <w:tblLook w:val="04A0" w:firstRow="1" w:lastRow="0" w:firstColumn="1" w:lastColumn="0" w:noHBand="0" w:noVBand="1"/>
      </w:tblPr>
      <w:tblGrid>
        <w:gridCol w:w="638"/>
        <w:gridCol w:w="1798"/>
        <w:gridCol w:w="856"/>
        <w:gridCol w:w="977"/>
        <w:gridCol w:w="875"/>
        <w:gridCol w:w="874"/>
        <w:gridCol w:w="874"/>
        <w:gridCol w:w="874"/>
        <w:gridCol w:w="874"/>
        <w:gridCol w:w="874"/>
        <w:gridCol w:w="874"/>
        <w:gridCol w:w="874"/>
        <w:gridCol w:w="874"/>
        <w:gridCol w:w="932"/>
        <w:gridCol w:w="874"/>
        <w:gridCol w:w="1004"/>
        <w:gridCol w:w="874"/>
      </w:tblGrid>
      <w:tr w:rsidR="00D30061" w:rsidRPr="00D30061" w14:paraId="043A4806" w14:textId="77777777" w:rsidTr="00D30061">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54BC53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6DA85B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84854C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9E9696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Kategorie regionu (je-li relevantní)</w:t>
            </w:r>
          </w:p>
        </w:tc>
        <w:tc>
          <w:tcPr>
            <w:tcW w:w="880" w:type="dxa"/>
            <w:tcBorders>
              <w:top w:val="single" w:sz="4" w:space="0" w:color="auto"/>
              <w:left w:val="nil"/>
              <w:bottom w:val="nil"/>
              <w:right w:val="single" w:sz="4" w:space="0" w:color="auto"/>
            </w:tcBorders>
            <w:shd w:val="clear" w:color="000000" w:fill="FFFFFF"/>
            <w:vAlign w:val="center"/>
            <w:hideMark/>
          </w:tcPr>
          <w:p w14:paraId="1A7C773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3F6760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11B172E"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755065E"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3E22900"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64BD19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5B3AF85"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961673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8C1AA61"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2021</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68B23FA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941B40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08A444C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20EECCFA"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Míra splnění</w:t>
            </w:r>
          </w:p>
        </w:tc>
      </w:tr>
      <w:tr w:rsidR="00D30061" w:rsidRPr="00D30061" w14:paraId="3B5326B8"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AE9C04E"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4835E09"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3EBB2FC0"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2E23A03C"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7C6DC37"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60" w:type="dxa"/>
            <w:gridSpan w:val="10"/>
            <w:tcBorders>
              <w:top w:val="single" w:sz="4" w:space="0" w:color="auto"/>
              <w:left w:val="nil"/>
              <w:bottom w:val="single" w:sz="4" w:space="0" w:color="auto"/>
              <w:right w:val="single" w:sz="4" w:space="0" w:color="auto"/>
            </w:tcBorders>
            <w:shd w:val="clear" w:color="000000" w:fill="FFFFFF"/>
            <w:vAlign w:val="center"/>
            <w:hideMark/>
          </w:tcPr>
          <w:p w14:paraId="12FAE93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ED1EEDF"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6C5BF9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r>
      <w:tr w:rsidR="00D30061" w:rsidRPr="00D30061" w14:paraId="00EFFC32"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00014327"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4B79EEA2"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FC490ED"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52F88DCB"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24647958"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3D8FDB3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2D9BA4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5CCF657"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3131D55"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F59026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4BEBA1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3F5911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ECC1AEA"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940" w:type="dxa"/>
            <w:tcBorders>
              <w:top w:val="nil"/>
              <w:left w:val="nil"/>
              <w:bottom w:val="single" w:sz="4" w:space="0" w:color="auto"/>
              <w:right w:val="single" w:sz="4" w:space="0" w:color="auto"/>
            </w:tcBorders>
            <w:shd w:val="clear" w:color="000000" w:fill="FFFFFF"/>
            <w:vAlign w:val="center"/>
            <w:hideMark/>
          </w:tcPr>
          <w:p w14:paraId="17314AA4"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90941EE"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533324D2"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6C187290" w14:textId="77777777" w:rsidR="00D30061" w:rsidRPr="00D30061" w:rsidRDefault="00D30061" w:rsidP="00D30061">
            <w:pPr>
              <w:rPr>
                <w:rFonts w:ascii="Arial" w:eastAsia="Times New Roman" w:hAnsi="Arial" w:cs="Arial"/>
                <w:b/>
                <w:bCs/>
                <w:color w:val="000000"/>
                <w:sz w:val="14"/>
                <w:szCs w:val="14"/>
                <w:lang w:val="cs-CZ" w:eastAsia="cs-CZ"/>
              </w:rPr>
            </w:pPr>
          </w:p>
        </w:tc>
      </w:tr>
      <w:tr w:rsidR="00D30061" w:rsidRPr="00D30061" w14:paraId="4489E809"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1AAC3A3"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5F2003E7"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A42A964"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A695C37"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5703594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6842A6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75C24D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4FEEB87"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29E918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842C3A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4580FF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169691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3F0B86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04DFDBC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AFE5C3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2B24B9C5"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AF783D9"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M</w:t>
            </w:r>
          </w:p>
        </w:tc>
      </w:tr>
      <w:tr w:rsidR="00D30061" w:rsidRPr="00D30061" w14:paraId="269554D1" w14:textId="77777777" w:rsidTr="00D30061">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99770B1" w14:textId="77777777" w:rsidR="00D30061" w:rsidRPr="00D30061" w:rsidRDefault="00D30061" w:rsidP="00D30061">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41CB24D2" w14:textId="77777777" w:rsidR="00D30061" w:rsidRPr="00D30061" w:rsidRDefault="00D30061" w:rsidP="00D30061">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29506322" w14:textId="77777777" w:rsidR="00D30061" w:rsidRPr="00D30061" w:rsidRDefault="00D30061" w:rsidP="00D30061">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BF7D6D6" w14:textId="77777777" w:rsidR="00D30061" w:rsidRPr="00D30061" w:rsidRDefault="00D30061" w:rsidP="00D30061">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3DF98E28"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9CF7A2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78D4FE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33E494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78ECB4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C19B831"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1BBEF43"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1D6D7C6"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A209947"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940" w:type="dxa"/>
            <w:tcBorders>
              <w:top w:val="nil"/>
              <w:left w:val="nil"/>
              <w:bottom w:val="single" w:sz="4" w:space="0" w:color="auto"/>
              <w:right w:val="single" w:sz="4" w:space="0" w:color="auto"/>
            </w:tcBorders>
            <w:shd w:val="clear" w:color="000000" w:fill="FFFFFF"/>
            <w:vAlign w:val="center"/>
            <w:hideMark/>
          </w:tcPr>
          <w:p w14:paraId="0FA5042D"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89DDB7C"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940" w:type="dxa"/>
            <w:tcBorders>
              <w:top w:val="nil"/>
              <w:left w:val="nil"/>
              <w:bottom w:val="single" w:sz="4" w:space="0" w:color="auto"/>
              <w:right w:val="single" w:sz="4" w:space="0" w:color="auto"/>
            </w:tcBorders>
            <w:shd w:val="clear" w:color="000000" w:fill="FFFFFF"/>
            <w:vAlign w:val="center"/>
            <w:hideMark/>
          </w:tcPr>
          <w:p w14:paraId="6AF9F32B"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1F2B1A2" w14:textId="77777777" w:rsidR="00D30061" w:rsidRPr="00D30061" w:rsidRDefault="00D30061" w:rsidP="00D30061">
            <w:pPr>
              <w:jc w:val="center"/>
              <w:rPr>
                <w:rFonts w:ascii="Arial" w:eastAsia="Times New Roman" w:hAnsi="Arial" w:cs="Arial"/>
                <w:b/>
                <w:bCs/>
                <w:color w:val="000000"/>
                <w:sz w:val="14"/>
                <w:szCs w:val="14"/>
                <w:lang w:val="cs-CZ" w:eastAsia="cs-CZ"/>
              </w:rPr>
            </w:pPr>
            <w:r w:rsidRPr="00D30061">
              <w:rPr>
                <w:rFonts w:ascii="Arial" w:eastAsia="Times New Roman" w:hAnsi="Arial" w:cs="Arial"/>
                <w:b/>
                <w:bCs/>
                <w:color w:val="000000"/>
                <w:sz w:val="14"/>
                <w:szCs w:val="14"/>
                <w:lang w:val="cs-CZ" w:eastAsia="cs-CZ"/>
              </w:rPr>
              <w:t>Ž</w:t>
            </w:r>
          </w:p>
        </w:tc>
      </w:tr>
      <w:tr w:rsidR="00D30061" w:rsidRPr="00D30061" w14:paraId="3F0C21A7"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49E39BE9"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10213</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3BE10626"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sociálních podniků vzniklých díky podpoře</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42B5A4BD"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4D7DC4B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6CEFB8E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124,000</w:t>
            </w:r>
          </w:p>
        </w:tc>
        <w:tc>
          <w:tcPr>
            <w:tcW w:w="880" w:type="dxa"/>
            <w:tcBorders>
              <w:top w:val="nil"/>
              <w:left w:val="nil"/>
              <w:bottom w:val="single" w:sz="4" w:space="0" w:color="auto"/>
              <w:right w:val="single" w:sz="4" w:space="0" w:color="auto"/>
            </w:tcBorders>
            <w:shd w:val="clear" w:color="auto" w:fill="auto"/>
            <w:vAlign w:val="center"/>
            <w:hideMark/>
          </w:tcPr>
          <w:p w14:paraId="43965B4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A37898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FA3F3B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2,000</w:t>
            </w:r>
          </w:p>
        </w:tc>
        <w:tc>
          <w:tcPr>
            <w:tcW w:w="880" w:type="dxa"/>
            <w:tcBorders>
              <w:top w:val="nil"/>
              <w:left w:val="nil"/>
              <w:bottom w:val="single" w:sz="4" w:space="0" w:color="auto"/>
              <w:right w:val="single" w:sz="4" w:space="0" w:color="auto"/>
            </w:tcBorders>
            <w:shd w:val="clear" w:color="auto" w:fill="auto"/>
            <w:vAlign w:val="center"/>
            <w:hideMark/>
          </w:tcPr>
          <w:p w14:paraId="0FCA382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15,000</w:t>
            </w:r>
          </w:p>
        </w:tc>
        <w:tc>
          <w:tcPr>
            <w:tcW w:w="880" w:type="dxa"/>
            <w:tcBorders>
              <w:top w:val="nil"/>
              <w:left w:val="nil"/>
              <w:bottom w:val="single" w:sz="4" w:space="0" w:color="auto"/>
              <w:right w:val="single" w:sz="4" w:space="0" w:color="auto"/>
            </w:tcBorders>
            <w:shd w:val="clear" w:color="auto" w:fill="auto"/>
            <w:vAlign w:val="center"/>
            <w:hideMark/>
          </w:tcPr>
          <w:p w14:paraId="5BD92D9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5,000</w:t>
            </w:r>
          </w:p>
        </w:tc>
        <w:tc>
          <w:tcPr>
            <w:tcW w:w="880" w:type="dxa"/>
            <w:tcBorders>
              <w:top w:val="nil"/>
              <w:left w:val="nil"/>
              <w:bottom w:val="single" w:sz="4" w:space="0" w:color="auto"/>
              <w:right w:val="single" w:sz="4" w:space="0" w:color="auto"/>
            </w:tcBorders>
            <w:shd w:val="clear" w:color="auto" w:fill="auto"/>
            <w:vAlign w:val="center"/>
            <w:hideMark/>
          </w:tcPr>
          <w:p w14:paraId="35B722F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16,000</w:t>
            </w:r>
          </w:p>
        </w:tc>
        <w:tc>
          <w:tcPr>
            <w:tcW w:w="880" w:type="dxa"/>
            <w:tcBorders>
              <w:top w:val="nil"/>
              <w:left w:val="nil"/>
              <w:bottom w:val="single" w:sz="4" w:space="0" w:color="auto"/>
              <w:right w:val="single" w:sz="4" w:space="0" w:color="auto"/>
            </w:tcBorders>
            <w:shd w:val="clear" w:color="auto" w:fill="auto"/>
            <w:vAlign w:val="center"/>
            <w:hideMark/>
          </w:tcPr>
          <w:p w14:paraId="4DC55C8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77ACDF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D3BE49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DBDD56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6B12BC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38,000</w:t>
            </w:r>
          </w:p>
        </w:tc>
        <w:tc>
          <w:tcPr>
            <w:tcW w:w="880" w:type="dxa"/>
            <w:tcBorders>
              <w:top w:val="nil"/>
              <w:left w:val="nil"/>
              <w:bottom w:val="single" w:sz="4" w:space="0" w:color="auto"/>
              <w:right w:val="single" w:sz="4" w:space="0" w:color="auto"/>
            </w:tcBorders>
            <w:shd w:val="clear" w:color="auto" w:fill="auto"/>
            <w:vAlign w:val="center"/>
            <w:hideMark/>
          </w:tcPr>
          <w:p w14:paraId="75EA780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30,645</w:t>
            </w:r>
          </w:p>
        </w:tc>
      </w:tr>
      <w:tr w:rsidR="00D30061" w:rsidRPr="00D30061" w14:paraId="62483AA8"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4F73CD9F"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8A43151"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3E04C120"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771B427"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4019199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DF8163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178293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D1436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12760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47585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15D5D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FBA05E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E8061F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E3B9A7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A1E7F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14C46F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64A7A7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5B377ED4"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07FF37AB"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65075F87"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66E8B806"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8E8B34C"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2331A6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D892A0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1D258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334A81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6217FA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2B08D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3FE7AD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4BC65F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A1CF3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C963F5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B0839A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598A81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754DD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5A396A8"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7B09696C"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10213</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331E4F58"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sociálních podniků vzniklých díky podpoře</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2CD6A73B"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41DA481E"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6E0D7DE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14,000</w:t>
            </w:r>
          </w:p>
        </w:tc>
        <w:tc>
          <w:tcPr>
            <w:tcW w:w="880" w:type="dxa"/>
            <w:tcBorders>
              <w:top w:val="nil"/>
              <w:left w:val="nil"/>
              <w:bottom w:val="single" w:sz="4" w:space="0" w:color="auto"/>
              <w:right w:val="single" w:sz="4" w:space="0" w:color="auto"/>
            </w:tcBorders>
            <w:shd w:val="clear" w:color="auto" w:fill="auto"/>
            <w:vAlign w:val="center"/>
            <w:hideMark/>
          </w:tcPr>
          <w:p w14:paraId="16A3694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609726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3777F9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A667BF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8AF018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CDAA4D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AF264D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01316F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7650EE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AF9492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877139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B38305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5C48B147"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0FD77A15"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5873434E"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8E9F2B5"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210EEC2"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7EA45C9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28218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031B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535F8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84249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7BB1C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B61119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EC9AF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017F6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181301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41EB98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9BF207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4E561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E21C97C"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6BC5C83B"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1D9F7EAA"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0ACB03B9"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95A7A05"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F07D2E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33C86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F9B1BD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C88B2F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346AB3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24002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526AC7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B311F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BC52E8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69716A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D4C2F2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EBAA18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8D352F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1BA66FF7"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613B5D08"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3D6CE495"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1589F874"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690D493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3DBDA87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74 731,000</w:t>
            </w:r>
          </w:p>
        </w:tc>
        <w:tc>
          <w:tcPr>
            <w:tcW w:w="880" w:type="dxa"/>
            <w:tcBorders>
              <w:top w:val="nil"/>
              <w:left w:val="nil"/>
              <w:bottom w:val="single" w:sz="4" w:space="0" w:color="auto"/>
              <w:right w:val="single" w:sz="4" w:space="0" w:color="auto"/>
            </w:tcBorders>
            <w:shd w:val="clear" w:color="auto" w:fill="auto"/>
            <w:vAlign w:val="center"/>
            <w:hideMark/>
          </w:tcPr>
          <w:p w14:paraId="2FF53BB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DFFDA4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B66B67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216,000</w:t>
            </w:r>
          </w:p>
        </w:tc>
        <w:tc>
          <w:tcPr>
            <w:tcW w:w="880" w:type="dxa"/>
            <w:tcBorders>
              <w:top w:val="nil"/>
              <w:left w:val="nil"/>
              <w:bottom w:val="single" w:sz="4" w:space="0" w:color="auto"/>
              <w:right w:val="single" w:sz="4" w:space="0" w:color="auto"/>
            </w:tcBorders>
            <w:shd w:val="clear" w:color="auto" w:fill="auto"/>
            <w:vAlign w:val="center"/>
            <w:hideMark/>
          </w:tcPr>
          <w:p w14:paraId="7E7365E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10 308,000</w:t>
            </w:r>
          </w:p>
        </w:tc>
        <w:tc>
          <w:tcPr>
            <w:tcW w:w="880" w:type="dxa"/>
            <w:tcBorders>
              <w:top w:val="nil"/>
              <w:left w:val="nil"/>
              <w:bottom w:val="single" w:sz="4" w:space="0" w:color="auto"/>
              <w:right w:val="single" w:sz="4" w:space="0" w:color="auto"/>
            </w:tcBorders>
            <w:shd w:val="clear" w:color="auto" w:fill="auto"/>
            <w:vAlign w:val="center"/>
            <w:hideMark/>
          </w:tcPr>
          <w:p w14:paraId="2C19F56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11 219,000</w:t>
            </w:r>
          </w:p>
        </w:tc>
        <w:tc>
          <w:tcPr>
            <w:tcW w:w="880" w:type="dxa"/>
            <w:tcBorders>
              <w:top w:val="nil"/>
              <w:left w:val="nil"/>
              <w:bottom w:val="single" w:sz="4" w:space="0" w:color="auto"/>
              <w:right w:val="single" w:sz="4" w:space="0" w:color="auto"/>
            </w:tcBorders>
            <w:shd w:val="clear" w:color="auto" w:fill="auto"/>
            <w:vAlign w:val="center"/>
            <w:hideMark/>
          </w:tcPr>
          <w:p w14:paraId="7AE7AB1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14 111,000</w:t>
            </w:r>
          </w:p>
        </w:tc>
        <w:tc>
          <w:tcPr>
            <w:tcW w:w="880" w:type="dxa"/>
            <w:tcBorders>
              <w:top w:val="nil"/>
              <w:left w:val="nil"/>
              <w:bottom w:val="single" w:sz="4" w:space="0" w:color="auto"/>
              <w:right w:val="single" w:sz="4" w:space="0" w:color="auto"/>
            </w:tcBorders>
            <w:shd w:val="clear" w:color="auto" w:fill="auto"/>
            <w:vAlign w:val="center"/>
            <w:hideMark/>
          </w:tcPr>
          <w:p w14:paraId="249C2A5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11051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5FC8FF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52B6C9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DF2AF3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35 854,000</w:t>
            </w:r>
          </w:p>
        </w:tc>
        <w:tc>
          <w:tcPr>
            <w:tcW w:w="880" w:type="dxa"/>
            <w:tcBorders>
              <w:top w:val="nil"/>
              <w:left w:val="nil"/>
              <w:bottom w:val="single" w:sz="4" w:space="0" w:color="auto"/>
              <w:right w:val="single" w:sz="4" w:space="0" w:color="auto"/>
            </w:tcBorders>
            <w:shd w:val="clear" w:color="auto" w:fill="auto"/>
            <w:vAlign w:val="center"/>
            <w:hideMark/>
          </w:tcPr>
          <w:p w14:paraId="72394F5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47,977</w:t>
            </w:r>
          </w:p>
        </w:tc>
      </w:tr>
      <w:tr w:rsidR="00D30061" w:rsidRPr="00D30061" w14:paraId="07C8F983"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5B220DCD"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4785EB8"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8D68C3D"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9CEE05E"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508258A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390DF9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57DE1ED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7F51CB0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104,000</w:t>
            </w:r>
          </w:p>
        </w:tc>
        <w:tc>
          <w:tcPr>
            <w:tcW w:w="880" w:type="dxa"/>
            <w:tcBorders>
              <w:top w:val="nil"/>
              <w:left w:val="nil"/>
              <w:bottom w:val="single" w:sz="4" w:space="0" w:color="auto"/>
              <w:right w:val="single" w:sz="4" w:space="0" w:color="auto"/>
            </w:tcBorders>
            <w:shd w:val="clear" w:color="auto" w:fill="auto"/>
            <w:hideMark/>
          </w:tcPr>
          <w:p w14:paraId="7FE7FE0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4 711,000</w:t>
            </w:r>
          </w:p>
        </w:tc>
        <w:tc>
          <w:tcPr>
            <w:tcW w:w="880" w:type="dxa"/>
            <w:tcBorders>
              <w:top w:val="nil"/>
              <w:left w:val="nil"/>
              <w:bottom w:val="single" w:sz="4" w:space="0" w:color="auto"/>
              <w:right w:val="single" w:sz="4" w:space="0" w:color="auto"/>
            </w:tcBorders>
            <w:shd w:val="clear" w:color="auto" w:fill="auto"/>
            <w:vAlign w:val="center"/>
            <w:hideMark/>
          </w:tcPr>
          <w:p w14:paraId="020A1F7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4 569,000</w:t>
            </w:r>
          </w:p>
        </w:tc>
        <w:tc>
          <w:tcPr>
            <w:tcW w:w="880" w:type="dxa"/>
            <w:tcBorders>
              <w:top w:val="nil"/>
              <w:left w:val="nil"/>
              <w:bottom w:val="single" w:sz="4" w:space="0" w:color="auto"/>
              <w:right w:val="single" w:sz="4" w:space="0" w:color="auto"/>
            </w:tcBorders>
            <w:shd w:val="clear" w:color="auto" w:fill="auto"/>
            <w:vAlign w:val="center"/>
            <w:hideMark/>
          </w:tcPr>
          <w:p w14:paraId="596559D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5 729,000</w:t>
            </w:r>
          </w:p>
        </w:tc>
        <w:tc>
          <w:tcPr>
            <w:tcW w:w="880" w:type="dxa"/>
            <w:tcBorders>
              <w:top w:val="nil"/>
              <w:left w:val="nil"/>
              <w:bottom w:val="single" w:sz="4" w:space="0" w:color="auto"/>
              <w:right w:val="single" w:sz="4" w:space="0" w:color="auto"/>
            </w:tcBorders>
            <w:shd w:val="clear" w:color="auto" w:fill="auto"/>
            <w:vAlign w:val="center"/>
            <w:hideMark/>
          </w:tcPr>
          <w:p w14:paraId="2033750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1C7C2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CD4E23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F7AC1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19243F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15 113,000</w:t>
            </w:r>
          </w:p>
        </w:tc>
        <w:tc>
          <w:tcPr>
            <w:tcW w:w="880" w:type="dxa"/>
            <w:tcBorders>
              <w:top w:val="nil"/>
              <w:left w:val="nil"/>
              <w:bottom w:val="single" w:sz="4" w:space="0" w:color="auto"/>
              <w:right w:val="single" w:sz="4" w:space="0" w:color="auto"/>
            </w:tcBorders>
            <w:shd w:val="clear" w:color="auto" w:fill="auto"/>
            <w:vAlign w:val="center"/>
            <w:hideMark/>
          </w:tcPr>
          <w:p w14:paraId="4346A23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4C0FF605"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4418C38C"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512AB1A"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383AC4BC"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419A344B"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53D4EC7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2A80C5E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2934467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55803B7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112,000</w:t>
            </w:r>
          </w:p>
        </w:tc>
        <w:tc>
          <w:tcPr>
            <w:tcW w:w="880" w:type="dxa"/>
            <w:tcBorders>
              <w:top w:val="nil"/>
              <w:left w:val="nil"/>
              <w:bottom w:val="single" w:sz="4" w:space="0" w:color="auto"/>
              <w:right w:val="single" w:sz="4" w:space="0" w:color="auto"/>
            </w:tcBorders>
            <w:shd w:val="clear" w:color="auto" w:fill="auto"/>
            <w:hideMark/>
          </w:tcPr>
          <w:p w14:paraId="337718B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5 597,000</w:t>
            </w:r>
          </w:p>
        </w:tc>
        <w:tc>
          <w:tcPr>
            <w:tcW w:w="880" w:type="dxa"/>
            <w:tcBorders>
              <w:top w:val="nil"/>
              <w:left w:val="nil"/>
              <w:bottom w:val="single" w:sz="4" w:space="0" w:color="auto"/>
              <w:right w:val="single" w:sz="4" w:space="0" w:color="auto"/>
            </w:tcBorders>
            <w:shd w:val="clear" w:color="auto" w:fill="auto"/>
            <w:vAlign w:val="center"/>
            <w:hideMark/>
          </w:tcPr>
          <w:p w14:paraId="7AFB999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6 650,000</w:t>
            </w:r>
          </w:p>
        </w:tc>
        <w:tc>
          <w:tcPr>
            <w:tcW w:w="880" w:type="dxa"/>
            <w:tcBorders>
              <w:top w:val="nil"/>
              <w:left w:val="nil"/>
              <w:bottom w:val="single" w:sz="4" w:space="0" w:color="auto"/>
              <w:right w:val="single" w:sz="4" w:space="0" w:color="auto"/>
            </w:tcBorders>
            <w:shd w:val="clear" w:color="auto" w:fill="auto"/>
            <w:vAlign w:val="center"/>
            <w:hideMark/>
          </w:tcPr>
          <w:p w14:paraId="21410F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8 382,000</w:t>
            </w:r>
          </w:p>
        </w:tc>
        <w:tc>
          <w:tcPr>
            <w:tcW w:w="880" w:type="dxa"/>
            <w:tcBorders>
              <w:top w:val="nil"/>
              <w:left w:val="nil"/>
              <w:bottom w:val="single" w:sz="4" w:space="0" w:color="auto"/>
              <w:right w:val="single" w:sz="4" w:space="0" w:color="auto"/>
            </w:tcBorders>
            <w:shd w:val="clear" w:color="auto" w:fill="auto"/>
            <w:vAlign w:val="center"/>
            <w:hideMark/>
          </w:tcPr>
          <w:p w14:paraId="57F3D85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0BFF26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EC4117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DFFD1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5FC5D6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20 741,000</w:t>
            </w:r>
          </w:p>
        </w:tc>
        <w:tc>
          <w:tcPr>
            <w:tcW w:w="880" w:type="dxa"/>
            <w:tcBorders>
              <w:top w:val="nil"/>
              <w:left w:val="nil"/>
              <w:bottom w:val="single" w:sz="4" w:space="0" w:color="auto"/>
              <w:right w:val="single" w:sz="4" w:space="0" w:color="auto"/>
            </w:tcBorders>
            <w:shd w:val="clear" w:color="auto" w:fill="auto"/>
            <w:vAlign w:val="center"/>
            <w:hideMark/>
          </w:tcPr>
          <w:p w14:paraId="7D98054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0A442A63"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1B5E0DB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23FD3AF"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65A8A3A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119A6D8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6C67845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6 121,000</w:t>
            </w:r>
          </w:p>
        </w:tc>
        <w:tc>
          <w:tcPr>
            <w:tcW w:w="880" w:type="dxa"/>
            <w:tcBorders>
              <w:top w:val="nil"/>
              <w:left w:val="nil"/>
              <w:bottom w:val="single" w:sz="4" w:space="0" w:color="auto"/>
              <w:right w:val="single" w:sz="4" w:space="0" w:color="auto"/>
            </w:tcBorders>
            <w:shd w:val="clear" w:color="auto" w:fill="auto"/>
            <w:vAlign w:val="center"/>
            <w:hideMark/>
          </w:tcPr>
          <w:p w14:paraId="5A4CEA5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3C6619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C99FBB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A59DDD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258,000</w:t>
            </w:r>
          </w:p>
        </w:tc>
        <w:tc>
          <w:tcPr>
            <w:tcW w:w="880" w:type="dxa"/>
            <w:tcBorders>
              <w:top w:val="nil"/>
              <w:left w:val="nil"/>
              <w:bottom w:val="single" w:sz="4" w:space="0" w:color="auto"/>
              <w:right w:val="single" w:sz="4" w:space="0" w:color="auto"/>
            </w:tcBorders>
            <w:shd w:val="clear" w:color="auto" w:fill="auto"/>
            <w:vAlign w:val="center"/>
            <w:hideMark/>
          </w:tcPr>
          <w:p w14:paraId="249F620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793,000</w:t>
            </w:r>
          </w:p>
        </w:tc>
        <w:tc>
          <w:tcPr>
            <w:tcW w:w="880" w:type="dxa"/>
            <w:tcBorders>
              <w:top w:val="nil"/>
              <w:left w:val="nil"/>
              <w:bottom w:val="single" w:sz="4" w:space="0" w:color="auto"/>
              <w:right w:val="single" w:sz="4" w:space="0" w:color="auto"/>
            </w:tcBorders>
            <w:shd w:val="clear" w:color="auto" w:fill="auto"/>
            <w:vAlign w:val="center"/>
            <w:hideMark/>
          </w:tcPr>
          <w:p w14:paraId="1180B53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312,000</w:t>
            </w:r>
          </w:p>
        </w:tc>
        <w:tc>
          <w:tcPr>
            <w:tcW w:w="880" w:type="dxa"/>
            <w:tcBorders>
              <w:top w:val="nil"/>
              <w:left w:val="nil"/>
              <w:bottom w:val="single" w:sz="4" w:space="0" w:color="auto"/>
              <w:right w:val="single" w:sz="4" w:space="0" w:color="auto"/>
            </w:tcBorders>
            <w:shd w:val="clear" w:color="auto" w:fill="auto"/>
            <w:vAlign w:val="center"/>
            <w:hideMark/>
          </w:tcPr>
          <w:p w14:paraId="11B4861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8950B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FEB2C7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C15A7D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5D508C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1 363,000</w:t>
            </w:r>
          </w:p>
        </w:tc>
        <w:tc>
          <w:tcPr>
            <w:tcW w:w="880" w:type="dxa"/>
            <w:tcBorders>
              <w:top w:val="nil"/>
              <w:left w:val="nil"/>
              <w:bottom w:val="single" w:sz="4" w:space="0" w:color="auto"/>
              <w:right w:val="single" w:sz="4" w:space="0" w:color="auto"/>
            </w:tcBorders>
            <w:shd w:val="clear" w:color="auto" w:fill="auto"/>
            <w:vAlign w:val="center"/>
            <w:hideMark/>
          </w:tcPr>
          <w:p w14:paraId="08BE5EB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22,268</w:t>
            </w:r>
          </w:p>
        </w:tc>
      </w:tr>
      <w:tr w:rsidR="00D30061" w:rsidRPr="00D30061" w14:paraId="7BDF5C96"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741AC944"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2A82379"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765B6D8"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42446CD"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EBCE12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4F16048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1AB8C92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E0A68D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063C68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126,000</w:t>
            </w:r>
          </w:p>
        </w:tc>
        <w:tc>
          <w:tcPr>
            <w:tcW w:w="880" w:type="dxa"/>
            <w:tcBorders>
              <w:top w:val="nil"/>
              <w:left w:val="nil"/>
              <w:bottom w:val="single" w:sz="4" w:space="0" w:color="auto"/>
              <w:right w:val="single" w:sz="4" w:space="0" w:color="auto"/>
            </w:tcBorders>
            <w:shd w:val="clear" w:color="auto" w:fill="auto"/>
            <w:vAlign w:val="center"/>
            <w:hideMark/>
          </w:tcPr>
          <w:p w14:paraId="7EC345F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445,000</w:t>
            </w:r>
          </w:p>
        </w:tc>
        <w:tc>
          <w:tcPr>
            <w:tcW w:w="880" w:type="dxa"/>
            <w:tcBorders>
              <w:top w:val="nil"/>
              <w:left w:val="nil"/>
              <w:bottom w:val="single" w:sz="4" w:space="0" w:color="auto"/>
              <w:right w:val="single" w:sz="4" w:space="0" w:color="auto"/>
            </w:tcBorders>
            <w:shd w:val="clear" w:color="auto" w:fill="auto"/>
            <w:vAlign w:val="center"/>
            <w:hideMark/>
          </w:tcPr>
          <w:p w14:paraId="2460CFC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127,000</w:t>
            </w:r>
          </w:p>
        </w:tc>
        <w:tc>
          <w:tcPr>
            <w:tcW w:w="880" w:type="dxa"/>
            <w:tcBorders>
              <w:top w:val="nil"/>
              <w:left w:val="nil"/>
              <w:bottom w:val="single" w:sz="4" w:space="0" w:color="auto"/>
              <w:right w:val="single" w:sz="4" w:space="0" w:color="auto"/>
            </w:tcBorders>
            <w:shd w:val="clear" w:color="auto" w:fill="auto"/>
            <w:vAlign w:val="center"/>
            <w:hideMark/>
          </w:tcPr>
          <w:p w14:paraId="3110E40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008EAB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1211FD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D0096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E04622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698,000</w:t>
            </w:r>
          </w:p>
        </w:tc>
        <w:tc>
          <w:tcPr>
            <w:tcW w:w="880" w:type="dxa"/>
            <w:tcBorders>
              <w:top w:val="nil"/>
              <w:left w:val="nil"/>
              <w:bottom w:val="single" w:sz="4" w:space="0" w:color="auto"/>
              <w:right w:val="single" w:sz="4" w:space="0" w:color="auto"/>
            </w:tcBorders>
            <w:shd w:val="clear" w:color="auto" w:fill="auto"/>
            <w:vAlign w:val="center"/>
            <w:hideMark/>
          </w:tcPr>
          <w:p w14:paraId="6936F19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066D6ACD"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42EFD6CF"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610A7D5"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80347AE"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40E1CBFB"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15B39F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13CCAF0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2E6251C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0CE8947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51946A2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132,000</w:t>
            </w:r>
          </w:p>
        </w:tc>
        <w:tc>
          <w:tcPr>
            <w:tcW w:w="880" w:type="dxa"/>
            <w:tcBorders>
              <w:top w:val="nil"/>
              <w:left w:val="nil"/>
              <w:bottom w:val="single" w:sz="4" w:space="0" w:color="auto"/>
              <w:right w:val="single" w:sz="4" w:space="0" w:color="auto"/>
            </w:tcBorders>
            <w:shd w:val="clear" w:color="auto" w:fill="auto"/>
            <w:vAlign w:val="center"/>
            <w:hideMark/>
          </w:tcPr>
          <w:p w14:paraId="45B93A9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348,000</w:t>
            </w:r>
          </w:p>
        </w:tc>
        <w:tc>
          <w:tcPr>
            <w:tcW w:w="880" w:type="dxa"/>
            <w:tcBorders>
              <w:top w:val="nil"/>
              <w:left w:val="nil"/>
              <w:bottom w:val="single" w:sz="4" w:space="0" w:color="auto"/>
              <w:right w:val="single" w:sz="4" w:space="0" w:color="auto"/>
            </w:tcBorders>
            <w:shd w:val="clear" w:color="auto" w:fill="auto"/>
            <w:vAlign w:val="center"/>
            <w:hideMark/>
          </w:tcPr>
          <w:p w14:paraId="6E09F70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184,000</w:t>
            </w:r>
          </w:p>
        </w:tc>
        <w:tc>
          <w:tcPr>
            <w:tcW w:w="880" w:type="dxa"/>
            <w:tcBorders>
              <w:top w:val="nil"/>
              <w:left w:val="nil"/>
              <w:bottom w:val="single" w:sz="4" w:space="0" w:color="auto"/>
              <w:right w:val="single" w:sz="4" w:space="0" w:color="auto"/>
            </w:tcBorders>
            <w:shd w:val="clear" w:color="auto" w:fill="auto"/>
            <w:vAlign w:val="center"/>
            <w:hideMark/>
          </w:tcPr>
          <w:p w14:paraId="0F5642D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B4E618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9017AA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CBFC8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4A31A3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664,000</w:t>
            </w:r>
          </w:p>
        </w:tc>
        <w:tc>
          <w:tcPr>
            <w:tcW w:w="880" w:type="dxa"/>
            <w:tcBorders>
              <w:top w:val="nil"/>
              <w:left w:val="nil"/>
              <w:bottom w:val="single" w:sz="4" w:space="0" w:color="auto"/>
              <w:right w:val="single" w:sz="4" w:space="0" w:color="auto"/>
            </w:tcBorders>
            <w:shd w:val="clear" w:color="auto" w:fill="auto"/>
            <w:vAlign w:val="center"/>
            <w:hideMark/>
          </w:tcPr>
          <w:p w14:paraId="6032582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31012F2E"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2EA6F3A5"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67001</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55DDCB1F"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Kapacita podpořených služeb</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38C6375C"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Místa</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274688C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57F9472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29 970,000</w:t>
            </w:r>
          </w:p>
        </w:tc>
        <w:tc>
          <w:tcPr>
            <w:tcW w:w="880" w:type="dxa"/>
            <w:tcBorders>
              <w:top w:val="nil"/>
              <w:left w:val="nil"/>
              <w:bottom w:val="single" w:sz="4" w:space="0" w:color="auto"/>
              <w:right w:val="single" w:sz="4" w:space="0" w:color="auto"/>
            </w:tcBorders>
            <w:shd w:val="clear" w:color="auto" w:fill="auto"/>
            <w:vAlign w:val="center"/>
            <w:hideMark/>
          </w:tcPr>
          <w:p w14:paraId="112A8FD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8DDC0B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E37057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2 423,500</w:t>
            </w:r>
          </w:p>
        </w:tc>
        <w:tc>
          <w:tcPr>
            <w:tcW w:w="880" w:type="dxa"/>
            <w:tcBorders>
              <w:top w:val="nil"/>
              <w:left w:val="nil"/>
              <w:bottom w:val="single" w:sz="4" w:space="0" w:color="auto"/>
              <w:right w:val="single" w:sz="4" w:space="0" w:color="auto"/>
            </w:tcBorders>
            <w:shd w:val="clear" w:color="auto" w:fill="auto"/>
            <w:vAlign w:val="center"/>
            <w:hideMark/>
          </w:tcPr>
          <w:p w14:paraId="7FDAAAE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10 419,000</w:t>
            </w:r>
          </w:p>
        </w:tc>
        <w:tc>
          <w:tcPr>
            <w:tcW w:w="880" w:type="dxa"/>
            <w:tcBorders>
              <w:top w:val="nil"/>
              <w:left w:val="nil"/>
              <w:bottom w:val="single" w:sz="4" w:space="0" w:color="auto"/>
              <w:right w:val="single" w:sz="4" w:space="0" w:color="auto"/>
            </w:tcBorders>
            <w:shd w:val="clear" w:color="auto" w:fill="auto"/>
            <w:vAlign w:val="center"/>
            <w:hideMark/>
          </w:tcPr>
          <w:p w14:paraId="02DA807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4 018,100</w:t>
            </w:r>
          </w:p>
        </w:tc>
        <w:tc>
          <w:tcPr>
            <w:tcW w:w="880" w:type="dxa"/>
            <w:tcBorders>
              <w:top w:val="nil"/>
              <w:left w:val="nil"/>
              <w:bottom w:val="single" w:sz="4" w:space="0" w:color="auto"/>
              <w:right w:val="single" w:sz="4" w:space="0" w:color="auto"/>
            </w:tcBorders>
            <w:shd w:val="clear" w:color="auto" w:fill="auto"/>
            <w:vAlign w:val="center"/>
            <w:hideMark/>
          </w:tcPr>
          <w:p w14:paraId="137EF92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6 066,000</w:t>
            </w:r>
          </w:p>
        </w:tc>
        <w:tc>
          <w:tcPr>
            <w:tcW w:w="880" w:type="dxa"/>
            <w:tcBorders>
              <w:top w:val="nil"/>
              <w:left w:val="nil"/>
              <w:bottom w:val="single" w:sz="4" w:space="0" w:color="auto"/>
              <w:right w:val="single" w:sz="4" w:space="0" w:color="auto"/>
            </w:tcBorders>
            <w:shd w:val="clear" w:color="auto" w:fill="auto"/>
            <w:vAlign w:val="center"/>
            <w:hideMark/>
          </w:tcPr>
          <w:p w14:paraId="0927F45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D511B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5161D4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6D3D2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5CFC26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22 926,680</w:t>
            </w:r>
          </w:p>
        </w:tc>
        <w:tc>
          <w:tcPr>
            <w:tcW w:w="880" w:type="dxa"/>
            <w:tcBorders>
              <w:top w:val="nil"/>
              <w:left w:val="nil"/>
              <w:bottom w:val="single" w:sz="4" w:space="0" w:color="auto"/>
              <w:right w:val="single" w:sz="4" w:space="0" w:color="auto"/>
            </w:tcBorders>
            <w:shd w:val="clear" w:color="auto" w:fill="auto"/>
            <w:vAlign w:val="center"/>
            <w:hideMark/>
          </w:tcPr>
          <w:p w14:paraId="7E62D7E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76,499</w:t>
            </w:r>
          </w:p>
        </w:tc>
      </w:tr>
      <w:tr w:rsidR="00D30061" w:rsidRPr="00D30061" w14:paraId="2777DFCC"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157BBA2D"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6A2083E"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1231FB1"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4B83BC17"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7D3A2B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D14F5B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23DED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2820F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85752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ED2A3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4789AC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1D5A8B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B7579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0A727A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A8DA3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3C7E0F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60F63E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458E9355"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3CD150E7"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51985CF"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7F2F3282"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0B19D09"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48E24D3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CB8325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170B9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C99B66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FF675B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D0DC19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C8CA3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01C24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385BBD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C82D4A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2241BE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E501B1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2CA3A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45B249FF"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09B70C08"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67001</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4E5554D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Kapacita podpořených služeb</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3AA39B76"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Místa</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318FC6EC"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73CF296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3 293,000</w:t>
            </w:r>
          </w:p>
        </w:tc>
        <w:tc>
          <w:tcPr>
            <w:tcW w:w="880" w:type="dxa"/>
            <w:tcBorders>
              <w:top w:val="nil"/>
              <w:left w:val="nil"/>
              <w:bottom w:val="single" w:sz="4" w:space="0" w:color="auto"/>
              <w:right w:val="single" w:sz="4" w:space="0" w:color="auto"/>
            </w:tcBorders>
            <w:shd w:val="clear" w:color="auto" w:fill="auto"/>
            <w:vAlign w:val="center"/>
            <w:hideMark/>
          </w:tcPr>
          <w:p w14:paraId="6D73E37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1EAACC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2F3A9C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8C4524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956,580</w:t>
            </w:r>
          </w:p>
        </w:tc>
        <w:tc>
          <w:tcPr>
            <w:tcW w:w="880" w:type="dxa"/>
            <w:tcBorders>
              <w:top w:val="nil"/>
              <w:left w:val="nil"/>
              <w:bottom w:val="single" w:sz="4" w:space="0" w:color="auto"/>
              <w:right w:val="single" w:sz="4" w:space="0" w:color="auto"/>
            </w:tcBorders>
            <w:shd w:val="clear" w:color="auto" w:fill="auto"/>
            <w:vAlign w:val="center"/>
            <w:hideMark/>
          </w:tcPr>
          <w:p w14:paraId="6E95C06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76,000</w:t>
            </w:r>
          </w:p>
        </w:tc>
        <w:tc>
          <w:tcPr>
            <w:tcW w:w="880" w:type="dxa"/>
            <w:tcBorders>
              <w:top w:val="nil"/>
              <w:left w:val="nil"/>
              <w:bottom w:val="single" w:sz="4" w:space="0" w:color="auto"/>
              <w:right w:val="single" w:sz="4" w:space="0" w:color="auto"/>
            </w:tcBorders>
            <w:shd w:val="clear" w:color="auto" w:fill="auto"/>
            <w:vAlign w:val="center"/>
            <w:hideMark/>
          </w:tcPr>
          <w:p w14:paraId="0203930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207,800</w:t>
            </w:r>
          </w:p>
        </w:tc>
        <w:tc>
          <w:tcPr>
            <w:tcW w:w="880" w:type="dxa"/>
            <w:tcBorders>
              <w:top w:val="nil"/>
              <w:left w:val="nil"/>
              <w:bottom w:val="single" w:sz="4" w:space="0" w:color="auto"/>
              <w:right w:val="single" w:sz="4" w:space="0" w:color="auto"/>
            </w:tcBorders>
            <w:shd w:val="clear" w:color="auto" w:fill="auto"/>
            <w:vAlign w:val="center"/>
            <w:hideMark/>
          </w:tcPr>
          <w:p w14:paraId="5E2D2CF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22F85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69F099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E3EA3D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4214B3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1 240,380</w:t>
            </w:r>
          </w:p>
        </w:tc>
        <w:tc>
          <w:tcPr>
            <w:tcW w:w="880" w:type="dxa"/>
            <w:tcBorders>
              <w:top w:val="nil"/>
              <w:left w:val="nil"/>
              <w:bottom w:val="single" w:sz="4" w:space="0" w:color="auto"/>
              <w:right w:val="single" w:sz="4" w:space="0" w:color="auto"/>
            </w:tcBorders>
            <w:shd w:val="clear" w:color="auto" w:fill="auto"/>
            <w:vAlign w:val="center"/>
            <w:hideMark/>
          </w:tcPr>
          <w:p w14:paraId="6C4F9FC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37,667</w:t>
            </w:r>
          </w:p>
        </w:tc>
      </w:tr>
      <w:tr w:rsidR="00D30061" w:rsidRPr="00D30061" w14:paraId="4F8D087C"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63CDA343"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62FD2332"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43C178C"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0601C4B"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722A393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E105B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BA5DDB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38200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530B4B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92592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1720FB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D2D44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625682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4187B6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A42E7D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3C549F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B39CA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5428690"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708B4CC5"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B0D0599"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D9C84F1"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68A4DA87"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7606A1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D320F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A576E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D06D5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AFE82A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0E6624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1545CE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7D35C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A85ED8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EF6888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E12C4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36CED0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4CDC67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31EDD299"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04310DEB"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67101</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68EFAE69"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podpořených podpůrných institucí</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4E02DB45"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5EA2B9D6"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23C0236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4,000</w:t>
            </w:r>
          </w:p>
        </w:tc>
        <w:tc>
          <w:tcPr>
            <w:tcW w:w="880" w:type="dxa"/>
            <w:tcBorders>
              <w:top w:val="nil"/>
              <w:left w:val="nil"/>
              <w:bottom w:val="single" w:sz="4" w:space="0" w:color="auto"/>
              <w:right w:val="single" w:sz="4" w:space="0" w:color="auto"/>
            </w:tcBorders>
            <w:shd w:val="clear" w:color="auto" w:fill="auto"/>
            <w:vAlign w:val="center"/>
            <w:hideMark/>
          </w:tcPr>
          <w:p w14:paraId="1D1C00E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65ADAB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6852E3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E4AD35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79B797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28FAC9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CDDC97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86D08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5FB371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17C679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C9F9CB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24D136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0887B63C"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0BB5074F"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3AE61F5E"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94E1F6F"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518A756"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DD8690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431D9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3D426F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E6BEA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B2CAAA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B9B223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7D044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1AFA2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1FA9D0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666011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456F8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CD47EA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F0BF37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1E8CFE32"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5966D078"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58588008"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6349716"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3A94FB36"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07626C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B96F5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F0288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50A26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72586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B72AB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EF3FB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66D46F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47937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9F14F7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825F2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989034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4EB54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01A4766C"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22008DBF"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67101</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A4A9A1A"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podpořených podpůrných institucí</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6B06966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76C41D9E"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5CB1258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1,000</w:t>
            </w:r>
          </w:p>
        </w:tc>
        <w:tc>
          <w:tcPr>
            <w:tcW w:w="880" w:type="dxa"/>
            <w:tcBorders>
              <w:top w:val="nil"/>
              <w:left w:val="nil"/>
              <w:bottom w:val="single" w:sz="4" w:space="0" w:color="auto"/>
              <w:right w:val="single" w:sz="4" w:space="0" w:color="auto"/>
            </w:tcBorders>
            <w:shd w:val="clear" w:color="auto" w:fill="auto"/>
            <w:vAlign w:val="center"/>
            <w:hideMark/>
          </w:tcPr>
          <w:p w14:paraId="12F9212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A7AAE9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F88984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646589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3C0BA2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3B206D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FBE3B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00DE5A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0307A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CC253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8BD2CD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C6DF6D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70B3B700"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1D5FC38F"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7DDE12DF"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B86FD1E"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4A95320"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EE6A35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114A9E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0C6DB5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D9329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2773F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3C3330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88674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EF1EA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77E3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F57095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0D18E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68143C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11749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8A48510"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39806087"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D03F9AE"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6C8E4B7F"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9F32553"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FEBA11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8EE0B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D4EC62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13EC6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161146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582C8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B0F59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0CB2ED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DD1181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997163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43BD66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69CA87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F6944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10AFDD00"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4A91774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67300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4998B42E"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účastníků, kterým bylo poskytnuto poradenství v oblasti sociálního podnikání</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0245321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339E5220"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5BC165F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72,000</w:t>
            </w:r>
          </w:p>
        </w:tc>
        <w:tc>
          <w:tcPr>
            <w:tcW w:w="880" w:type="dxa"/>
            <w:tcBorders>
              <w:top w:val="nil"/>
              <w:left w:val="nil"/>
              <w:bottom w:val="single" w:sz="4" w:space="0" w:color="auto"/>
              <w:right w:val="single" w:sz="4" w:space="0" w:color="auto"/>
            </w:tcBorders>
            <w:shd w:val="clear" w:color="auto" w:fill="auto"/>
            <w:vAlign w:val="center"/>
            <w:hideMark/>
          </w:tcPr>
          <w:p w14:paraId="2571015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B4CDC7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EB3939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A32863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F549F5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11,810</w:t>
            </w:r>
          </w:p>
        </w:tc>
        <w:tc>
          <w:tcPr>
            <w:tcW w:w="880" w:type="dxa"/>
            <w:tcBorders>
              <w:top w:val="nil"/>
              <w:left w:val="nil"/>
              <w:bottom w:val="single" w:sz="4" w:space="0" w:color="auto"/>
              <w:right w:val="single" w:sz="4" w:space="0" w:color="auto"/>
            </w:tcBorders>
            <w:shd w:val="clear" w:color="auto" w:fill="auto"/>
            <w:vAlign w:val="center"/>
            <w:hideMark/>
          </w:tcPr>
          <w:p w14:paraId="4C71838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8,670</w:t>
            </w:r>
          </w:p>
        </w:tc>
        <w:tc>
          <w:tcPr>
            <w:tcW w:w="880" w:type="dxa"/>
            <w:tcBorders>
              <w:top w:val="nil"/>
              <w:left w:val="nil"/>
              <w:bottom w:val="single" w:sz="4" w:space="0" w:color="auto"/>
              <w:right w:val="single" w:sz="4" w:space="0" w:color="auto"/>
            </w:tcBorders>
            <w:shd w:val="clear" w:color="auto" w:fill="auto"/>
            <w:vAlign w:val="center"/>
            <w:hideMark/>
          </w:tcPr>
          <w:p w14:paraId="39CFB15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FD3A55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57A8D5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8D05F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22AB9E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20,480</w:t>
            </w:r>
          </w:p>
        </w:tc>
        <w:tc>
          <w:tcPr>
            <w:tcW w:w="880" w:type="dxa"/>
            <w:tcBorders>
              <w:top w:val="nil"/>
              <w:left w:val="nil"/>
              <w:bottom w:val="single" w:sz="4" w:space="0" w:color="auto"/>
              <w:right w:val="single" w:sz="4" w:space="0" w:color="auto"/>
            </w:tcBorders>
            <w:shd w:val="clear" w:color="auto" w:fill="auto"/>
            <w:vAlign w:val="center"/>
            <w:hideMark/>
          </w:tcPr>
          <w:p w14:paraId="1C29F5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28,444</w:t>
            </w:r>
          </w:p>
        </w:tc>
      </w:tr>
      <w:tr w:rsidR="00D30061" w:rsidRPr="00D30061" w14:paraId="1E1E2942"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45BE0312"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5889A9D"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04A0410C"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2EC0BD4"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48E8CC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BB49B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07DDC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D2FAB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3E95B3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5DBFF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9A8F9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848A4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B96C2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077146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5552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B3EAE7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EB7D97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5805B2FF"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06219508"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515F1565"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7C49417"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B720C5F"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4151866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F9F15B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510A23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2CBDC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17936F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3D5F2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777CCA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F233B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B6337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7E23DF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D701AB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0BE1DE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8EC41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B1389F8"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6DB0B827"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67300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2F959001"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účastníků, kterým bylo poskytnuto poradenství v oblasti sociálního podnikání</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17C23621"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10A3599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65AFF7C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8,000</w:t>
            </w:r>
          </w:p>
        </w:tc>
        <w:tc>
          <w:tcPr>
            <w:tcW w:w="880" w:type="dxa"/>
            <w:tcBorders>
              <w:top w:val="nil"/>
              <w:left w:val="nil"/>
              <w:bottom w:val="single" w:sz="4" w:space="0" w:color="auto"/>
              <w:right w:val="single" w:sz="4" w:space="0" w:color="auto"/>
            </w:tcBorders>
            <w:shd w:val="clear" w:color="auto" w:fill="auto"/>
            <w:vAlign w:val="center"/>
            <w:hideMark/>
          </w:tcPr>
          <w:p w14:paraId="2AC0660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217F0B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B7B71B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9C5E79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851BC6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3,190</w:t>
            </w:r>
          </w:p>
        </w:tc>
        <w:tc>
          <w:tcPr>
            <w:tcW w:w="880" w:type="dxa"/>
            <w:tcBorders>
              <w:top w:val="nil"/>
              <w:left w:val="nil"/>
              <w:bottom w:val="single" w:sz="4" w:space="0" w:color="auto"/>
              <w:right w:val="single" w:sz="4" w:space="0" w:color="auto"/>
            </w:tcBorders>
            <w:shd w:val="clear" w:color="auto" w:fill="auto"/>
            <w:vAlign w:val="center"/>
            <w:hideMark/>
          </w:tcPr>
          <w:p w14:paraId="62B6B37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2,340</w:t>
            </w:r>
          </w:p>
        </w:tc>
        <w:tc>
          <w:tcPr>
            <w:tcW w:w="880" w:type="dxa"/>
            <w:tcBorders>
              <w:top w:val="nil"/>
              <w:left w:val="nil"/>
              <w:bottom w:val="single" w:sz="4" w:space="0" w:color="auto"/>
              <w:right w:val="single" w:sz="4" w:space="0" w:color="auto"/>
            </w:tcBorders>
            <w:shd w:val="clear" w:color="auto" w:fill="auto"/>
            <w:vAlign w:val="center"/>
            <w:hideMark/>
          </w:tcPr>
          <w:p w14:paraId="161068A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8A8E0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4777C7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EE6D2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3DDF9C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5,530</w:t>
            </w:r>
          </w:p>
        </w:tc>
        <w:tc>
          <w:tcPr>
            <w:tcW w:w="880" w:type="dxa"/>
            <w:tcBorders>
              <w:top w:val="nil"/>
              <w:left w:val="nil"/>
              <w:bottom w:val="single" w:sz="4" w:space="0" w:color="auto"/>
              <w:right w:val="single" w:sz="4" w:space="0" w:color="auto"/>
            </w:tcBorders>
            <w:shd w:val="clear" w:color="auto" w:fill="auto"/>
            <w:vAlign w:val="center"/>
            <w:hideMark/>
          </w:tcPr>
          <w:p w14:paraId="15C4699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69,125</w:t>
            </w:r>
          </w:p>
        </w:tc>
      </w:tr>
      <w:tr w:rsidR="00D30061" w:rsidRPr="00D30061" w14:paraId="4E36EE91"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27A0A6D8"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592D6557"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3D958F46"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2DA65403"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0F1B9E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47693D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412514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DC6120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2AD5CB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CAED1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6F5601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737A8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30DE7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0D36F7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A6737B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4D03B8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8847C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1BE59533"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2C6B16F4"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235C6629"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AC7EC5E"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2C391D6"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3BEA7B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43503A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0DAE8C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20E77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E5CC40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D92DC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1BE71C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1FBF8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702740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42A2B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0CB0A8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85EA3D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1BF888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49911648"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519981CE"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67401</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915ADD8"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Nové nebo inovované sociální služby týkající se bydlení</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1FBAE5C7"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Služby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600DC08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0A9F246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225,000</w:t>
            </w:r>
          </w:p>
        </w:tc>
        <w:tc>
          <w:tcPr>
            <w:tcW w:w="880" w:type="dxa"/>
            <w:tcBorders>
              <w:top w:val="nil"/>
              <w:left w:val="nil"/>
              <w:bottom w:val="single" w:sz="4" w:space="0" w:color="auto"/>
              <w:right w:val="single" w:sz="4" w:space="0" w:color="auto"/>
            </w:tcBorders>
            <w:shd w:val="clear" w:color="auto" w:fill="auto"/>
            <w:vAlign w:val="center"/>
            <w:hideMark/>
          </w:tcPr>
          <w:p w14:paraId="1645445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A5B6FC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0DD268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1,000</w:t>
            </w:r>
          </w:p>
        </w:tc>
        <w:tc>
          <w:tcPr>
            <w:tcW w:w="880" w:type="dxa"/>
            <w:tcBorders>
              <w:top w:val="nil"/>
              <w:left w:val="nil"/>
              <w:bottom w:val="single" w:sz="4" w:space="0" w:color="auto"/>
              <w:right w:val="single" w:sz="4" w:space="0" w:color="auto"/>
            </w:tcBorders>
            <w:shd w:val="clear" w:color="auto" w:fill="auto"/>
            <w:vAlign w:val="center"/>
            <w:hideMark/>
          </w:tcPr>
          <w:p w14:paraId="5F1ACF4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33,000</w:t>
            </w:r>
          </w:p>
        </w:tc>
        <w:tc>
          <w:tcPr>
            <w:tcW w:w="880" w:type="dxa"/>
            <w:tcBorders>
              <w:top w:val="nil"/>
              <w:left w:val="nil"/>
              <w:bottom w:val="single" w:sz="4" w:space="0" w:color="auto"/>
              <w:right w:val="single" w:sz="4" w:space="0" w:color="auto"/>
            </w:tcBorders>
            <w:shd w:val="clear" w:color="auto" w:fill="auto"/>
            <w:vAlign w:val="center"/>
            <w:hideMark/>
          </w:tcPr>
          <w:p w14:paraId="228F657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11,000</w:t>
            </w:r>
          </w:p>
        </w:tc>
        <w:tc>
          <w:tcPr>
            <w:tcW w:w="880" w:type="dxa"/>
            <w:tcBorders>
              <w:top w:val="nil"/>
              <w:left w:val="nil"/>
              <w:bottom w:val="single" w:sz="4" w:space="0" w:color="auto"/>
              <w:right w:val="single" w:sz="4" w:space="0" w:color="auto"/>
            </w:tcBorders>
            <w:shd w:val="clear" w:color="auto" w:fill="auto"/>
            <w:vAlign w:val="center"/>
            <w:hideMark/>
          </w:tcPr>
          <w:p w14:paraId="7233307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13,000</w:t>
            </w:r>
          </w:p>
        </w:tc>
        <w:tc>
          <w:tcPr>
            <w:tcW w:w="880" w:type="dxa"/>
            <w:tcBorders>
              <w:top w:val="nil"/>
              <w:left w:val="nil"/>
              <w:bottom w:val="single" w:sz="4" w:space="0" w:color="auto"/>
              <w:right w:val="single" w:sz="4" w:space="0" w:color="auto"/>
            </w:tcBorders>
            <w:shd w:val="clear" w:color="auto" w:fill="auto"/>
            <w:vAlign w:val="center"/>
            <w:hideMark/>
          </w:tcPr>
          <w:p w14:paraId="30D6F03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0CB383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F37761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DB9EC0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09FBD2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58,000</w:t>
            </w:r>
          </w:p>
        </w:tc>
        <w:tc>
          <w:tcPr>
            <w:tcW w:w="880" w:type="dxa"/>
            <w:tcBorders>
              <w:top w:val="nil"/>
              <w:left w:val="nil"/>
              <w:bottom w:val="single" w:sz="4" w:space="0" w:color="auto"/>
              <w:right w:val="single" w:sz="4" w:space="0" w:color="auto"/>
            </w:tcBorders>
            <w:shd w:val="clear" w:color="auto" w:fill="auto"/>
            <w:vAlign w:val="center"/>
            <w:hideMark/>
          </w:tcPr>
          <w:p w14:paraId="0B2946E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25,778</w:t>
            </w:r>
          </w:p>
        </w:tc>
      </w:tr>
      <w:tr w:rsidR="00D30061" w:rsidRPr="00D30061" w14:paraId="73F46745"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5E10A6C0"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3FDA0D22"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2B36B515"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6CCDB766"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B01BCE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B9366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68B5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3FF56E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5B5F49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07658A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33867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EBA328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83096A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B10F81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50B29C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84EAEC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D94E3D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0296B2D" w14:textId="77777777" w:rsidTr="00D30061">
        <w:trPr>
          <w:trHeight w:val="230"/>
        </w:trPr>
        <w:tc>
          <w:tcPr>
            <w:tcW w:w="640" w:type="dxa"/>
            <w:vMerge/>
            <w:tcBorders>
              <w:top w:val="nil"/>
              <w:left w:val="single" w:sz="4" w:space="0" w:color="auto"/>
              <w:bottom w:val="single" w:sz="4" w:space="0" w:color="auto"/>
              <w:right w:val="single" w:sz="4" w:space="0" w:color="auto"/>
            </w:tcBorders>
            <w:vAlign w:val="center"/>
            <w:hideMark/>
          </w:tcPr>
          <w:p w14:paraId="022AB190"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3AEA9F94"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5F8C86F"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442E28BC"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9DD890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2DF2F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21DCC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9200C7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D8C50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ECF23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F150B5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560B6B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4D4C9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280F23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D9C16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7DDBC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08CAF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927010C" w14:textId="77777777" w:rsidTr="00D30061">
        <w:trPr>
          <w:trHeight w:hRule="exact" w:val="232"/>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700173AA"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67401</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2BF2431"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Nové nebo inovované sociální služby týkající se bydlení</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79DC20C6"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Služby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0CE235E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5D39E38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22,000</w:t>
            </w:r>
          </w:p>
        </w:tc>
        <w:tc>
          <w:tcPr>
            <w:tcW w:w="880" w:type="dxa"/>
            <w:tcBorders>
              <w:top w:val="nil"/>
              <w:left w:val="nil"/>
              <w:bottom w:val="single" w:sz="4" w:space="0" w:color="auto"/>
              <w:right w:val="single" w:sz="4" w:space="0" w:color="auto"/>
            </w:tcBorders>
            <w:shd w:val="clear" w:color="auto" w:fill="auto"/>
            <w:vAlign w:val="center"/>
            <w:hideMark/>
          </w:tcPr>
          <w:p w14:paraId="10D9EC3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347A25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E2CC65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6C0E6E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167A8E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0C67B9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980C82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8BF1C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FC88A6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71B8E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4D0487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5780A1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r>
      <w:tr w:rsidR="00D30061" w:rsidRPr="00D30061" w14:paraId="0F8FE405"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585FFF27"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75CC542E"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3AC660D2"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677D38B8"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49F5E2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F6AC2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37901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09F8B1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A8995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0ECB1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90EA6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7E014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031A8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D1D163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FE9204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D8832E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15FCC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1B6E4D55" w14:textId="77777777" w:rsidTr="00D30061">
        <w:trPr>
          <w:trHeight w:hRule="exact" w:val="232"/>
        </w:trPr>
        <w:tc>
          <w:tcPr>
            <w:tcW w:w="640" w:type="dxa"/>
            <w:vMerge/>
            <w:tcBorders>
              <w:top w:val="nil"/>
              <w:left w:val="single" w:sz="4" w:space="0" w:color="auto"/>
              <w:bottom w:val="single" w:sz="4" w:space="0" w:color="auto"/>
              <w:right w:val="single" w:sz="4" w:space="0" w:color="auto"/>
            </w:tcBorders>
            <w:vAlign w:val="center"/>
            <w:hideMark/>
          </w:tcPr>
          <w:p w14:paraId="1E2B595A"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00F9AC1"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71B09568"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1E60B8EF"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7FA37D9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E150E3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8CF85E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520AD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78002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0AB9F2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058F1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4EF26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B5D76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D151B4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DC4479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DFC1D2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BF89B6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652D94B9" w14:textId="77777777" w:rsidTr="00D30061">
        <w:trPr>
          <w:trHeight w:hRule="exact" w:val="284"/>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71996EF9"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26433008"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7A967A32"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79DAC174"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583C718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16,000</w:t>
            </w:r>
          </w:p>
        </w:tc>
        <w:tc>
          <w:tcPr>
            <w:tcW w:w="880" w:type="dxa"/>
            <w:tcBorders>
              <w:top w:val="nil"/>
              <w:left w:val="nil"/>
              <w:bottom w:val="single" w:sz="4" w:space="0" w:color="auto"/>
              <w:right w:val="single" w:sz="4" w:space="0" w:color="auto"/>
            </w:tcBorders>
            <w:shd w:val="clear" w:color="auto" w:fill="auto"/>
            <w:vAlign w:val="center"/>
            <w:hideMark/>
          </w:tcPr>
          <w:p w14:paraId="21DD3C8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F6744F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7CD3CE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7A631D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5DD33A0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22,000</w:t>
            </w:r>
          </w:p>
        </w:tc>
        <w:tc>
          <w:tcPr>
            <w:tcW w:w="880" w:type="dxa"/>
            <w:tcBorders>
              <w:top w:val="nil"/>
              <w:left w:val="nil"/>
              <w:bottom w:val="single" w:sz="4" w:space="0" w:color="auto"/>
              <w:right w:val="single" w:sz="4" w:space="0" w:color="auto"/>
            </w:tcBorders>
            <w:shd w:val="clear" w:color="auto" w:fill="auto"/>
            <w:vAlign w:val="center"/>
            <w:hideMark/>
          </w:tcPr>
          <w:p w14:paraId="0B671E5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47,000</w:t>
            </w:r>
          </w:p>
        </w:tc>
        <w:tc>
          <w:tcPr>
            <w:tcW w:w="880" w:type="dxa"/>
            <w:tcBorders>
              <w:top w:val="nil"/>
              <w:left w:val="nil"/>
              <w:bottom w:val="single" w:sz="4" w:space="0" w:color="auto"/>
              <w:right w:val="single" w:sz="4" w:space="0" w:color="auto"/>
            </w:tcBorders>
            <w:shd w:val="clear" w:color="auto" w:fill="auto"/>
            <w:vAlign w:val="center"/>
            <w:hideMark/>
          </w:tcPr>
          <w:p w14:paraId="0E033D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D6B9CE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46EB0F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87E14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8DA29B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69,000</w:t>
            </w:r>
          </w:p>
        </w:tc>
        <w:tc>
          <w:tcPr>
            <w:tcW w:w="880" w:type="dxa"/>
            <w:tcBorders>
              <w:top w:val="nil"/>
              <w:left w:val="nil"/>
              <w:bottom w:val="single" w:sz="4" w:space="0" w:color="auto"/>
              <w:right w:val="single" w:sz="4" w:space="0" w:color="auto"/>
            </w:tcBorders>
            <w:shd w:val="clear" w:color="auto" w:fill="auto"/>
            <w:vAlign w:val="center"/>
            <w:hideMark/>
          </w:tcPr>
          <w:p w14:paraId="647E87D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431,250</w:t>
            </w:r>
          </w:p>
        </w:tc>
      </w:tr>
      <w:tr w:rsidR="00D30061" w:rsidRPr="00D30061" w14:paraId="3A7EFBC4" w14:textId="77777777" w:rsidTr="00D30061">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20AF6CB4"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04E9F3A9"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1E354BB3"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7DA5D96E"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5E93552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35E31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F55350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E13C2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CE0E8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D10CAE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45DD8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5098E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0792D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39A0F5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4A408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39AA4C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AF69E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129DEA8" w14:textId="77777777" w:rsidTr="00D30061">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348D6C2A"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307B588E"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07011C80"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50AF16F7"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810F1F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D1FBB0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5769D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83421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8ADA4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E57810"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23BF19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0AF86A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CE280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7E2B9E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002F4E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C7A839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317BFE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16C499F4" w14:textId="77777777" w:rsidTr="00D30061">
        <w:trPr>
          <w:trHeight w:hRule="exact" w:val="284"/>
        </w:trPr>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14:paraId="5E4F8F6C"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2D3E0B83"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14:paraId="404C5BEF"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14:paraId="4C6FB445" w14:textId="77777777" w:rsidR="00D30061" w:rsidRPr="00D30061" w:rsidRDefault="00D30061" w:rsidP="00D30061">
            <w:pPr>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Více rozvinuté regiony</w:t>
            </w:r>
          </w:p>
        </w:tc>
        <w:tc>
          <w:tcPr>
            <w:tcW w:w="880" w:type="dxa"/>
            <w:tcBorders>
              <w:top w:val="nil"/>
              <w:left w:val="nil"/>
              <w:bottom w:val="single" w:sz="4" w:space="0" w:color="auto"/>
              <w:right w:val="single" w:sz="4" w:space="0" w:color="auto"/>
            </w:tcBorders>
            <w:shd w:val="clear" w:color="auto" w:fill="auto"/>
            <w:vAlign w:val="center"/>
            <w:hideMark/>
          </w:tcPr>
          <w:p w14:paraId="746389B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2,000</w:t>
            </w:r>
          </w:p>
        </w:tc>
        <w:tc>
          <w:tcPr>
            <w:tcW w:w="880" w:type="dxa"/>
            <w:tcBorders>
              <w:top w:val="nil"/>
              <w:left w:val="nil"/>
              <w:bottom w:val="single" w:sz="4" w:space="0" w:color="auto"/>
              <w:right w:val="single" w:sz="4" w:space="0" w:color="auto"/>
            </w:tcBorders>
            <w:shd w:val="clear" w:color="auto" w:fill="auto"/>
            <w:vAlign w:val="center"/>
            <w:hideMark/>
          </w:tcPr>
          <w:p w14:paraId="29A80D3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F101D6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84495C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A33480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C5E8EEE"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1,000</w:t>
            </w:r>
          </w:p>
        </w:tc>
        <w:tc>
          <w:tcPr>
            <w:tcW w:w="880" w:type="dxa"/>
            <w:tcBorders>
              <w:top w:val="nil"/>
              <w:left w:val="nil"/>
              <w:bottom w:val="single" w:sz="4" w:space="0" w:color="auto"/>
              <w:right w:val="single" w:sz="4" w:space="0" w:color="auto"/>
            </w:tcBorders>
            <w:shd w:val="clear" w:color="auto" w:fill="auto"/>
            <w:vAlign w:val="center"/>
            <w:hideMark/>
          </w:tcPr>
          <w:p w14:paraId="129E134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3,000</w:t>
            </w:r>
          </w:p>
        </w:tc>
        <w:tc>
          <w:tcPr>
            <w:tcW w:w="880" w:type="dxa"/>
            <w:tcBorders>
              <w:top w:val="nil"/>
              <w:left w:val="nil"/>
              <w:bottom w:val="single" w:sz="4" w:space="0" w:color="auto"/>
              <w:right w:val="single" w:sz="4" w:space="0" w:color="auto"/>
            </w:tcBorders>
            <w:shd w:val="clear" w:color="auto" w:fill="auto"/>
            <w:vAlign w:val="center"/>
            <w:hideMark/>
          </w:tcPr>
          <w:p w14:paraId="555599C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FA2A9C"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B41740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90DADE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CD44916"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4,000</w:t>
            </w:r>
          </w:p>
        </w:tc>
        <w:tc>
          <w:tcPr>
            <w:tcW w:w="880" w:type="dxa"/>
            <w:tcBorders>
              <w:top w:val="nil"/>
              <w:left w:val="nil"/>
              <w:bottom w:val="single" w:sz="4" w:space="0" w:color="auto"/>
              <w:right w:val="single" w:sz="4" w:space="0" w:color="auto"/>
            </w:tcBorders>
            <w:shd w:val="clear" w:color="auto" w:fill="auto"/>
            <w:vAlign w:val="center"/>
            <w:hideMark/>
          </w:tcPr>
          <w:p w14:paraId="47049B3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200,000</w:t>
            </w:r>
          </w:p>
        </w:tc>
      </w:tr>
      <w:tr w:rsidR="00D30061" w:rsidRPr="00D30061" w14:paraId="04C49355" w14:textId="77777777" w:rsidTr="00D30061">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0F52E5DC"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7A48CF95"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56507CD7"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68D22BBB"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1E486C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13D5C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EFC86A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C5EB2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DB7CE8"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53912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6F503F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0A744B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C03528F"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682EF0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18801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EF5B95B"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D4C634"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r w:rsidR="00D30061" w:rsidRPr="00D30061" w14:paraId="21B6B3FA" w14:textId="77777777" w:rsidTr="00D30061">
        <w:trPr>
          <w:trHeight w:hRule="exact" w:val="284"/>
        </w:trPr>
        <w:tc>
          <w:tcPr>
            <w:tcW w:w="640" w:type="dxa"/>
            <w:vMerge/>
            <w:tcBorders>
              <w:top w:val="nil"/>
              <w:left w:val="single" w:sz="4" w:space="0" w:color="auto"/>
              <w:bottom w:val="single" w:sz="4" w:space="0" w:color="auto"/>
              <w:right w:val="single" w:sz="4" w:space="0" w:color="auto"/>
            </w:tcBorders>
            <w:vAlign w:val="center"/>
            <w:hideMark/>
          </w:tcPr>
          <w:p w14:paraId="0454E093" w14:textId="77777777" w:rsidR="00D30061" w:rsidRPr="00D30061" w:rsidRDefault="00D30061" w:rsidP="00D30061">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auto"/>
              <w:right w:val="single" w:sz="4" w:space="0" w:color="auto"/>
            </w:tcBorders>
            <w:vAlign w:val="center"/>
            <w:hideMark/>
          </w:tcPr>
          <w:p w14:paraId="47381FD3" w14:textId="77777777" w:rsidR="00D30061" w:rsidRPr="00D30061" w:rsidRDefault="00D30061" w:rsidP="00D30061">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auto"/>
              <w:right w:val="single" w:sz="4" w:space="0" w:color="auto"/>
            </w:tcBorders>
            <w:vAlign w:val="center"/>
            <w:hideMark/>
          </w:tcPr>
          <w:p w14:paraId="4F29B2E0" w14:textId="77777777" w:rsidR="00D30061" w:rsidRPr="00D30061" w:rsidRDefault="00D30061" w:rsidP="00D30061">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auto"/>
              <w:right w:val="single" w:sz="4" w:space="0" w:color="auto"/>
            </w:tcBorders>
            <w:vAlign w:val="center"/>
            <w:hideMark/>
          </w:tcPr>
          <w:p w14:paraId="0DC01152" w14:textId="77777777" w:rsidR="00D30061" w:rsidRPr="00D30061" w:rsidRDefault="00D30061" w:rsidP="00D30061">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C65376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0A4DBD"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055532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463026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6065C9"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E2DC295"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8EC3EA"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BFED68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78CFE3"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7CBFEF2"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006EB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3A361E7"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DEFC071" w14:textId="77777777" w:rsidR="00D30061" w:rsidRPr="00D30061" w:rsidRDefault="00D30061" w:rsidP="00D30061">
            <w:pPr>
              <w:jc w:val="right"/>
              <w:rPr>
                <w:rFonts w:ascii="Arial" w:eastAsia="Times New Roman" w:hAnsi="Arial" w:cs="Arial"/>
                <w:color w:val="000000"/>
                <w:sz w:val="14"/>
                <w:szCs w:val="14"/>
                <w:lang w:val="cs-CZ" w:eastAsia="cs-CZ"/>
              </w:rPr>
            </w:pPr>
            <w:r w:rsidRPr="00D30061">
              <w:rPr>
                <w:rFonts w:ascii="Arial" w:eastAsia="Times New Roman" w:hAnsi="Arial" w:cs="Arial"/>
                <w:color w:val="000000"/>
                <w:sz w:val="14"/>
                <w:szCs w:val="14"/>
                <w:lang w:val="cs-CZ" w:eastAsia="cs-CZ"/>
              </w:rPr>
              <w:t> </w:t>
            </w:r>
          </w:p>
        </w:tc>
      </w:tr>
    </w:tbl>
    <w:p w14:paraId="74F43C58" w14:textId="77777777" w:rsidR="000147BE" w:rsidRPr="002F2BE4" w:rsidRDefault="000147BE" w:rsidP="009E49E6">
      <w:pPr>
        <w:ind w:left="113" w:right="108"/>
        <w:jc w:val="both"/>
        <w:rPr>
          <w:rFonts w:ascii="Arial" w:eastAsia="Arial" w:hAnsi="Arial" w:cs="Arial"/>
          <w:color w:val="000000"/>
          <w:sz w:val="20"/>
          <w:lang w:val="cs-CZ"/>
        </w:rPr>
      </w:pPr>
    </w:p>
    <w:p w14:paraId="7ADE3336" w14:textId="77777777"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03.2.63 Zlepšování přístupu k dostupným, udržitelným a vysoce kvalitním službám, včetně zdravotnictví a sociálních služeb obecného zájmu</w:t>
      </w:r>
    </w:p>
    <w:tbl>
      <w:tblPr>
        <w:tblW w:w="15760" w:type="dxa"/>
        <w:tblInd w:w="75" w:type="dxa"/>
        <w:tblCellMar>
          <w:left w:w="70" w:type="dxa"/>
          <w:right w:w="70" w:type="dxa"/>
        </w:tblCellMar>
        <w:tblLook w:val="04A0" w:firstRow="1" w:lastRow="0" w:firstColumn="1" w:lastColumn="0" w:noHBand="0" w:noVBand="1"/>
      </w:tblPr>
      <w:tblGrid>
        <w:gridCol w:w="638"/>
        <w:gridCol w:w="1801"/>
        <w:gridCol w:w="850"/>
        <w:gridCol w:w="977"/>
        <w:gridCol w:w="876"/>
        <w:gridCol w:w="874"/>
        <w:gridCol w:w="874"/>
        <w:gridCol w:w="874"/>
        <w:gridCol w:w="874"/>
        <w:gridCol w:w="874"/>
        <w:gridCol w:w="874"/>
        <w:gridCol w:w="874"/>
        <w:gridCol w:w="874"/>
        <w:gridCol w:w="874"/>
        <w:gridCol w:w="874"/>
        <w:gridCol w:w="1004"/>
        <w:gridCol w:w="874"/>
      </w:tblGrid>
      <w:tr w:rsidR="00736418" w:rsidRPr="00736418" w14:paraId="767D3F09" w14:textId="77777777" w:rsidTr="00736418">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117FD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6374A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F7F71C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73BC45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Kategorie regionu (je-li relevantní)</w:t>
            </w:r>
          </w:p>
        </w:tc>
        <w:tc>
          <w:tcPr>
            <w:tcW w:w="880" w:type="dxa"/>
            <w:tcBorders>
              <w:top w:val="single" w:sz="4" w:space="0" w:color="auto"/>
              <w:left w:val="nil"/>
              <w:bottom w:val="nil"/>
              <w:right w:val="single" w:sz="4" w:space="0" w:color="auto"/>
            </w:tcBorders>
            <w:shd w:val="clear" w:color="000000" w:fill="FFFFFF"/>
            <w:vAlign w:val="center"/>
            <w:hideMark/>
          </w:tcPr>
          <w:p w14:paraId="5AE8258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6F4A9C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321E2D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607A6F3"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E9C7A23"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40683F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9010F9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8BF050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33148E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4C64120"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4BD2A7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5813CA4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0A443A4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Míra splnění</w:t>
            </w:r>
          </w:p>
        </w:tc>
      </w:tr>
      <w:tr w:rsidR="00736418" w:rsidRPr="00736418" w14:paraId="29B328B7" w14:textId="77777777" w:rsidTr="0073641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3DE83CC6"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11703F31"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A34E450"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7A279CA9"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CB20A2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353CB00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39839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D79EE2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r>
      <w:tr w:rsidR="00736418" w:rsidRPr="00736418" w14:paraId="6D2DF305" w14:textId="77777777" w:rsidTr="0073641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592DAB54"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48128DDB"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0AD8EA52"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3EA20483"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6893DC52"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0B78219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AAE4620"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AC4F50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0F9826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F0CC0B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749629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558840A"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FCE422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6CCE02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CC04063"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2672F859"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23AE34D7" w14:textId="77777777" w:rsidR="00736418" w:rsidRPr="00736418" w:rsidRDefault="00736418" w:rsidP="00736418">
            <w:pPr>
              <w:rPr>
                <w:rFonts w:ascii="Arial" w:eastAsia="Times New Roman" w:hAnsi="Arial" w:cs="Arial"/>
                <w:b/>
                <w:bCs/>
                <w:color w:val="000000"/>
                <w:sz w:val="14"/>
                <w:szCs w:val="14"/>
                <w:lang w:val="cs-CZ" w:eastAsia="cs-CZ"/>
              </w:rPr>
            </w:pPr>
          </w:p>
        </w:tc>
      </w:tr>
      <w:tr w:rsidR="00736418" w:rsidRPr="00736418" w14:paraId="59F5DACD" w14:textId="77777777" w:rsidTr="00716644">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6D0FBA2"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6A523038"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E10C149"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3D411C5"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49BA7CF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2591E1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FE45D0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6D2AFD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BB179B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2983A60"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504523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1D3AE1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0C9E66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C9976B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66BBD7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3E4F810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B15AF6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r>
      <w:tr w:rsidR="00736418" w:rsidRPr="00736418" w14:paraId="3EFCBFAC" w14:textId="77777777" w:rsidTr="00716644">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7D7DE03"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F6CF660"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234A02F"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47F206B6"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single" w:sz="4" w:space="0" w:color="auto"/>
              <w:left w:val="nil"/>
              <w:bottom w:val="nil"/>
              <w:right w:val="single" w:sz="4" w:space="0" w:color="auto"/>
            </w:tcBorders>
            <w:shd w:val="clear" w:color="000000" w:fill="FFFFFF"/>
            <w:vAlign w:val="center"/>
            <w:hideMark/>
          </w:tcPr>
          <w:p w14:paraId="2AF8539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3AB17F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5C3A90A"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E38A89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EA89F6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5F7A6C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8C700C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574D6B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E5ED65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751C4F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6FDE6CA"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8B898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28F2E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r>
      <w:tr w:rsidR="00736418" w:rsidRPr="00736418" w14:paraId="03560D42" w14:textId="77777777" w:rsidTr="00716644">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152054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56100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2A1157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nových podpořených programů podpory zdraví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8C1313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Programy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68954F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single" w:sz="4" w:space="0" w:color="auto"/>
              <w:left w:val="nil"/>
              <w:bottom w:val="nil"/>
              <w:right w:val="single" w:sz="4" w:space="0" w:color="auto"/>
            </w:tcBorders>
            <w:shd w:val="clear" w:color="auto" w:fill="auto"/>
            <w:vAlign w:val="center"/>
            <w:hideMark/>
          </w:tcPr>
          <w:p w14:paraId="3D8D164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55,000</w:t>
            </w:r>
          </w:p>
        </w:tc>
        <w:tc>
          <w:tcPr>
            <w:tcW w:w="880" w:type="dxa"/>
            <w:tcBorders>
              <w:top w:val="nil"/>
              <w:left w:val="nil"/>
              <w:bottom w:val="nil"/>
              <w:right w:val="single" w:sz="4" w:space="0" w:color="auto"/>
            </w:tcBorders>
            <w:shd w:val="clear" w:color="auto" w:fill="auto"/>
            <w:vAlign w:val="center"/>
            <w:hideMark/>
          </w:tcPr>
          <w:p w14:paraId="689C11A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65F3E6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EE957A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8D5370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6ADD83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64BD44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61B60A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3582E6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8F9EF2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7597A8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nil"/>
              <w:right w:val="single" w:sz="4" w:space="0" w:color="auto"/>
            </w:tcBorders>
            <w:shd w:val="clear" w:color="auto" w:fill="auto"/>
            <w:vAlign w:val="center"/>
            <w:hideMark/>
          </w:tcPr>
          <w:p w14:paraId="7EBF279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nil"/>
              <w:right w:val="single" w:sz="4" w:space="0" w:color="auto"/>
            </w:tcBorders>
            <w:shd w:val="clear" w:color="auto" w:fill="auto"/>
            <w:vAlign w:val="center"/>
            <w:hideMark/>
          </w:tcPr>
          <w:p w14:paraId="065EF12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7AFB174A"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7475746"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6EBD80C"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0CC0001"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D28F051"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69837F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8A8690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FD2315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DBCDEB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1B88D6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14DB5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B2E8FD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51D82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2DEBD0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60622A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46C8FE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3DA4B7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88E024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397DC7E3"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0DB9717D"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E4388C7"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FE2EEE5"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FF38E4C"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DA6E1E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357B7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CF4E1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F2ABF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3BC92E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5B7B4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95662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27DB13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03DE1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6C467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D91F5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6946F6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83771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562011C8"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296A315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56100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9F2F92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nových podpořených programů podpory zdraví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94DD36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Programy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9B47FD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0C986DD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11,000</w:t>
            </w:r>
          </w:p>
        </w:tc>
        <w:tc>
          <w:tcPr>
            <w:tcW w:w="880" w:type="dxa"/>
            <w:tcBorders>
              <w:top w:val="nil"/>
              <w:left w:val="nil"/>
              <w:bottom w:val="nil"/>
              <w:right w:val="single" w:sz="4" w:space="0" w:color="auto"/>
            </w:tcBorders>
            <w:shd w:val="clear" w:color="auto" w:fill="auto"/>
            <w:vAlign w:val="center"/>
            <w:hideMark/>
          </w:tcPr>
          <w:p w14:paraId="4EBB713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7F2C16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6F1E99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99A9AD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B3346A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929797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726729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90633C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DFDA3A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67CEED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01E3F44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11FA59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2B99D8B8"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27570F88"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51FBA122"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D616F31"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DF37C79"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0FB075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955AF8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73CCCB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285E15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523B40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5BE6B6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52C0A3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591B79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23D68F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8EF786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5EC0B7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B80EFE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C8168B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485FEDE6"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481BC7D6"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CCE3109"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D3C0D5F"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3D9CCF4"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598858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46900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1091E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BB8E15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EAAA65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3BB631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6D5584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1A7627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D7A746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DD0A48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845AF3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45F530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800238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6BC4399F"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2336741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57101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B0F45A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podpořených služeb uvedených ve Strategii reformy psychiatrické péče</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3F1031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Služby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00FA1E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12C2148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87,000</w:t>
            </w:r>
          </w:p>
        </w:tc>
        <w:tc>
          <w:tcPr>
            <w:tcW w:w="880" w:type="dxa"/>
            <w:tcBorders>
              <w:top w:val="nil"/>
              <w:left w:val="nil"/>
              <w:bottom w:val="nil"/>
              <w:right w:val="single" w:sz="4" w:space="0" w:color="auto"/>
            </w:tcBorders>
            <w:shd w:val="clear" w:color="auto" w:fill="auto"/>
            <w:vAlign w:val="center"/>
            <w:hideMark/>
          </w:tcPr>
          <w:p w14:paraId="3A992B3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11BF07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7E3E48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CC237A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1DEC9A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AEA00E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E316878"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881B98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3B76CA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ECFF8D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1B8A367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05804F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1C4A47A1"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61E36F30"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D2D69F7"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247074B"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9EF84B6"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4C32A5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E3D001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5391EC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B5EFA4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5B4804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8A9579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392201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7E6AD8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79B3E2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AD180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08033B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14CC58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42A1E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292D3A1F"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68AAB91D"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88C6E44"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E6F13A6"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651A557"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4540D2D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E68DC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1DAD4A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31DDD9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C9F30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D7CDD8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4ABB2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FFA11B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8792A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12927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E8AECF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2B105D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38C6B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0280D1B9"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71B7BA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57101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464491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podpořených služeb uvedených ve Strategii reformy psychiatrické péče</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6555F9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Služby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43FC71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7DC69F6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17,000</w:t>
            </w:r>
          </w:p>
        </w:tc>
        <w:tc>
          <w:tcPr>
            <w:tcW w:w="880" w:type="dxa"/>
            <w:tcBorders>
              <w:top w:val="nil"/>
              <w:left w:val="nil"/>
              <w:bottom w:val="nil"/>
              <w:right w:val="single" w:sz="4" w:space="0" w:color="auto"/>
            </w:tcBorders>
            <w:shd w:val="clear" w:color="auto" w:fill="auto"/>
            <w:vAlign w:val="center"/>
            <w:hideMark/>
          </w:tcPr>
          <w:p w14:paraId="47DDA2D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CBCA79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C76EA8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9103B9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ECB2E6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3C00CB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9B5C15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CC8260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5672C6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21EAFF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1E52C84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8D9B1A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3DC6405A"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22FA6453"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AE78DE1"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03AFDC1"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225A943"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DB222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6B99EC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A0C76F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3C5FD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636400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A42525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D5D7D4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69B733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A0EDA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CCB3C7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DAD48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51732B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600F51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7F543352"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799F98DB"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AB7F36E"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E02B61F"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911CA82"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4A92B1D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BCA1E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9BE1D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23528D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6B96B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80EA0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A9FE83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39B4FC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4F828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D4FE9C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DC79A9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D83121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58BCE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20EEAB57"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5C41DA9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56B617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386FC2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C854468"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2F9E1F8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30 244,000</w:t>
            </w:r>
          </w:p>
        </w:tc>
        <w:tc>
          <w:tcPr>
            <w:tcW w:w="880" w:type="dxa"/>
            <w:tcBorders>
              <w:top w:val="nil"/>
              <w:left w:val="nil"/>
              <w:bottom w:val="nil"/>
              <w:right w:val="single" w:sz="4" w:space="0" w:color="auto"/>
            </w:tcBorders>
            <w:shd w:val="clear" w:color="auto" w:fill="auto"/>
            <w:vAlign w:val="center"/>
            <w:hideMark/>
          </w:tcPr>
          <w:p w14:paraId="602B438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6CB27B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ABFEA8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F96174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599,000</w:t>
            </w:r>
          </w:p>
        </w:tc>
        <w:tc>
          <w:tcPr>
            <w:tcW w:w="880" w:type="dxa"/>
            <w:tcBorders>
              <w:top w:val="nil"/>
              <w:left w:val="nil"/>
              <w:bottom w:val="nil"/>
              <w:right w:val="single" w:sz="4" w:space="0" w:color="auto"/>
            </w:tcBorders>
            <w:shd w:val="clear" w:color="auto" w:fill="auto"/>
            <w:vAlign w:val="center"/>
            <w:hideMark/>
          </w:tcPr>
          <w:p w14:paraId="1C08333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5 274,000</w:t>
            </w:r>
          </w:p>
        </w:tc>
        <w:tc>
          <w:tcPr>
            <w:tcW w:w="880" w:type="dxa"/>
            <w:tcBorders>
              <w:top w:val="nil"/>
              <w:left w:val="nil"/>
              <w:bottom w:val="nil"/>
              <w:right w:val="single" w:sz="4" w:space="0" w:color="auto"/>
            </w:tcBorders>
            <w:shd w:val="clear" w:color="auto" w:fill="auto"/>
            <w:vAlign w:val="center"/>
            <w:hideMark/>
          </w:tcPr>
          <w:p w14:paraId="01A1D42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3 899,000</w:t>
            </w:r>
          </w:p>
        </w:tc>
        <w:tc>
          <w:tcPr>
            <w:tcW w:w="880" w:type="dxa"/>
            <w:tcBorders>
              <w:top w:val="nil"/>
              <w:left w:val="nil"/>
              <w:bottom w:val="nil"/>
              <w:right w:val="single" w:sz="4" w:space="0" w:color="auto"/>
            </w:tcBorders>
            <w:shd w:val="clear" w:color="auto" w:fill="auto"/>
            <w:vAlign w:val="center"/>
            <w:hideMark/>
          </w:tcPr>
          <w:p w14:paraId="385553E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C7FCBE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DBE818A"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07C411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19D9941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9 772,000</w:t>
            </w:r>
          </w:p>
        </w:tc>
        <w:tc>
          <w:tcPr>
            <w:tcW w:w="880" w:type="dxa"/>
            <w:tcBorders>
              <w:top w:val="nil"/>
              <w:left w:val="nil"/>
              <w:bottom w:val="nil"/>
              <w:right w:val="single" w:sz="4" w:space="0" w:color="auto"/>
            </w:tcBorders>
            <w:shd w:val="clear" w:color="auto" w:fill="auto"/>
            <w:vAlign w:val="center"/>
            <w:hideMark/>
          </w:tcPr>
          <w:p w14:paraId="4B1287C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32,311</w:t>
            </w:r>
          </w:p>
        </w:tc>
      </w:tr>
      <w:tr w:rsidR="00736418" w:rsidRPr="00736418" w14:paraId="0F3957AC"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7F2FF33B"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D931B56"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F8CAAA7"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27B9E9D"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B80ADA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02919CA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2732AD9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5E3A89A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06BF5F3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121,000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6B4F73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722,000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77C7C8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821,000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DC1290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64F7B9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244EA0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8D2114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DED1C9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1 664,000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C6DE6B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1B37C913"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25E51CC1"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18CE596"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550A4A6"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1C9697E"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6E0E3E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4C94330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C76045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06910F9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060FDE1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478,000</w:t>
            </w:r>
          </w:p>
        </w:tc>
        <w:tc>
          <w:tcPr>
            <w:tcW w:w="880" w:type="dxa"/>
            <w:tcBorders>
              <w:top w:val="nil"/>
              <w:left w:val="nil"/>
              <w:bottom w:val="single" w:sz="4" w:space="0" w:color="auto"/>
              <w:right w:val="single" w:sz="4" w:space="0" w:color="auto"/>
            </w:tcBorders>
            <w:shd w:val="clear" w:color="auto" w:fill="auto"/>
            <w:vAlign w:val="center"/>
            <w:hideMark/>
          </w:tcPr>
          <w:p w14:paraId="29C8B23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4 552,000</w:t>
            </w:r>
          </w:p>
        </w:tc>
        <w:tc>
          <w:tcPr>
            <w:tcW w:w="880" w:type="dxa"/>
            <w:tcBorders>
              <w:top w:val="nil"/>
              <w:left w:val="nil"/>
              <w:bottom w:val="single" w:sz="4" w:space="0" w:color="auto"/>
              <w:right w:val="single" w:sz="4" w:space="0" w:color="auto"/>
            </w:tcBorders>
            <w:shd w:val="clear" w:color="auto" w:fill="auto"/>
            <w:vAlign w:val="center"/>
            <w:hideMark/>
          </w:tcPr>
          <w:p w14:paraId="136A8E6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3 078,000</w:t>
            </w:r>
          </w:p>
        </w:tc>
        <w:tc>
          <w:tcPr>
            <w:tcW w:w="880" w:type="dxa"/>
            <w:tcBorders>
              <w:top w:val="nil"/>
              <w:left w:val="nil"/>
              <w:bottom w:val="single" w:sz="4" w:space="0" w:color="auto"/>
              <w:right w:val="single" w:sz="4" w:space="0" w:color="auto"/>
            </w:tcBorders>
            <w:shd w:val="clear" w:color="auto" w:fill="auto"/>
            <w:vAlign w:val="center"/>
            <w:hideMark/>
          </w:tcPr>
          <w:p w14:paraId="79E4C5E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88FE4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A8F5E5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229E6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02284E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8 108,000</w:t>
            </w:r>
          </w:p>
        </w:tc>
        <w:tc>
          <w:tcPr>
            <w:tcW w:w="880" w:type="dxa"/>
            <w:tcBorders>
              <w:top w:val="nil"/>
              <w:left w:val="nil"/>
              <w:bottom w:val="single" w:sz="4" w:space="0" w:color="auto"/>
              <w:right w:val="single" w:sz="4" w:space="0" w:color="auto"/>
            </w:tcBorders>
            <w:shd w:val="clear" w:color="auto" w:fill="auto"/>
            <w:vAlign w:val="center"/>
            <w:hideMark/>
          </w:tcPr>
          <w:p w14:paraId="17510BA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1AFB616F"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629B07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863F23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D50F7A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639DEA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single" w:sz="4" w:space="0" w:color="auto"/>
              <w:left w:val="nil"/>
              <w:bottom w:val="nil"/>
              <w:right w:val="single" w:sz="4" w:space="0" w:color="auto"/>
            </w:tcBorders>
            <w:shd w:val="clear" w:color="auto" w:fill="auto"/>
            <w:vAlign w:val="center"/>
            <w:hideMark/>
          </w:tcPr>
          <w:p w14:paraId="551F280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5 861,000</w:t>
            </w:r>
          </w:p>
        </w:tc>
        <w:tc>
          <w:tcPr>
            <w:tcW w:w="880" w:type="dxa"/>
            <w:tcBorders>
              <w:top w:val="nil"/>
              <w:left w:val="nil"/>
              <w:bottom w:val="nil"/>
              <w:right w:val="single" w:sz="4" w:space="0" w:color="auto"/>
            </w:tcBorders>
            <w:shd w:val="clear" w:color="auto" w:fill="auto"/>
            <w:vAlign w:val="center"/>
            <w:hideMark/>
          </w:tcPr>
          <w:p w14:paraId="274F3DF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6098AD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71F5C7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92A908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32,000</w:t>
            </w:r>
          </w:p>
        </w:tc>
        <w:tc>
          <w:tcPr>
            <w:tcW w:w="880" w:type="dxa"/>
            <w:tcBorders>
              <w:top w:val="nil"/>
              <w:left w:val="nil"/>
              <w:bottom w:val="nil"/>
              <w:right w:val="single" w:sz="4" w:space="0" w:color="auto"/>
            </w:tcBorders>
            <w:shd w:val="clear" w:color="auto" w:fill="auto"/>
            <w:vAlign w:val="center"/>
            <w:hideMark/>
          </w:tcPr>
          <w:p w14:paraId="20F7625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467,000</w:t>
            </w:r>
          </w:p>
        </w:tc>
        <w:tc>
          <w:tcPr>
            <w:tcW w:w="880" w:type="dxa"/>
            <w:tcBorders>
              <w:top w:val="nil"/>
              <w:left w:val="nil"/>
              <w:bottom w:val="nil"/>
              <w:right w:val="single" w:sz="4" w:space="0" w:color="auto"/>
            </w:tcBorders>
            <w:shd w:val="clear" w:color="auto" w:fill="auto"/>
            <w:vAlign w:val="center"/>
            <w:hideMark/>
          </w:tcPr>
          <w:p w14:paraId="4D84482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445,000</w:t>
            </w:r>
          </w:p>
        </w:tc>
        <w:tc>
          <w:tcPr>
            <w:tcW w:w="880" w:type="dxa"/>
            <w:tcBorders>
              <w:top w:val="nil"/>
              <w:left w:val="nil"/>
              <w:bottom w:val="nil"/>
              <w:right w:val="single" w:sz="4" w:space="0" w:color="auto"/>
            </w:tcBorders>
            <w:shd w:val="clear" w:color="auto" w:fill="auto"/>
            <w:vAlign w:val="center"/>
            <w:hideMark/>
          </w:tcPr>
          <w:p w14:paraId="66D18C0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FF61D2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FC7FEA8"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6816F6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0E9BFD1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944,000</w:t>
            </w:r>
          </w:p>
        </w:tc>
        <w:tc>
          <w:tcPr>
            <w:tcW w:w="880" w:type="dxa"/>
            <w:tcBorders>
              <w:top w:val="nil"/>
              <w:left w:val="nil"/>
              <w:bottom w:val="nil"/>
              <w:right w:val="single" w:sz="4" w:space="0" w:color="auto"/>
            </w:tcBorders>
            <w:shd w:val="clear" w:color="auto" w:fill="auto"/>
            <w:vAlign w:val="center"/>
            <w:hideMark/>
          </w:tcPr>
          <w:p w14:paraId="11483A9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16,106</w:t>
            </w:r>
          </w:p>
        </w:tc>
      </w:tr>
      <w:tr w:rsidR="00736418" w:rsidRPr="00736418" w14:paraId="05210F11"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38D59EDD"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63C5F52"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521C13B"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AFEB265"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80ED53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0C1650A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4F21274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45ECBE5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264FBB0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C6825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90,000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983F19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137,000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5D721F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93ED5D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9ECCD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925E46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DB7D3A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232,000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0407DA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0FAB963A"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604BB6C5"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53AF9B3A"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2E2DCFC"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4446C04"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FF09F5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7D1D5D7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A97731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4F2864D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5BB0B01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27,000</w:t>
            </w:r>
          </w:p>
        </w:tc>
        <w:tc>
          <w:tcPr>
            <w:tcW w:w="880" w:type="dxa"/>
            <w:tcBorders>
              <w:top w:val="nil"/>
              <w:left w:val="nil"/>
              <w:bottom w:val="single" w:sz="4" w:space="0" w:color="auto"/>
              <w:right w:val="single" w:sz="4" w:space="0" w:color="auto"/>
            </w:tcBorders>
            <w:shd w:val="clear" w:color="auto" w:fill="auto"/>
            <w:vAlign w:val="center"/>
            <w:hideMark/>
          </w:tcPr>
          <w:p w14:paraId="2460607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377,000</w:t>
            </w:r>
          </w:p>
        </w:tc>
        <w:tc>
          <w:tcPr>
            <w:tcW w:w="880" w:type="dxa"/>
            <w:tcBorders>
              <w:top w:val="nil"/>
              <w:left w:val="nil"/>
              <w:bottom w:val="single" w:sz="4" w:space="0" w:color="auto"/>
              <w:right w:val="single" w:sz="4" w:space="0" w:color="auto"/>
            </w:tcBorders>
            <w:shd w:val="clear" w:color="auto" w:fill="auto"/>
            <w:vAlign w:val="center"/>
            <w:hideMark/>
          </w:tcPr>
          <w:p w14:paraId="20615D3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308,000</w:t>
            </w:r>
          </w:p>
        </w:tc>
        <w:tc>
          <w:tcPr>
            <w:tcW w:w="880" w:type="dxa"/>
            <w:tcBorders>
              <w:top w:val="nil"/>
              <w:left w:val="nil"/>
              <w:bottom w:val="single" w:sz="4" w:space="0" w:color="auto"/>
              <w:right w:val="single" w:sz="4" w:space="0" w:color="auto"/>
            </w:tcBorders>
            <w:shd w:val="clear" w:color="auto" w:fill="auto"/>
            <w:vAlign w:val="center"/>
            <w:hideMark/>
          </w:tcPr>
          <w:p w14:paraId="5242ED3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931AB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74C01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FAE61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B59B3C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712,000</w:t>
            </w:r>
          </w:p>
        </w:tc>
        <w:tc>
          <w:tcPr>
            <w:tcW w:w="880" w:type="dxa"/>
            <w:tcBorders>
              <w:top w:val="nil"/>
              <w:left w:val="nil"/>
              <w:bottom w:val="single" w:sz="4" w:space="0" w:color="auto"/>
              <w:right w:val="single" w:sz="4" w:space="0" w:color="auto"/>
            </w:tcBorders>
            <w:shd w:val="clear" w:color="auto" w:fill="auto"/>
            <w:vAlign w:val="center"/>
            <w:hideMark/>
          </w:tcPr>
          <w:p w14:paraId="7B51E42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712EC961"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4AED68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67001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269FB3A"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Kapacita podpořených služeb</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6D79A4A"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Místa</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846E7E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233B12F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4 741,000</w:t>
            </w:r>
          </w:p>
        </w:tc>
        <w:tc>
          <w:tcPr>
            <w:tcW w:w="880" w:type="dxa"/>
            <w:tcBorders>
              <w:top w:val="nil"/>
              <w:left w:val="nil"/>
              <w:bottom w:val="nil"/>
              <w:right w:val="single" w:sz="4" w:space="0" w:color="auto"/>
            </w:tcBorders>
            <w:shd w:val="clear" w:color="auto" w:fill="auto"/>
            <w:vAlign w:val="center"/>
            <w:hideMark/>
          </w:tcPr>
          <w:p w14:paraId="2C5327E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D2DCBA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0EA117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EAC051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145,340</w:t>
            </w:r>
          </w:p>
        </w:tc>
        <w:tc>
          <w:tcPr>
            <w:tcW w:w="880" w:type="dxa"/>
            <w:tcBorders>
              <w:top w:val="nil"/>
              <w:left w:val="nil"/>
              <w:bottom w:val="nil"/>
              <w:right w:val="single" w:sz="4" w:space="0" w:color="auto"/>
            </w:tcBorders>
            <w:shd w:val="clear" w:color="auto" w:fill="auto"/>
            <w:vAlign w:val="center"/>
            <w:hideMark/>
          </w:tcPr>
          <w:p w14:paraId="484C833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312,810</w:t>
            </w:r>
          </w:p>
        </w:tc>
        <w:tc>
          <w:tcPr>
            <w:tcW w:w="880" w:type="dxa"/>
            <w:tcBorders>
              <w:top w:val="nil"/>
              <w:left w:val="nil"/>
              <w:bottom w:val="nil"/>
              <w:right w:val="single" w:sz="4" w:space="0" w:color="auto"/>
            </w:tcBorders>
            <w:shd w:val="clear" w:color="auto" w:fill="auto"/>
            <w:vAlign w:val="center"/>
            <w:hideMark/>
          </w:tcPr>
          <w:p w14:paraId="3A53E8B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154,490</w:t>
            </w:r>
          </w:p>
        </w:tc>
        <w:tc>
          <w:tcPr>
            <w:tcW w:w="880" w:type="dxa"/>
            <w:tcBorders>
              <w:top w:val="nil"/>
              <w:left w:val="nil"/>
              <w:bottom w:val="nil"/>
              <w:right w:val="single" w:sz="4" w:space="0" w:color="auto"/>
            </w:tcBorders>
            <w:shd w:val="clear" w:color="auto" w:fill="auto"/>
            <w:vAlign w:val="center"/>
            <w:hideMark/>
          </w:tcPr>
          <w:p w14:paraId="4012C23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AB191B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931171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B4FAAD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6A5AD47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612,640</w:t>
            </w:r>
          </w:p>
        </w:tc>
        <w:tc>
          <w:tcPr>
            <w:tcW w:w="880" w:type="dxa"/>
            <w:tcBorders>
              <w:top w:val="nil"/>
              <w:left w:val="nil"/>
              <w:bottom w:val="nil"/>
              <w:right w:val="single" w:sz="4" w:space="0" w:color="auto"/>
            </w:tcBorders>
            <w:shd w:val="clear" w:color="auto" w:fill="auto"/>
            <w:vAlign w:val="center"/>
            <w:hideMark/>
          </w:tcPr>
          <w:p w14:paraId="399701D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12,922</w:t>
            </w:r>
          </w:p>
        </w:tc>
      </w:tr>
      <w:tr w:rsidR="00736418" w:rsidRPr="00736418" w14:paraId="164DAB83"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2AF08F7E"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9BD94FC"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9097AF0"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BBE1889"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6C0275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4B14FD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150462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FA0A46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0CFF9E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5B20D3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AB301E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05DCB5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4EDE8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1BC195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825FEB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4A8BA7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80581B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51305814"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3CB98141"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3A06B16"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C3907FB"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2F3EB9F"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2A2F88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124E44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F56491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3EEB4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4D48FD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99EA93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6CF27E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39CEB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8BBEC2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C5EFA9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C15B8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EE266D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E8F796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26C1D736"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6AFC8F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67001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0BC789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Kapacita podpořených služeb</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96A93F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Místa</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8BC430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79642F8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959,000</w:t>
            </w:r>
          </w:p>
        </w:tc>
        <w:tc>
          <w:tcPr>
            <w:tcW w:w="880" w:type="dxa"/>
            <w:tcBorders>
              <w:top w:val="nil"/>
              <w:left w:val="nil"/>
              <w:bottom w:val="nil"/>
              <w:right w:val="single" w:sz="4" w:space="0" w:color="auto"/>
            </w:tcBorders>
            <w:shd w:val="clear" w:color="auto" w:fill="auto"/>
            <w:vAlign w:val="center"/>
            <w:hideMark/>
          </w:tcPr>
          <w:p w14:paraId="137FE23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C15931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2B9E8D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127A05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83EB73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15,000</w:t>
            </w:r>
          </w:p>
        </w:tc>
        <w:tc>
          <w:tcPr>
            <w:tcW w:w="880" w:type="dxa"/>
            <w:tcBorders>
              <w:top w:val="nil"/>
              <w:left w:val="nil"/>
              <w:bottom w:val="nil"/>
              <w:right w:val="single" w:sz="4" w:space="0" w:color="auto"/>
            </w:tcBorders>
            <w:shd w:val="clear" w:color="auto" w:fill="auto"/>
            <w:vAlign w:val="center"/>
            <w:hideMark/>
          </w:tcPr>
          <w:p w14:paraId="0908A19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75,500</w:t>
            </w:r>
          </w:p>
        </w:tc>
        <w:tc>
          <w:tcPr>
            <w:tcW w:w="880" w:type="dxa"/>
            <w:tcBorders>
              <w:top w:val="nil"/>
              <w:left w:val="nil"/>
              <w:bottom w:val="nil"/>
              <w:right w:val="single" w:sz="4" w:space="0" w:color="auto"/>
            </w:tcBorders>
            <w:shd w:val="clear" w:color="auto" w:fill="auto"/>
            <w:vAlign w:val="center"/>
            <w:hideMark/>
          </w:tcPr>
          <w:p w14:paraId="2B2CC09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EE4BE9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871668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17611D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7997610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90,500</w:t>
            </w:r>
          </w:p>
        </w:tc>
        <w:tc>
          <w:tcPr>
            <w:tcW w:w="880" w:type="dxa"/>
            <w:tcBorders>
              <w:top w:val="nil"/>
              <w:left w:val="nil"/>
              <w:bottom w:val="nil"/>
              <w:right w:val="single" w:sz="4" w:space="0" w:color="auto"/>
            </w:tcBorders>
            <w:shd w:val="clear" w:color="auto" w:fill="auto"/>
            <w:vAlign w:val="center"/>
            <w:hideMark/>
          </w:tcPr>
          <w:p w14:paraId="3F7280B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9,437</w:t>
            </w:r>
          </w:p>
        </w:tc>
      </w:tr>
      <w:tr w:rsidR="00736418" w:rsidRPr="00736418" w14:paraId="4DD1F914"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7569F274"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C87430C"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C242DC0"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2FC0B79"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A50EA0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D2E52B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5296B8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10F543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41F907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F5D2B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6A173C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E33CB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9DCEF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31A9FD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F7201F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3C185C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2359CE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7A7A8563"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0B4D4AF6"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F4178EA"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DC86FA9"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D70B19D"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75A9A6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9E1DDA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01E62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E82C4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F6A6A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6379B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540DAF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1CF0C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54DBAD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068F8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0BCB5F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29E682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20D7CD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47B18A24"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95C25E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69501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F2690A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funkčních podpůrných IT systémů pro sledování služeb</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587C43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IT systémy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48017E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3122A8A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auto" w:fill="auto"/>
            <w:vAlign w:val="center"/>
            <w:hideMark/>
          </w:tcPr>
          <w:p w14:paraId="19ADDCE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E012F0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E765C4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DBF4B9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EC2B47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auto" w:fill="auto"/>
            <w:vAlign w:val="center"/>
            <w:hideMark/>
          </w:tcPr>
          <w:p w14:paraId="2E93362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2,000</w:t>
            </w:r>
          </w:p>
        </w:tc>
        <w:tc>
          <w:tcPr>
            <w:tcW w:w="880" w:type="dxa"/>
            <w:tcBorders>
              <w:top w:val="nil"/>
              <w:left w:val="nil"/>
              <w:bottom w:val="nil"/>
              <w:right w:val="single" w:sz="4" w:space="0" w:color="auto"/>
            </w:tcBorders>
            <w:shd w:val="clear" w:color="auto" w:fill="auto"/>
            <w:vAlign w:val="center"/>
            <w:hideMark/>
          </w:tcPr>
          <w:p w14:paraId="6091D4C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59CC93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AE0CEB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D6682F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00BA303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3,000</w:t>
            </w:r>
          </w:p>
        </w:tc>
        <w:tc>
          <w:tcPr>
            <w:tcW w:w="880" w:type="dxa"/>
            <w:tcBorders>
              <w:top w:val="nil"/>
              <w:left w:val="nil"/>
              <w:bottom w:val="nil"/>
              <w:right w:val="single" w:sz="4" w:space="0" w:color="auto"/>
            </w:tcBorders>
            <w:shd w:val="clear" w:color="auto" w:fill="auto"/>
            <w:vAlign w:val="center"/>
            <w:hideMark/>
          </w:tcPr>
          <w:p w14:paraId="01D79D1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300,000</w:t>
            </w:r>
          </w:p>
        </w:tc>
      </w:tr>
      <w:tr w:rsidR="00736418" w:rsidRPr="00736418" w14:paraId="737E6AFE"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010D5AD0"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8618C9D"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15C65EF"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0BF73CA"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BC9F0C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D27382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4A1B73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FE6F7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E06910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CF5A15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63C4A1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1F273D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D53277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1E060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CDB0A4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A26DCD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FF274F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62EE89B0"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53DB79C0"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5DA8EBF"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CA3009D"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45B6EF6"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2BCAAB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AEEC03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450061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D06AEF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47246C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129B4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DCFD1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E5471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E46BE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F0C928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5EFAF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6CDF9F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6FA7F3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018E8467"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74250DA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69501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C8AF03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funkčních podpůrných IT systémů pro sledování služeb</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92ED271"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IT systémy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44BE5B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4EB8347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BC249D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796CFC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FAE2B5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7C1498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D2D835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615C57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C45BDB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A8C4B5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332CFBA"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F57CFD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06CE1B1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BF217F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N/A</w:t>
            </w:r>
          </w:p>
        </w:tc>
      </w:tr>
      <w:tr w:rsidR="00736418" w:rsidRPr="00736418" w14:paraId="77EF828D"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537A07D5"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0B8B5ADD"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C297F1D"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EFE6987"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12352C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32AB9D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282D0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553F05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037CCB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7B5482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09E829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C04ED6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14E06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FF2F5D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6CEFC9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2DBC4C5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BC9CDF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484559F6"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3A7044CC"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000C1D68"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BD0C358"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2E2F963"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8861A2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A696D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0F6CC2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0266E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32A66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C277CC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1EA248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8800C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2935CF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624BD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0373D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77F833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1DA218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7883C874" w14:textId="77777777" w:rsidTr="0073641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2799205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87B5C2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F8A881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093272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1852E74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632,000</w:t>
            </w:r>
          </w:p>
        </w:tc>
        <w:tc>
          <w:tcPr>
            <w:tcW w:w="880" w:type="dxa"/>
            <w:tcBorders>
              <w:top w:val="nil"/>
              <w:left w:val="nil"/>
              <w:bottom w:val="nil"/>
              <w:right w:val="single" w:sz="4" w:space="0" w:color="auto"/>
            </w:tcBorders>
            <w:shd w:val="clear" w:color="auto" w:fill="auto"/>
            <w:vAlign w:val="center"/>
            <w:hideMark/>
          </w:tcPr>
          <w:p w14:paraId="3F805BC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A4D9CD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E878D4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10,240</w:t>
            </w:r>
          </w:p>
        </w:tc>
        <w:tc>
          <w:tcPr>
            <w:tcW w:w="880" w:type="dxa"/>
            <w:tcBorders>
              <w:top w:val="nil"/>
              <w:left w:val="nil"/>
              <w:bottom w:val="nil"/>
              <w:right w:val="single" w:sz="4" w:space="0" w:color="auto"/>
            </w:tcBorders>
            <w:shd w:val="clear" w:color="auto" w:fill="auto"/>
            <w:vAlign w:val="center"/>
            <w:hideMark/>
          </w:tcPr>
          <w:p w14:paraId="414378B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76,080</w:t>
            </w:r>
          </w:p>
        </w:tc>
        <w:tc>
          <w:tcPr>
            <w:tcW w:w="880" w:type="dxa"/>
            <w:tcBorders>
              <w:top w:val="nil"/>
              <w:left w:val="nil"/>
              <w:bottom w:val="nil"/>
              <w:right w:val="single" w:sz="4" w:space="0" w:color="auto"/>
            </w:tcBorders>
            <w:shd w:val="clear" w:color="auto" w:fill="auto"/>
            <w:vAlign w:val="center"/>
            <w:hideMark/>
          </w:tcPr>
          <w:p w14:paraId="547BE15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371,000</w:t>
            </w:r>
          </w:p>
        </w:tc>
        <w:tc>
          <w:tcPr>
            <w:tcW w:w="880" w:type="dxa"/>
            <w:tcBorders>
              <w:top w:val="nil"/>
              <w:left w:val="nil"/>
              <w:bottom w:val="nil"/>
              <w:right w:val="single" w:sz="4" w:space="0" w:color="auto"/>
            </w:tcBorders>
            <w:shd w:val="clear" w:color="auto" w:fill="auto"/>
            <w:vAlign w:val="center"/>
            <w:hideMark/>
          </w:tcPr>
          <w:p w14:paraId="2F80E26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347,260</w:t>
            </w:r>
          </w:p>
        </w:tc>
        <w:tc>
          <w:tcPr>
            <w:tcW w:w="880" w:type="dxa"/>
            <w:tcBorders>
              <w:top w:val="nil"/>
              <w:left w:val="nil"/>
              <w:bottom w:val="nil"/>
              <w:right w:val="single" w:sz="4" w:space="0" w:color="auto"/>
            </w:tcBorders>
            <w:shd w:val="clear" w:color="auto" w:fill="auto"/>
            <w:vAlign w:val="center"/>
            <w:hideMark/>
          </w:tcPr>
          <w:p w14:paraId="7E79954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960B02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D53205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90C5E5A"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1A8C9E1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804,580</w:t>
            </w:r>
          </w:p>
        </w:tc>
        <w:tc>
          <w:tcPr>
            <w:tcW w:w="880" w:type="dxa"/>
            <w:tcBorders>
              <w:top w:val="nil"/>
              <w:left w:val="nil"/>
              <w:bottom w:val="nil"/>
              <w:right w:val="single" w:sz="4" w:space="0" w:color="auto"/>
            </w:tcBorders>
            <w:shd w:val="clear" w:color="auto" w:fill="auto"/>
            <w:vAlign w:val="center"/>
            <w:hideMark/>
          </w:tcPr>
          <w:p w14:paraId="1F9A2B8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127,307</w:t>
            </w:r>
          </w:p>
        </w:tc>
      </w:tr>
      <w:tr w:rsidR="00736418" w:rsidRPr="00736418" w14:paraId="6BC1F192"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72AE0D1D"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A39FEDC"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DF2F1FF"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C3AA6B2"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119B31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1F8243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79227E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D126FA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7537C7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8D9DC2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8DFD3F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DD3274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896E7B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04473B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D17B5E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21A94B6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6BDD5D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42E6F92B"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0A5D651B"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BFC620C"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C4A4AC3"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92303F7"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F5BEE8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4D9813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3DDC5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B3BB20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C29930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F96CB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8CDBDF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7FE949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980E9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075BD7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F2073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30BE7C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AC6ACF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5BA17E09" w14:textId="77777777" w:rsidTr="0073641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31F1B43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09CB59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6F05B58"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DED1CD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4C78C7E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128,000</w:t>
            </w:r>
          </w:p>
        </w:tc>
        <w:tc>
          <w:tcPr>
            <w:tcW w:w="880" w:type="dxa"/>
            <w:tcBorders>
              <w:top w:val="nil"/>
              <w:left w:val="nil"/>
              <w:bottom w:val="nil"/>
              <w:right w:val="single" w:sz="4" w:space="0" w:color="auto"/>
            </w:tcBorders>
            <w:shd w:val="clear" w:color="auto" w:fill="auto"/>
            <w:vAlign w:val="center"/>
            <w:hideMark/>
          </w:tcPr>
          <w:p w14:paraId="5099307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FE65A9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32E469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2,760</w:t>
            </w:r>
          </w:p>
        </w:tc>
        <w:tc>
          <w:tcPr>
            <w:tcW w:w="880" w:type="dxa"/>
            <w:tcBorders>
              <w:top w:val="nil"/>
              <w:left w:val="nil"/>
              <w:bottom w:val="nil"/>
              <w:right w:val="single" w:sz="4" w:space="0" w:color="auto"/>
            </w:tcBorders>
            <w:shd w:val="clear" w:color="auto" w:fill="auto"/>
            <w:vAlign w:val="center"/>
            <w:hideMark/>
          </w:tcPr>
          <w:p w14:paraId="01580D9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8,930</w:t>
            </w:r>
          </w:p>
        </w:tc>
        <w:tc>
          <w:tcPr>
            <w:tcW w:w="880" w:type="dxa"/>
            <w:tcBorders>
              <w:top w:val="nil"/>
              <w:left w:val="nil"/>
              <w:bottom w:val="nil"/>
              <w:right w:val="single" w:sz="4" w:space="0" w:color="auto"/>
            </w:tcBorders>
            <w:shd w:val="clear" w:color="auto" w:fill="auto"/>
            <w:vAlign w:val="center"/>
            <w:hideMark/>
          </w:tcPr>
          <w:p w14:paraId="2A0E2CC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29,780</w:t>
            </w:r>
          </w:p>
        </w:tc>
        <w:tc>
          <w:tcPr>
            <w:tcW w:w="880" w:type="dxa"/>
            <w:tcBorders>
              <w:top w:val="nil"/>
              <w:left w:val="nil"/>
              <w:bottom w:val="nil"/>
              <w:right w:val="single" w:sz="4" w:space="0" w:color="auto"/>
            </w:tcBorders>
            <w:shd w:val="clear" w:color="auto" w:fill="auto"/>
            <w:vAlign w:val="center"/>
            <w:hideMark/>
          </w:tcPr>
          <w:p w14:paraId="7CD9913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32,960</w:t>
            </w:r>
          </w:p>
        </w:tc>
        <w:tc>
          <w:tcPr>
            <w:tcW w:w="880" w:type="dxa"/>
            <w:tcBorders>
              <w:top w:val="nil"/>
              <w:left w:val="nil"/>
              <w:bottom w:val="nil"/>
              <w:right w:val="single" w:sz="4" w:space="0" w:color="auto"/>
            </w:tcBorders>
            <w:shd w:val="clear" w:color="auto" w:fill="auto"/>
            <w:vAlign w:val="center"/>
            <w:hideMark/>
          </w:tcPr>
          <w:p w14:paraId="41A58B31"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6D9B7B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968891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A60335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079F41D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74,430</w:t>
            </w:r>
          </w:p>
        </w:tc>
        <w:tc>
          <w:tcPr>
            <w:tcW w:w="880" w:type="dxa"/>
            <w:tcBorders>
              <w:top w:val="nil"/>
              <w:left w:val="nil"/>
              <w:bottom w:val="nil"/>
              <w:right w:val="single" w:sz="4" w:space="0" w:color="auto"/>
            </w:tcBorders>
            <w:shd w:val="clear" w:color="auto" w:fill="auto"/>
            <w:vAlign w:val="center"/>
            <w:hideMark/>
          </w:tcPr>
          <w:p w14:paraId="03AE954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58,148</w:t>
            </w:r>
          </w:p>
        </w:tc>
      </w:tr>
      <w:tr w:rsidR="00736418" w:rsidRPr="00736418" w14:paraId="1453181A"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5D6D16C7"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D0FC5A2"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11D9C90"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80C0972"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D318A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D66A2E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583592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AFFBE4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3286F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D70E39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ED8B9C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B5AF20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B0423B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8DA817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1A57A6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454FEB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BBD32D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07EDA408"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52D05C4F"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E722BC0"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D05318E"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B4ACF07"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FF5337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C3E95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2DBA6A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94BB1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DB4A0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2B50B5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6803BF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088E07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17695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330954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DBB60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CE2562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10C1F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bl>
    <w:p w14:paraId="1E88C4DF" w14:textId="672655B6" w:rsidR="000147BE" w:rsidRDefault="000147BE" w:rsidP="009E49E6">
      <w:pPr>
        <w:ind w:left="113" w:right="108"/>
        <w:jc w:val="both"/>
        <w:rPr>
          <w:rFonts w:ascii="Arial" w:eastAsia="Arial" w:hAnsi="Arial" w:cs="Arial"/>
          <w:color w:val="000000"/>
          <w:sz w:val="20"/>
          <w:lang w:val="cs-CZ"/>
        </w:rPr>
      </w:pPr>
    </w:p>
    <w:p w14:paraId="44B32752" w14:textId="77777777" w:rsidR="00A91BEF" w:rsidRPr="002F2BE4" w:rsidRDefault="00A91BEF" w:rsidP="009E49E6">
      <w:pPr>
        <w:ind w:left="113" w:right="108"/>
        <w:jc w:val="both"/>
        <w:rPr>
          <w:rFonts w:ascii="Arial" w:eastAsia="Arial" w:hAnsi="Arial" w:cs="Arial"/>
          <w:color w:val="000000"/>
          <w:sz w:val="20"/>
          <w:lang w:val="cs-CZ"/>
        </w:rPr>
      </w:pPr>
    </w:p>
    <w:p w14:paraId="4DC246F1" w14:textId="77777777"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03.2.65 Strategie komunitně vedeného místního rozvoje</w:t>
      </w:r>
    </w:p>
    <w:tbl>
      <w:tblPr>
        <w:tblW w:w="15760" w:type="dxa"/>
        <w:tblInd w:w="75" w:type="dxa"/>
        <w:tblCellMar>
          <w:left w:w="70" w:type="dxa"/>
          <w:right w:w="70" w:type="dxa"/>
        </w:tblCellMar>
        <w:tblLook w:val="04A0" w:firstRow="1" w:lastRow="0" w:firstColumn="1" w:lastColumn="0" w:noHBand="0" w:noVBand="1"/>
      </w:tblPr>
      <w:tblGrid>
        <w:gridCol w:w="638"/>
        <w:gridCol w:w="1801"/>
        <w:gridCol w:w="850"/>
        <w:gridCol w:w="977"/>
        <w:gridCol w:w="876"/>
        <w:gridCol w:w="874"/>
        <w:gridCol w:w="874"/>
        <w:gridCol w:w="874"/>
        <w:gridCol w:w="874"/>
        <w:gridCol w:w="874"/>
        <w:gridCol w:w="874"/>
        <w:gridCol w:w="874"/>
        <w:gridCol w:w="874"/>
        <w:gridCol w:w="874"/>
        <w:gridCol w:w="874"/>
        <w:gridCol w:w="1004"/>
        <w:gridCol w:w="874"/>
      </w:tblGrid>
      <w:tr w:rsidR="00736418" w:rsidRPr="00736418" w14:paraId="4377FFE1" w14:textId="77777777" w:rsidTr="00736418">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176B86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28CC326"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D27551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F7DD0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Kategorie regionu (je-li relevantní)</w:t>
            </w:r>
          </w:p>
        </w:tc>
        <w:tc>
          <w:tcPr>
            <w:tcW w:w="880" w:type="dxa"/>
            <w:tcBorders>
              <w:top w:val="single" w:sz="4" w:space="0" w:color="auto"/>
              <w:left w:val="nil"/>
              <w:bottom w:val="nil"/>
              <w:right w:val="single" w:sz="4" w:space="0" w:color="auto"/>
            </w:tcBorders>
            <w:shd w:val="clear" w:color="000000" w:fill="FFFFFF"/>
            <w:vAlign w:val="center"/>
            <w:hideMark/>
          </w:tcPr>
          <w:p w14:paraId="67E6F336"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20D5C20"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593F49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81C25B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ADEDE7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309CCB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9FFF6AE"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BA73566"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8B848C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0CC88AD"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1A4504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37A7ADA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36BE741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Míra splnění</w:t>
            </w:r>
          </w:p>
        </w:tc>
      </w:tr>
      <w:tr w:rsidR="00736418" w:rsidRPr="00736418" w14:paraId="3A5400C2" w14:textId="77777777" w:rsidTr="0073641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DA021B1"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3398407"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408ADCC8"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2A44AF23"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7FF9A5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13D0160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E8F28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3AC76B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r>
      <w:tr w:rsidR="00736418" w:rsidRPr="00736418" w14:paraId="672A5C4C" w14:textId="77777777" w:rsidTr="0073641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3ADF30F"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3526576"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0B0B1FA2"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44C9536F"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7A92A207"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665ED9D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FD89560"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2E7768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4BA7C5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141265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B69BB4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242E93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BFA9D7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877525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49DCBD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34A1A57D"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38567098" w14:textId="77777777" w:rsidR="00736418" w:rsidRPr="00736418" w:rsidRDefault="00736418" w:rsidP="00736418">
            <w:pPr>
              <w:rPr>
                <w:rFonts w:ascii="Arial" w:eastAsia="Times New Roman" w:hAnsi="Arial" w:cs="Arial"/>
                <w:b/>
                <w:bCs/>
                <w:color w:val="000000"/>
                <w:sz w:val="14"/>
                <w:szCs w:val="14"/>
                <w:lang w:val="cs-CZ" w:eastAsia="cs-CZ"/>
              </w:rPr>
            </w:pPr>
          </w:p>
        </w:tc>
      </w:tr>
      <w:tr w:rsidR="00736418" w:rsidRPr="00736418" w14:paraId="4A2EF46A" w14:textId="77777777" w:rsidTr="0073641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5F23AAB8"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7659503F"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B68874F"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541BB671"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4632F79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C518DA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FB4678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6F3BB4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F64261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0176E3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DEC36F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A051BF6"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10E86B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553900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1C8F2B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0514740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CB5168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r>
      <w:tr w:rsidR="00736418" w:rsidRPr="00736418" w14:paraId="2B5542E8" w14:textId="77777777" w:rsidTr="0073641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06637495"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07C2516"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25A7963C"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293B3C16"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607CEBF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376142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3EF6AA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2DAECF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3C0D1D0"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73DE07E"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BDA29F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B8A0EE0"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A698F4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EAB546A"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DD23F7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940" w:type="dxa"/>
            <w:tcBorders>
              <w:top w:val="nil"/>
              <w:left w:val="nil"/>
              <w:bottom w:val="single" w:sz="4" w:space="0" w:color="auto"/>
              <w:right w:val="single" w:sz="4" w:space="0" w:color="auto"/>
            </w:tcBorders>
            <w:shd w:val="clear" w:color="000000" w:fill="FFFFFF"/>
            <w:vAlign w:val="center"/>
            <w:hideMark/>
          </w:tcPr>
          <w:p w14:paraId="15D8E98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D84D11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r>
      <w:tr w:rsidR="00736418" w:rsidRPr="00736418" w14:paraId="5575501D"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0F48DE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0F5C08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EE79F1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6CEDC1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48DE5B0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5574BB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0FFED4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53F12D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FC3801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994,000</w:t>
            </w:r>
          </w:p>
        </w:tc>
        <w:tc>
          <w:tcPr>
            <w:tcW w:w="880" w:type="dxa"/>
            <w:tcBorders>
              <w:top w:val="nil"/>
              <w:left w:val="nil"/>
              <w:bottom w:val="nil"/>
              <w:right w:val="single" w:sz="4" w:space="0" w:color="auto"/>
            </w:tcBorders>
            <w:shd w:val="clear" w:color="auto" w:fill="auto"/>
            <w:vAlign w:val="center"/>
            <w:hideMark/>
          </w:tcPr>
          <w:p w14:paraId="6A163AC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6 503,000</w:t>
            </w:r>
          </w:p>
        </w:tc>
        <w:tc>
          <w:tcPr>
            <w:tcW w:w="880" w:type="dxa"/>
            <w:tcBorders>
              <w:top w:val="nil"/>
              <w:left w:val="nil"/>
              <w:bottom w:val="nil"/>
              <w:right w:val="single" w:sz="4" w:space="0" w:color="auto"/>
            </w:tcBorders>
            <w:shd w:val="clear" w:color="auto" w:fill="auto"/>
            <w:vAlign w:val="center"/>
            <w:hideMark/>
          </w:tcPr>
          <w:p w14:paraId="71DA2CF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10 012,000</w:t>
            </w:r>
          </w:p>
        </w:tc>
        <w:tc>
          <w:tcPr>
            <w:tcW w:w="880" w:type="dxa"/>
            <w:tcBorders>
              <w:top w:val="nil"/>
              <w:left w:val="nil"/>
              <w:bottom w:val="nil"/>
              <w:right w:val="single" w:sz="4" w:space="0" w:color="auto"/>
            </w:tcBorders>
            <w:shd w:val="clear" w:color="auto" w:fill="auto"/>
            <w:vAlign w:val="center"/>
            <w:hideMark/>
          </w:tcPr>
          <w:p w14:paraId="59FB50C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955B3F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7E4BE08"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D5AE31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52C6CD4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17 509,000</w:t>
            </w:r>
          </w:p>
        </w:tc>
        <w:tc>
          <w:tcPr>
            <w:tcW w:w="880" w:type="dxa"/>
            <w:tcBorders>
              <w:top w:val="nil"/>
              <w:left w:val="nil"/>
              <w:bottom w:val="nil"/>
              <w:right w:val="single" w:sz="4" w:space="0" w:color="auto"/>
            </w:tcBorders>
            <w:shd w:val="clear" w:color="auto" w:fill="auto"/>
            <w:vAlign w:val="center"/>
            <w:hideMark/>
          </w:tcPr>
          <w:p w14:paraId="2FBF358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4518F7AF"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08F3ABC"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1CCFBBD"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FE25968"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98C92CA"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0E84F7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0B3C3F8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215CD3B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0133C30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39CD43A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249,000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2A81C6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1 578,000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6577BF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2 419,000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53B313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ADC8C5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A017CD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620033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52892E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4 246,000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099532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65A62ABA"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69E2C4AC"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B9FDAFE"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EA11A50"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57B5951"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81E1B6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60EAB0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5BC4904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1EE0A28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2AC7021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745,000</w:t>
            </w:r>
          </w:p>
        </w:tc>
        <w:tc>
          <w:tcPr>
            <w:tcW w:w="880" w:type="dxa"/>
            <w:tcBorders>
              <w:top w:val="nil"/>
              <w:left w:val="nil"/>
              <w:bottom w:val="single" w:sz="4" w:space="0" w:color="auto"/>
              <w:right w:val="single" w:sz="4" w:space="0" w:color="auto"/>
            </w:tcBorders>
            <w:shd w:val="clear" w:color="auto" w:fill="auto"/>
            <w:vAlign w:val="center"/>
            <w:hideMark/>
          </w:tcPr>
          <w:p w14:paraId="2FA8BE7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4 925,000</w:t>
            </w:r>
          </w:p>
        </w:tc>
        <w:tc>
          <w:tcPr>
            <w:tcW w:w="880" w:type="dxa"/>
            <w:tcBorders>
              <w:top w:val="nil"/>
              <w:left w:val="nil"/>
              <w:bottom w:val="single" w:sz="4" w:space="0" w:color="auto"/>
              <w:right w:val="single" w:sz="4" w:space="0" w:color="auto"/>
            </w:tcBorders>
            <w:shd w:val="clear" w:color="auto" w:fill="auto"/>
            <w:vAlign w:val="center"/>
            <w:hideMark/>
          </w:tcPr>
          <w:p w14:paraId="779EDFD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7 593,000</w:t>
            </w:r>
          </w:p>
        </w:tc>
        <w:tc>
          <w:tcPr>
            <w:tcW w:w="880" w:type="dxa"/>
            <w:tcBorders>
              <w:top w:val="nil"/>
              <w:left w:val="nil"/>
              <w:bottom w:val="single" w:sz="4" w:space="0" w:color="auto"/>
              <w:right w:val="single" w:sz="4" w:space="0" w:color="auto"/>
            </w:tcBorders>
            <w:shd w:val="clear" w:color="auto" w:fill="auto"/>
            <w:vAlign w:val="center"/>
            <w:hideMark/>
          </w:tcPr>
          <w:p w14:paraId="24FD754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88CD2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D3433E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6B7143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88FFEF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13 263,000</w:t>
            </w:r>
          </w:p>
        </w:tc>
        <w:tc>
          <w:tcPr>
            <w:tcW w:w="880" w:type="dxa"/>
            <w:tcBorders>
              <w:top w:val="nil"/>
              <w:left w:val="nil"/>
              <w:bottom w:val="single" w:sz="4" w:space="0" w:color="auto"/>
              <w:right w:val="single" w:sz="4" w:space="0" w:color="auto"/>
            </w:tcBorders>
            <w:shd w:val="clear" w:color="auto" w:fill="auto"/>
            <w:vAlign w:val="center"/>
            <w:hideMark/>
          </w:tcPr>
          <w:p w14:paraId="37341F6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1075EDB2" w14:textId="77777777" w:rsidTr="0073641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32C2202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67001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5C573D7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Kapacita podpořených služeb</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9DD25B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Místa</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53FDB001"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656093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882,000</w:t>
            </w:r>
          </w:p>
        </w:tc>
        <w:tc>
          <w:tcPr>
            <w:tcW w:w="880" w:type="dxa"/>
            <w:tcBorders>
              <w:top w:val="nil"/>
              <w:left w:val="nil"/>
              <w:bottom w:val="single" w:sz="4" w:space="0" w:color="auto"/>
              <w:right w:val="single" w:sz="4" w:space="0" w:color="auto"/>
            </w:tcBorders>
            <w:shd w:val="clear" w:color="auto" w:fill="auto"/>
            <w:vAlign w:val="center"/>
            <w:hideMark/>
          </w:tcPr>
          <w:p w14:paraId="6DACE15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C4EB13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1F0306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67E324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20,000</w:t>
            </w:r>
          </w:p>
        </w:tc>
        <w:tc>
          <w:tcPr>
            <w:tcW w:w="880" w:type="dxa"/>
            <w:tcBorders>
              <w:top w:val="nil"/>
              <w:left w:val="nil"/>
              <w:bottom w:val="single" w:sz="4" w:space="0" w:color="auto"/>
              <w:right w:val="single" w:sz="4" w:space="0" w:color="auto"/>
            </w:tcBorders>
            <w:shd w:val="clear" w:color="auto" w:fill="auto"/>
            <w:vAlign w:val="center"/>
            <w:hideMark/>
          </w:tcPr>
          <w:p w14:paraId="725B39C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397,000</w:t>
            </w:r>
          </w:p>
        </w:tc>
        <w:tc>
          <w:tcPr>
            <w:tcW w:w="880" w:type="dxa"/>
            <w:tcBorders>
              <w:top w:val="nil"/>
              <w:left w:val="nil"/>
              <w:bottom w:val="single" w:sz="4" w:space="0" w:color="auto"/>
              <w:right w:val="single" w:sz="4" w:space="0" w:color="auto"/>
            </w:tcBorders>
            <w:shd w:val="clear" w:color="auto" w:fill="auto"/>
            <w:vAlign w:val="center"/>
            <w:hideMark/>
          </w:tcPr>
          <w:p w14:paraId="30C4C11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1 189,000</w:t>
            </w:r>
          </w:p>
        </w:tc>
        <w:tc>
          <w:tcPr>
            <w:tcW w:w="880" w:type="dxa"/>
            <w:tcBorders>
              <w:top w:val="nil"/>
              <w:left w:val="nil"/>
              <w:bottom w:val="single" w:sz="4" w:space="0" w:color="auto"/>
              <w:right w:val="single" w:sz="4" w:space="0" w:color="auto"/>
            </w:tcBorders>
            <w:shd w:val="clear" w:color="auto" w:fill="auto"/>
            <w:vAlign w:val="center"/>
            <w:hideMark/>
          </w:tcPr>
          <w:p w14:paraId="0731615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C70C88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DC9050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3D1F92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94FA4A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1 606,000</w:t>
            </w:r>
          </w:p>
        </w:tc>
        <w:tc>
          <w:tcPr>
            <w:tcW w:w="880" w:type="dxa"/>
            <w:tcBorders>
              <w:top w:val="nil"/>
              <w:left w:val="nil"/>
              <w:bottom w:val="single" w:sz="4" w:space="0" w:color="auto"/>
              <w:right w:val="single" w:sz="4" w:space="0" w:color="auto"/>
            </w:tcBorders>
            <w:shd w:val="clear" w:color="auto" w:fill="auto"/>
            <w:vAlign w:val="center"/>
            <w:hideMark/>
          </w:tcPr>
          <w:p w14:paraId="6F6BAA6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182,086</w:t>
            </w:r>
          </w:p>
        </w:tc>
      </w:tr>
      <w:tr w:rsidR="00736418" w:rsidRPr="00736418" w14:paraId="7CECC23A"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72C6DE7"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E80FF27"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5C9328A"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2A4BAE4"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4A27FB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0B575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323859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C8E6E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A4EAE6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7850BF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627FFA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7889C0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ED6FFB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1C6E9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2CB544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D6DBF5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652AE1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11C3A9E9" w14:textId="77777777" w:rsidTr="0073641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21E4152C"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460CF441"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A032F16"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7325826"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16C9F1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F1F334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FF1E6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3E600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BF7147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0D8A88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C5ABE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601EC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8A513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359EA3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7C28C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5348B5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BD1916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6530ECD3" w14:textId="77777777" w:rsidTr="0073641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1A59F76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876221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7075C4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06BA39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2C6F167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88,000</w:t>
            </w:r>
          </w:p>
        </w:tc>
        <w:tc>
          <w:tcPr>
            <w:tcW w:w="880" w:type="dxa"/>
            <w:tcBorders>
              <w:top w:val="nil"/>
              <w:left w:val="nil"/>
              <w:bottom w:val="nil"/>
              <w:right w:val="single" w:sz="4" w:space="0" w:color="auto"/>
            </w:tcBorders>
            <w:shd w:val="clear" w:color="auto" w:fill="auto"/>
            <w:vAlign w:val="center"/>
            <w:hideMark/>
          </w:tcPr>
          <w:p w14:paraId="3CBCD74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39C6E2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33B9FF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173DA7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490A8A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CA2C2B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6,000</w:t>
            </w:r>
          </w:p>
        </w:tc>
        <w:tc>
          <w:tcPr>
            <w:tcW w:w="880" w:type="dxa"/>
            <w:tcBorders>
              <w:top w:val="nil"/>
              <w:left w:val="nil"/>
              <w:bottom w:val="nil"/>
              <w:right w:val="single" w:sz="4" w:space="0" w:color="auto"/>
            </w:tcBorders>
            <w:shd w:val="clear" w:color="auto" w:fill="auto"/>
            <w:vAlign w:val="center"/>
            <w:hideMark/>
          </w:tcPr>
          <w:p w14:paraId="4B15D61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FC29C0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7E96FF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1786CD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3F4F48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6,000</w:t>
            </w:r>
          </w:p>
        </w:tc>
        <w:tc>
          <w:tcPr>
            <w:tcW w:w="880" w:type="dxa"/>
            <w:tcBorders>
              <w:top w:val="nil"/>
              <w:left w:val="nil"/>
              <w:bottom w:val="nil"/>
              <w:right w:val="single" w:sz="4" w:space="0" w:color="auto"/>
            </w:tcBorders>
            <w:shd w:val="clear" w:color="auto" w:fill="auto"/>
            <w:vAlign w:val="center"/>
            <w:hideMark/>
          </w:tcPr>
          <w:p w14:paraId="07550F1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57670342"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20FA4414"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C127C8C"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C40D310"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DEDDC3C"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26D85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245723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D3AA8A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E65DDC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4F8CD9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7F4E91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9EBDC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9E3F58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950162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06E167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A61376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E96AE7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5B04C2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10FADB71"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25F4DB90"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D97DBF5"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5DE2C23"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74FDDEF"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E01DB8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4FFC1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862E8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9B4ECB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E99D8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4DA36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82925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633F67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83AA5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2ACDC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24528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D7E268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9A13E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bl>
    <w:p w14:paraId="35E89578" w14:textId="7CC94EEF" w:rsidR="00E334C0" w:rsidRDefault="00E334C0" w:rsidP="009E49E6">
      <w:pPr>
        <w:ind w:right="108"/>
        <w:jc w:val="both"/>
        <w:rPr>
          <w:rFonts w:ascii="Arial" w:eastAsia="Arial" w:hAnsi="Arial" w:cs="Arial"/>
          <w:color w:val="000000"/>
          <w:sz w:val="20"/>
          <w:lang w:val="cs-CZ"/>
        </w:rPr>
      </w:pPr>
    </w:p>
    <w:p w14:paraId="3AF60E2E" w14:textId="77777777" w:rsidR="00FD35AB" w:rsidRDefault="00FD35AB" w:rsidP="002E6E2A">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03.3.48 Přístup k zaměstnání pro osoby hledající zaměstnání a neaktivní osoby, včetně dlouhodobě nezaměstnaných a osob vzdálených trhu práce, také prostřednictvím místních iniciativ na podporu zaměstnanosti a mobility pracovníků</w:t>
      </w:r>
    </w:p>
    <w:tbl>
      <w:tblPr>
        <w:tblW w:w="15760" w:type="dxa"/>
        <w:tblInd w:w="75" w:type="dxa"/>
        <w:tblCellMar>
          <w:left w:w="70" w:type="dxa"/>
          <w:right w:w="70" w:type="dxa"/>
        </w:tblCellMar>
        <w:tblLook w:val="04A0" w:firstRow="1" w:lastRow="0" w:firstColumn="1" w:lastColumn="0" w:noHBand="0" w:noVBand="1"/>
      </w:tblPr>
      <w:tblGrid>
        <w:gridCol w:w="636"/>
        <w:gridCol w:w="1800"/>
        <w:gridCol w:w="856"/>
        <w:gridCol w:w="975"/>
        <w:gridCol w:w="875"/>
        <w:gridCol w:w="874"/>
        <w:gridCol w:w="874"/>
        <w:gridCol w:w="874"/>
        <w:gridCol w:w="874"/>
        <w:gridCol w:w="874"/>
        <w:gridCol w:w="874"/>
        <w:gridCol w:w="874"/>
        <w:gridCol w:w="874"/>
        <w:gridCol w:w="874"/>
        <w:gridCol w:w="874"/>
        <w:gridCol w:w="1004"/>
        <w:gridCol w:w="874"/>
      </w:tblGrid>
      <w:tr w:rsidR="00736418" w:rsidRPr="00736418" w14:paraId="56F67432" w14:textId="77777777" w:rsidTr="00736418">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E14D22A"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CF8EDE"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8A8ACF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A017E0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Kategorie regionu (je-li relevantní)</w:t>
            </w:r>
          </w:p>
        </w:tc>
        <w:tc>
          <w:tcPr>
            <w:tcW w:w="880" w:type="dxa"/>
            <w:tcBorders>
              <w:top w:val="single" w:sz="4" w:space="0" w:color="auto"/>
              <w:left w:val="nil"/>
              <w:bottom w:val="nil"/>
              <w:right w:val="single" w:sz="4" w:space="0" w:color="auto"/>
            </w:tcBorders>
            <w:shd w:val="clear" w:color="000000" w:fill="FFFFFF"/>
            <w:vAlign w:val="center"/>
            <w:hideMark/>
          </w:tcPr>
          <w:p w14:paraId="764C2EF3"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3B215C3"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1F9D2D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81AB616"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3C8290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0DA025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698FB4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5EBCE2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251347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0579CB2"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C2300C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25E0BD6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39CF0B6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Míra splnění</w:t>
            </w:r>
          </w:p>
        </w:tc>
      </w:tr>
      <w:tr w:rsidR="00736418" w:rsidRPr="00736418" w14:paraId="7B0E1FF8" w14:textId="77777777" w:rsidTr="0073641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7D477F5"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D0ACB05"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21B5090"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4CEE84AB"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5648496"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2C3F60F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6786C0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4D42EA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r>
      <w:tr w:rsidR="00736418" w:rsidRPr="00736418" w14:paraId="0E67C9F5" w14:textId="77777777" w:rsidTr="0073641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7ED577D"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174253EB"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69A1B5C"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41189314"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66CF4D5D"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39D7E69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AB607B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453080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0676A0E"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A5C647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586163A"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40F540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B16BF9E"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2C20A03"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906C100"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5326E169"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15A24CC4" w14:textId="77777777" w:rsidR="00736418" w:rsidRPr="00736418" w:rsidRDefault="00736418" w:rsidP="00736418">
            <w:pPr>
              <w:rPr>
                <w:rFonts w:ascii="Arial" w:eastAsia="Times New Roman" w:hAnsi="Arial" w:cs="Arial"/>
                <w:b/>
                <w:bCs/>
                <w:color w:val="000000"/>
                <w:sz w:val="14"/>
                <w:szCs w:val="14"/>
                <w:lang w:val="cs-CZ" w:eastAsia="cs-CZ"/>
              </w:rPr>
            </w:pPr>
          </w:p>
        </w:tc>
      </w:tr>
      <w:tr w:rsidR="00736418" w:rsidRPr="00736418" w14:paraId="37F2B337" w14:textId="77777777" w:rsidTr="00A91BEF">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3EBB6BCF"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723B9B1"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70979ECE"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3B42712"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314B961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BCA8F5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4E97D9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C837E7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B97840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EB1EB6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AA15C03"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B53A76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349B266"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D4DAB54"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7B278C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14D12EA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7F7C94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M</w:t>
            </w:r>
          </w:p>
        </w:tc>
      </w:tr>
      <w:tr w:rsidR="00736418" w:rsidRPr="00736418" w14:paraId="654237F4" w14:textId="77777777" w:rsidTr="00A91BEF">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4D224D0" w14:textId="77777777" w:rsidR="00736418" w:rsidRPr="00736418" w:rsidRDefault="00736418" w:rsidP="0073641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CDB259E" w14:textId="77777777" w:rsidR="00736418" w:rsidRPr="00736418" w:rsidRDefault="00736418" w:rsidP="0073641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3E3EE129" w14:textId="77777777" w:rsidR="00736418" w:rsidRPr="00736418" w:rsidRDefault="00736418" w:rsidP="0073641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D50B5AB" w14:textId="77777777" w:rsidR="00736418" w:rsidRPr="00736418" w:rsidRDefault="00736418" w:rsidP="00736418">
            <w:pPr>
              <w:rPr>
                <w:rFonts w:ascii="Arial" w:eastAsia="Times New Roman" w:hAnsi="Arial" w:cs="Arial"/>
                <w:b/>
                <w:bCs/>
                <w:color w:val="000000"/>
                <w:sz w:val="14"/>
                <w:szCs w:val="14"/>
                <w:lang w:val="cs-CZ" w:eastAsia="cs-CZ"/>
              </w:rPr>
            </w:pPr>
          </w:p>
        </w:tc>
        <w:tc>
          <w:tcPr>
            <w:tcW w:w="880" w:type="dxa"/>
            <w:tcBorders>
              <w:top w:val="single" w:sz="4" w:space="0" w:color="auto"/>
              <w:left w:val="nil"/>
              <w:bottom w:val="nil"/>
              <w:right w:val="single" w:sz="4" w:space="0" w:color="auto"/>
            </w:tcBorders>
            <w:shd w:val="clear" w:color="000000" w:fill="FFFFFF"/>
            <w:vAlign w:val="center"/>
            <w:hideMark/>
          </w:tcPr>
          <w:p w14:paraId="6C56177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DCE3E5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C3A65D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762124B"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864A6A1"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859511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588E10F"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F2EC01C"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F8CCCD5"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79AFF57"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0427F19"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940" w:type="dxa"/>
            <w:tcBorders>
              <w:top w:val="nil"/>
              <w:left w:val="nil"/>
              <w:bottom w:val="nil"/>
              <w:right w:val="single" w:sz="4" w:space="0" w:color="auto"/>
            </w:tcBorders>
            <w:shd w:val="clear" w:color="000000" w:fill="FFFFFF"/>
            <w:vAlign w:val="center"/>
            <w:hideMark/>
          </w:tcPr>
          <w:p w14:paraId="4212E1C3"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c>
          <w:tcPr>
            <w:tcW w:w="880" w:type="dxa"/>
            <w:tcBorders>
              <w:top w:val="nil"/>
              <w:left w:val="nil"/>
              <w:bottom w:val="nil"/>
              <w:right w:val="single" w:sz="4" w:space="0" w:color="auto"/>
            </w:tcBorders>
            <w:shd w:val="clear" w:color="000000" w:fill="FFFFFF"/>
            <w:vAlign w:val="center"/>
            <w:hideMark/>
          </w:tcPr>
          <w:p w14:paraId="696BBD18" w14:textId="77777777" w:rsidR="00736418" w:rsidRPr="00736418" w:rsidRDefault="00736418" w:rsidP="00736418">
            <w:pPr>
              <w:jc w:val="center"/>
              <w:rPr>
                <w:rFonts w:ascii="Arial" w:eastAsia="Times New Roman" w:hAnsi="Arial" w:cs="Arial"/>
                <w:b/>
                <w:bCs/>
                <w:color w:val="000000"/>
                <w:sz w:val="14"/>
                <w:szCs w:val="14"/>
                <w:lang w:val="cs-CZ" w:eastAsia="cs-CZ"/>
              </w:rPr>
            </w:pPr>
            <w:r w:rsidRPr="00736418">
              <w:rPr>
                <w:rFonts w:ascii="Arial" w:eastAsia="Times New Roman" w:hAnsi="Arial" w:cs="Arial"/>
                <w:b/>
                <w:bCs/>
                <w:color w:val="000000"/>
                <w:sz w:val="14"/>
                <w:szCs w:val="14"/>
                <w:lang w:val="cs-CZ" w:eastAsia="cs-CZ"/>
              </w:rPr>
              <w:t>Ž</w:t>
            </w:r>
          </w:p>
        </w:tc>
      </w:tr>
      <w:tr w:rsidR="00736418" w:rsidRPr="00736418" w14:paraId="32E11CF2" w14:textId="77777777" w:rsidTr="0073641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38697D9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20487B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2D73A3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55E2304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single" w:sz="4" w:space="0" w:color="auto"/>
              <w:left w:val="nil"/>
              <w:bottom w:val="nil"/>
              <w:right w:val="single" w:sz="4" w:space="0" w:color="auto"/>
            </w:tcBorders>
            <w:shd w:val="clear" w:color="auto" w:fill="auto"/>
            <w:vAlign w:val="center"/>
            <w:hideMark/>
          </w:tcPr>
          <w:p w14:paraId="616389E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860,000</w:t>
            </w:r>
          </w:p>
        </w:tc>
        <w:tc>
          <w:tcPr>
            <w:tcW w:w="880" w:type="dxa"/>
            <w:tcBorders>
              <w:top w:val="nil"/>
              <w:left w:val="nil"/>
              <w:bottom w:val="nil"/>
              <w:right w:val="single" w:sz="4" w:space="0" w:color="auto"/>
            </w:tcBorders>
            <w:shd w:val="clear" w:color="auto" w:fill="auto"/>
            <w:vAlign w:val="center"/>
            <w:hideMark/>
          </w:tcPr>
          <w:p w14:paraId="42AF63C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D9292F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B1DF6B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83,000</w:t>
            </w:r>
          </w:p>
        </w:tc>
        <w:tc>
          <w:tcPr>
            <w:tcW w:w="880" w:type="dxa"/>
            <w:tcBorders>
              <w:top w:val="nil"/>
              <w:left w:val="nil"/>
              <w:bottom w:val="nil"/>
              <w:right w:val="single" w:sz="4" w:space="0" w:color="auto"/>
            </w:tcBorders>
            <w:shd w:val="clear" w:color="auto" w:fill="auto"/>
            <w:vAlign w:val="center"/>
            <w:hideMark/>
          </w:tcPr>
          <w:p w14:paraId="278F69A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641,000</w:t>
            </w:r>
          </w:p>
        </w:tc>
        <w:tc>
          <w:tcPr>
            <w:tcW w:w="880" w:type="dxa"/>
            <w:tcBorders>
              <w:top w:val="nil"/>
              <w:left w:val="nil"/>
              <w:bottom w:val="nil"/>
              <w:right w:val="single" w:sz="4" w:space="0" w:color="auto"/>
            </w:tcBorders>
            <w:shd w:val="clear" w:color="auto" w:fill="auto"/>
            <w:vAlign w:val="center"/>
            <w:hideMark/>
          </w:tcPr>
          <w:p w14:paraId="43D61AD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374,000</w:t>
            </w:r>
          </w:p>
        </w:tc>
        <w:tc>
          <w:tcPr>
            <w:tcW w:w="880" w:type="dxa"/>
            <w:tcBorders>
              <w:top w:val="nil"/>
              <w:left w:val="nil"/>
              <w:bottom w:val="nil"/>
              <w:right w:val="single" w:sz="4" w:space="0" w:color="auto"/>
            </w:tcBorders>
            <w:shd w:val="clear" w:color="auto" w:fill="auto"/>
            <w:vAlign w:val="center"/>
            <w:hideMark/>
          </w:tcPr>
          <w:p w14:paraId="07CF9F4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353,000</w:t>
            </w:r>
          </w:p>
        </w:tc>
        <w:tc>
          <w:tcPr>
            <w:tcW w:w="880" w:type="dxa"/>
            <w:tcBorders>
              <w:top w:val="nil"/>
              <w:left w:val="nil"/>
              <w:bottom w:val="nil"/>
              <w:right w:val="single" w:sz="4" w:space="0" w:color="auto"/>
            </w:tcBorders>
            <w:shd w:val="clear" w:color="auto" w:fill="auto"/>
            <w:vAlign w:val="center"/>
            <w:hideMark/>
          </w:tcPr>
          <w:p w14:paraId="431DB74A"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60D659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AFEB47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85ECB1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nil"/>
              <w:right w:val="single" w:sz="4" w:space="0" w:color="auto"/>
            </w:tcBorders>
            <w:shd w:val="clear" w:color="auto" w:fill="auto"/>
            <w:vAlign w:val="center"/>
            <w:hideMark/>
          </w:tcPr>
          <w:p w14:paraId="37A22D9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1 451,000</w:t>
            </w:r>
          </w:p>
        </w:tc>
        <w:tc>
          <w:tcPr>
            <w:tcW w:w="880" w:type="dxa"/>
            <w:tcBorders>
              <w:top w:val="single" w:sz="4" w:space="0" w:color="auto"/>
              <w:left w:val="nil"/>
              <w:bottom w:val="nil"/>
              <w:right w:val="single" w:sz="4" w:space="0" w:color="auto"/>
            </w:tcBorders>
            <w:shd w:val="clear" w:color="auto" w:fill="auto"/>
            <w:vAlign w:val="center"/>
            <w:hideMark/>
          </w:tcPr>
          <w:p w14:paraId="63BBB37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168,721</w:t>
            </w:r>
          </w:p>
        </w:tc>
      </w:tr>
      <w:tr w:rsidR="00736418" w:rsidRPr="00736418" w14:paraId="0C267919"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012050A7"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4FC2B6E3"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BEF0059"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AED527E"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D825E8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2D702D3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4383733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24E7F5D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43,000</w:t>
            </w:r>
          </w:p>
        </w:tc>
        <w:tc>
          <w:tcPr>
            <w:tcW w:w="880" w:type="dxa"/>
            <w:tcBorders>
              <w:top w:val="single" w:sz="4" w:space="0" w:color="auto"/>
              <w:left w:val="nil"/>
              <w:bottom w:val="single" w:sz="4" w:space="0" w:color="auto"/>
              <w:right w:val="single" w:sz="4" w:space="0" w:color="auto"/>
            </w:tcBorders>
            <w:shd w:val="clear" w:color="auto" w:fill="auto"/>
            <w:hideMark/>
          </w:tcPr>
          <w:p w14:paraId="71CE684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253,000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682863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862D3F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159,000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269FC6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705B1B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07EDA3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D8781E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28F145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537,000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60B577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41A24F40"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3B006EE7"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AAB5DF3"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B3FF870"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02AAD44"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045D59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220753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223DE45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B6DFF9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40,000</w:t>
            </w:r>
          </w:p>
        </w:tc>
        <w:tc>
          <w:tcPr>
            <w:tcW w:w="880" w:type="dxa"/>
            <w:tcBorders>
              <w:top w:val="nil"/>
              <w:left w:val="nil"/>
              <w:bottom w:val="single" w:sz="4" w:space="0" w:color="auto"/>
              <w:right w:val="single" w:sz="4" w:space="0" w:color="auto"/>
            </w:tcBorders>
            <w:shd w:val="clear" w:color="auto" w:fill="auto"/>
            <w:hideMark/>
          </w:tcPr>
          <w:p w14:paraId="05F3858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388,000</w:t>
            </w:r>
          </w:p>
        </w:tc>
        <w:tc>
          <w:tcPr>
            <w:tcW w:w="880" w:type="dxa"/>
            <w:tcBorders>
              <w:top w:val="nil"/>
              <w:left w:val="nil"/>
              <w:bottom w:val="single" w:sz="4" w:space="0" w:color="auto"/>
              <w:right w:val="single" w:sz="4" w:space="0" w:color="auto"/>
            </w:tcBorders>
            <w:shd w:val="clear" w:color="auto" w:fill="auto"/>
            <w:vAlign w:val="center"/>
            <w:hideMark/>
          </w:tcPr>
          <w:p w14:paraId="6A57141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292,000</w:t>
            </w:r>
          </w:p>
        </w:tc>
        <w:tc>
          <w:tcPr>
            <w:tcW w:w="880" w:type="dxa"/>
            <w:tcBorders>
              <w:top w:val="nil"/>
              <w:left w:val="nil"/>
              <w:bottom w:val="single" w:sz="4" w:space="0" w:color="auto"/>
              <w:right w:val="single" w:sz="4" w:space="0" w:color="auto"/>
            </w:tcBorders>
            <w:shd w:val="clear" w:color="auto" w:fill="auto"/>
            <w:vAlign w:val="center"/>
            <w:hideMark/>
          </w:tcPr>
          <w:p w14:paraId="29AA941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194,000</w:t>
            </w:r>
          </w:p>
        </w:tc>
        <w:tc>
          <w:tcPr>
            <w:tcW w:w="880" w:type="dxa"/>
            <w:tcBorders>
              <w:top w:val="nil"/>
              <w:left w:val="nil"/>
              <w:bottom w:val="single" w:sz="4" w:space="0" w:color="auto"/>
              <w:right w:val="single" w:sz="4" w:space="0" w:color="auto"/>
            </w:tcBorders>
            <w:shd w:val="clear" w:color="auto" w:fill="auto"/>
            <w:vAlign w:val="center"/>
            <w:hideMark/>
          </w:tcPr>
          <w:p w14:paraId="1000191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ED0307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DF671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83E4B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AE9C26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914,000</w:t>
            </w:r>
          </w:p>
        </w:tc>
        <w:tc>
          <w:tcPr>
            <w:tcW w:w="880" w:type="dxa"/>
            <w:tcBorders>
              <w:top w:val="nil"/>
              <w:left w:val="nil"/>
              <w:bottom w:val="single" w:sz="4" w:space="0" w:color="auto"/>
              <w:right w:val="single" w:sz="4" w:space="0" w:color="auto"/>
            </w:tcBorders>
            <w:shd w:val="clear" w:color="auto" w:fill="auto"/>
            <w:vAlign w:val="center"/>
            <w:hideMark/>
          </w:tcPr>
          <w:p w14:paraId="14D4C55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3F94CE45" w14:textId="77777777" w:rsidTr="0073641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AC7252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4E89638"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9D7A86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1644AE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1F99CDA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115,000</w:t>
            </w:r>
          </w:p>
        </w:tc>
        <w:tc>
          <w:tcPr>
            <w:tcW w:w="880" w:type="dxa"/>
            <w:tcBorders>
              <w:top w:val="nil"/>
              <w:left w:val="nil"/>
              <w:bottom w:val="nil"/>
              <w:right w:val="single" w:sz="4" w:space="0" w:color="auto"/>
            </w:tcBorders>
            <w:shd w:val="clear" w:color="auto" w:fill="auto"/>
            <w:vAlign w:val="center"/>
            <w:hideMark/>
          </w:tcPr>
          <w:p w14:paraId="6A72EAF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5ADC0A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5C4B13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11,000</w:t>
            </w:r>
          </w:p>
        </w:tc>
        <w:tc>
          <w:tcPr>
            <w:tcW w:w="880" w:type="dxa"/>
            <w:tcBorders>
              <w:top w:val="nil"/>
              <w:left w:val="nil"/>
              <w:bottom w:val="nil"/>
              <w:right w:val="single" w:sz="4" w:space="0" w:color="auto"/>
            </w:tcBorders>
            <w:shd w:val="clear" w:color="auto" w:fill="auto"/>
            <w:vAlign w:val="center"/>
            <w:hideMark/>
          </w:tcPr>
          <w:p w14:paraId="65CF700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83,000</w:t>
            </w:r>
          </w:p>
        </w:tc>
        <w:tc>
          <w:tcPr>
            <w:tcW w:w="880" w:type="dxa"/>
            <w:tcBorders>
              <w:top w:val="nil"/>
              <w:left w:val="nil"/>
              <w:bottom w:val="nil"/>
              <w:right w:val="single" w:sz="4" w:space="0" w:color="auto"/>
            </w:tcBorders>
            <w:shd w:val="clear" w:color="auto" w:fill="auto"/>
            <w:vAlign w:val="center"/>
            <w:hideMark/>
          </w:tcPr>
          <w:p w14:paraId="620ACA8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53,000</w:t>
            </w:r>
          </w:p>
        </w:tc>
        <w:tc>
          <w:tcPr>
            <w:tcW w:w="880" w:type="dxa"/>
            <w:tcBorders>
              <w:top w:val="nil"/>
              <w:left w:val="nil"/>
              <w:bottom w:val="nil"/>
              <w:right w:val="single" w:sz="4" w:space="0" w:color="auto"/>
            </w:tcBorders>
            <w:shd w:val="clear" w:color="auto" w:fill="auto"/>
            <w:vAlign w:val="center"/>
            <w:hideMark/>
          </w:tcPr>
          <w:p w14:paraId="5309CB5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47,000</w:t>
            </w:r>
          </w:p>
        </w:tc>
        <w:tc>
          <w:tcPr>
            <w:tcW w:w="880" w:type="dxa"/>
            <w:tcBorders>
              <w:top w:val="nil"/>
              <w:left w:val="nil"/>
              <w:bottom w:val="nil"/>
              <w:right w:val="single" w:sz="4" w:space="0" w:color="auto"/>
            </w:tcBorders>
            <w:shd w:val="clear" w:color="auto" w:fill="auto"/>
            <w:vAlign w:val="center"/>
            <w:hideMark/>
          </w:tcPr>
          <w:p w14:paraId="39CB421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5B44D7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10DB76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64117E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3A3F931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194,000</w:t>
            </w:r>
          </w:p>
        </w:tc>
        <w:tc>
          <w:tcPr>
            <w:tcW w:w="880" w:type="dxa"/>
            <w:tcBorders>
              <w:top w:val="nil"/>
              <w:left w:val="nil"/>
              <w:bottom w:val="nil"/>
              <w:right w:val="single" w:sz="4" w:space="0" w:color="auto"/>
            </w:tcBorders>
            <w:shd w:val="clear" w:color="auto" w:fill="auto"/>
            <w:vAlign w:val="center"/>
            <w:hideMark/>
          </w:tcPr>
          <w:p w14:paraId="33FB025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168,696</w:t>
            </w:r>
          </w:p>
        </w:tc>
      </w:tr>
      <w:tr w:rsidR="00736418" w:rsidRPr="00736418" w14:paraId="73C66E34"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4AB9F5AC"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5B12A1B2"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4D21E2D"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BDC8F7F"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779CB6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367C5D0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5C0A652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15D79A8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6,000</w:t>
            </w:r>
          </w:p>
        </w:tc>
        <w:tc>
          <w:tcPr>
            <w:tcW w:w="880" w:type="dxa"/>
            <w:tcBorders>
              <w:top w:val="single" w:sz="4" w:space="0" w:color="auto"/>
              <w:left w:val="nil"/>
              <w:bottom w:val="single" w:sz="4" w:space="0" w:color="auto"/>
              <w:right w:val="single" w:sz="4" w:space="0" w:color="auto"/>
            </w:tcBorders>
            <w:shd w:val="clear" w:color="auto" w:fill="auto"/>
            <w:hideMark/>
          </w:tcPr>
          <w:p w14:paraId="0B50159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A58446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745E0E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ED155C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FD3BF8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96785E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388729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4A0E0E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ADFB8E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3EEC12F1"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1E7EC8E3"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00ED7A05"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16EC538"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190C00D"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924756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76B79A0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7C9C404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115ABFE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5,000</w:t>
            </w:r>
          </w:p>
        </w:tc>
        <w:tc>
          <w:tcPr>
            <w:tcW w:w="880" w:type="dxa"/>
            <w:tcBorders>
              <w:top w:val="nil"/>
              <w:left w:val="nil"/>
              <w:bottom w:val="single" w:sz="4" w:space="0" w:color="auto"/>
              <w:right w:val="single" w:sz="4" w:space="0" w:color="auto"/>
            </w:tcBorders>
            <w:shd w:val="clear" w:color="auto" w:fill="auto"/>
            <w:hideMark/>
          </w:tcPr>
          <w:p w14:paraId="617FFDB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51,000</w:t>
            </w:r>
          </w:p>
        </w:tc>
        <w:tc>
          <w:tcPr>
            <w:tcW w:w="880" w:type="dxa"/>
            <w:tcBorders>
              <w:top w:val="nil"/>
              <w:left w:val="nil"/>
              <w:bottom w:val="single" w:sz="4" w:space="0" w:color="auto"/>
              <w:right w:val="single" w:sz="4" w:space="0" w:color="auto"/>
            </w:tcBorders>
            <w:shd w:val="clear" w:color="auto" w:fill="auto"/>
            <w:vAlign w:val="center"/>
            <w:hideMark/>
          </w:tcPr>
          <w:p w14:paraId="063553A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41,000</w:t>
            </w:r>
          </w:p>
        </w:tc>
        <w:tc>
          <w:tcPr>
            <w:tcW w:w="880" w:type="dxa"/>
            <w:tcBorders>
              <w:top w:val="nil"/>
              <w:left w:val="nil"/>
              <w:bottom w:val="single" w:sz="4" w:space="0" w:color="auto"/>
              <w:right w:val="single" w:sz="4" w:space="0" w:color="auto"/>
            </w:tcBorders>
            <w:shd w:val="clear" w:color="auto" w:fill="auto"/>
            <w:vAlign w:val="center"/>
            <w:hideMark/>
          </w:tcPr>
          <w:p w14:paraId="46D74FB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25,000</w:t>
            </w:r>
          </w:p>
        </w:tc>
        <w:tc>
          <w:tcPr>
            <w:tcW w:w="880" w:type="dxa"/>
            <w:tcBorders>
              <w:top w:val="nil"/>
              <w:left w:val="nil"/>
              <w:bottom w:val="single" w:sz="4" w:space="0" w:color="auto"/>
              <w:right w:val="single" w:sz="4" w:space="0" w:color="auto"/>
            </w:tcBorders>
            <w:shd w:val="clear" w:color="auto" w:fill="auto"/>
            <w:vAlign w:val="center"/>
            <w:hideMark/>
          </w:tcPr>
          <w:p w14:paraId="4D1ADB3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A592A8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C1F49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0D1BD8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961522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122,000</w:t>
            </w:r>
          </w:p>
        </w:tc>
        <w:tc>
          <w:tcPr>
            <w:tcW w:w="880" w:type="dxa"/>
            <w:tcBorders>
              <w:top w:val="nil"/>
              <w:left w:val="nil"/>
              <w:bottom w:val="single" w:sz="4" w:space="0" w:color="auto"/>
              <w:right w:val="single" w:sz="4" w:space="0" w:color="auto"/>
            </w:tcBorders>
            <w:shd w:val="clear" w:color="auto" w:fill="auto"/>
            <w:vAlign w:val="center"/>
            <w:hideMark/>
          </w:tcPr>
          <w:p w14:paraId="4599F8D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194E1B73" w14:textId="77777777" w:rsidTr="0073641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19F824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67101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5F56297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podpořených podpůrných institucí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780EF1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7860B07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305E11F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auto" w:fill="auto"/>
            <w:vAlign w:val="center"/>
            <w:hideMark/>
          </w:tcPr>
          <w:p w14:paraId="23E49AB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410DBE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5D0792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9C4469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1,720</w:t>
            </w:r>
          </w:p>
        </w:tc>
        <w:tc>
          <w:tcPr>
            <w:tcW w:w="880" w:type="dxa"/>
            <w:tcBorders>
              <w:top w:val="nil"/>
              <w:left w:val="nil"/>
              <w:bottom w:val="nil"/>
              <w:right w:val="single" w:sz="4" w:space="0" w:color="auto"/>
            </w:tcBorders>
            <w:shd w:val="clear" w:color="auto" w:fill="auto"/>
            <w:vAlign w:val="center"/>
            <w:hideMark/>
          </w:tcPr>
          <w:p w14:paraId="49D44FD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1,030</w:t>
            </w:r>
          </w:p>
        </w:tc>
        <w:tc>
          <w:tcPr>
            <w:tcW w:w="880" w:type="dxa"/>
            <w:tcBorders>
              <w:top w:val="nil"/>
              <w:left w:val="nil"/>
              <w:bottom w:val="nil"/>
              <w:right w:val="single" w:sz="4" w:space="0" w:color="auto"/>
            </w:tcBorders>
            <w:shd w:val="clear" w:color="auto" w:fill="auto"/>
            <w:vAlign w:val="center"/>
            <w:hideMark/>
          </w:tcPr>
          <w:p w14:paraId="7107CE2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0,690</w:t>
            </w:r>
          </w:p>
        </w:tc>
        <w:tc>
          <w:tcPr>
            <w:tcW w:w="880" w:type="dxa"/>
            <w:tcBorders>
              <w:top w:val="nil"/>
              <w:left w:val="nil"/>
              <w:bottom w:val="nil"/>
              <w:right w:val="single" w:sz="4" w:space="0" w:color="auto"/>
            </w:tcBorders>
            <w:shd w:val="clear" w:color="auto" w:fill="auto"/>
            <w:vAlign w:val="center"/>
            <w:hideMark/>
          </w:tcPr>
          <w:p w14:paraId="537CD9A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7B7B981"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E548D2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CB75A8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11976B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3,440</w:t>
            </w:r>
          </w:p>
        </w:tc>
        <w:tc>
          <w:tcPr>
            <w:tcW w:w="880" w:type="dxa"/>
            <w:tcBorders>
              <w:top w:val="nil"/>
              <w:left w:val="nil"/>
              <w:bottom w:val="nil"/>
              <w:right w:val="single" w:sz="4" w:space="0" w:color="auto"/>
            </w:tcBorders>
            <w:shd w:val="clear" w:color="auto" w:fill="auto"/>
            <w:vAlign w:val="center"/>
            <w:hideMark/>
          </w:tcPr>
          <w:p w14:paraId="58ED0E6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344,000</w:t>
            </w:r>
          </w:p>
        </w:tc>
      </w:tr>
      <w:tr w:rsidR="00736418" w:rsidRPr="00736418" w14:paraId="1824AD72"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647FCDB0"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602BAA6"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1BF2064"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C4A44A4"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83816C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ACEC0E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8CB84B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2AEFA5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DC65BF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DC3828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0724BE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BD7C4B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FA2D02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19994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51927F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11EB79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27546A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524CD528"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521E9F31"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BCDFE27"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89C18D4"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7713DD5"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E5DCC6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F78465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2F622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D5573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80E70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2AC00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216460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8A5BA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EBFED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99BC29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85D27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3E8A39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ED952D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708461DA" w14:textId="77777777" w:rsidTr="0073641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689A367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67101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F27A83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podpořených podpůrných institucí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F6D99B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1AAF5AB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54374E9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8CF786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A4A2CE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AA989F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51D84F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0,230</w:t>
            </w:r>
          </w:p>
        </w:tc>
        <w:tc>
          <w:tcPr>
            <w:tcW w:w="880" w:type="dxa"/>
            <w:tcBorders>
              <w:top w:val="nil"/>
              <w:left w:val="nil"/>
              <w:bottom w:val="nil"/>
              <w:right w:val="single" w:sz="4" w:space="0" w:color="auto"/>
            </w:tcBorders>
            <w:shd w:val="clear" w:color="auto" w:fill="auto"/>
            <w:vAlign w:val="center"/>
            <w:hideMark/>
          </w:tcPr>
          <w:p w14:paraId="7881F9B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0,140</w:t>
            </w:r>
          </w:p>
        </w:tc>
        <w:tc>
          <w:tcPr>
            <w:tcW w:w="880" w:type="dxa"/>
            <w:tcBorders>
              <w:top w:val="nil"/>
              <w:left w:val="nil"/>
              <w:bottom w:val="nil"/>
              <w:right w:val="single" w:sz="4" w:space="0" w:color="auto"/>
            </w:tcBorders>
            <w:shd w:val="clear" w:color="auto" w:fill="auto"/>
            <w:vAlign w:val="center"/>
            <w:hideMark/>
          </w:tcPr>
          <w:p w14:paraId="2D55344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0,090</w:t>
            </w:r>
          </w:p>
        </w:tc>
        <w:tc>
          <w:tcPr>
            <w:tcW w:w="880" w:type="dxa"/>
            <w:tcBorders>
              <w:top w:val="nil"/>
              <w:left w:val="nil"/>
              <w:bottom w:val="nil"/>
              <w:right w:val="single" w:sz="4" w:space="0" w:color="auto"/>
            </w:tcBorders>
            <w:shd w:val="clear" w:color="auto" w:fill="auto"/>
            <w:vAlign w:val="center"/>
            <w:hideMark/>
          </w:tcPr>
          <w:p w14:paraId="38C4339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9FBAB27"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6E1D0B6"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0108BE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5D479E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0,460</w:t>
            </w:r>
          </w:p>
        </w:tc>
        <w:tc>
          <w:tcPr>
            <w:tcW w:w="880" w:type="dxa"/>
            <w:tcBorders>
              <w:top w:val="nil"/>
              <w:left w:val="nil"/>
              <w:bottom w:val="nil"/>
              <w:right w:val="single" w:sz="4" w:space="0" w:color="auto"/>
            </w:tcBorders>
            <w:shd w:val="clear" w:color="auto" w:fill="auto"/>
            <w:vAlign w:val="center"/>
            <w:hideMark/>
          </w:tcPr>
          <w:p w14:paraId="53549FD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r>
      <w:tr w:rsidR="00736418" w:rsidRPr="00736418" w14:paraId="404DFAF6"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21AAE03C"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36910F9"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0BCFC9E"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D342346"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43A012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04B355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04B4F3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429977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A47E7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39428A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5E8091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1B2D98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550062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A08040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08EFA1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81D797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DC9585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475F4009"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0AA1798D"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FC0C2F4"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103F556"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FE7D742"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C39D1D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34479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DAC9E2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3B9CD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3FC2B1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0DBC1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F4A02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4B1F3E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E6D40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61456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9B1062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7457EF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2505E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207848FA" w14:textId="77777777" w:rsidTr="0073641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2C28750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69301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71F877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experimentálně či kvazi-experimentálně ověřených nových nástrojů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F9D5B0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Nástroje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52B9806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31806C4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14,000</w:t>
            </w:r>
          </w:p>
        </w:tc>
        <w:tc>
          <w:tcPr>
            <w:tcW w:w="880" w:type="dxa"/>
            <w:tcBorders>
              <w:top w:val="nil"/>
              <w:left w:val="nil"/>
              <w:bottom w:val="nil"/>
              <w:right w:val="single" w:sz="4" w:space="0" w:color="auto"/>
            </w:tcBorders>
            <w:shd w:val="clear" w:color="auto" w:fill="auto"/>
            <w:vAlign w:val="center"/>
            <w:hideMark/>
          </w:tcPr>
          <w:p w14:paraId="26C7A13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3815DC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4F7731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407CE8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A8A738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0,690</w:t>
            </w:r>
          </w:p>
        </w:tc>
        <w:tc>
          <w:tcPr>
            <w:tcW w:w="880" w:type="dxa"/>
            <w:tcBorders>
              <w:top w:val="nil"/>
              <w:left w:val="nil"/>
              <w:bottom w:val="nil"/>
              <w:right w:val="single" w:sz="4" w:space="0" w:color="auto"/>
            </w:tcBorders>
            <w:shd w:val="clear" w:color="auto" w:fill="auto"/>
            <w:vAlign w:val="center"/>
            <w:hideMark/>
          </w:tcPr>
          <w:p w14:paraId="2C7E9FC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7,220</w:t>
            </w:r>
          </w:p>
        </w:tc>
        <w:tc>
          <w:tcPr>
            <w:tcW w:w="880" w:type="dxa"/>
            <w:tcBorders>
              <w:top w:val="nil"/>
              <w:left w:val="nil"/>
              <w:bottom w:val="nil"/>
              <w:right w:val="single" w:sz="4" w:space="0" w:color="auto"/>
            </w:tcBorders>
            <w:shd w:val="clear" w:color="auto" w:fill="auto"/>
            <w:vAlign w:val="center"/>
            <w:hideMark/>
          </w:tcPr>
          <w:p w14:paraId="10C4E69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CCE2EE0"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CE93E49"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B075A8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429998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7,910</w:t>
            </w:r>
          </w:p>
        </w:tc>
        <w:tc>
          <w:tcPr>
            <w:tcW w:w="880" w:type="dxa"/>
            <w:tcBorders>
              <w:top w:val="nil"/>
              <w:left w:val="nil"/>
              <w:bottom w:val="nil"/>
              <w:right w:val="single" w:sz="4" w:space="0" w:color="auto"/>
            </w:tcBorders>
            <w:shd w:val="clear" w:color="auto" w:fill="auto"/>
            <w:vAlign w:val="center"/>
            <w:hideMark/>
          </w:tcPr>
          <w:p w14:paraId="0AF2D23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56,500</w:t>
            </w:r>
          </w:p>
        </w:tc>
      </w:tr>
      <w:tr w:rsidR="00736418" w:rsidRPr="00736418" w14:paraId="7506B131"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419457FE"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3007573"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3A6B63C"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DAA0691"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ECAE2B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8691C0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364977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514DF5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CC9F92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675AF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71A098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CED532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79C768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87B238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70FDF9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70292D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8C8A8F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57D440E5"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1CC89E1D"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57667502"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0A3A998"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1ADD3DA"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4A555C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5D83EE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3F22A0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C43A0B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79799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439E83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8EBB2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AECF4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540B7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64911D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3F8DF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D35795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7E000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2AC3A17F" w14:textId="77777777" w:rsidTr="0073641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4CA730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69301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5AC75B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experimentálně či kvazi-experimentálně ověřených nových nástrojů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42DC07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Nástroje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A3D187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64DFECB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2,000</w:t>
            </w:r>
          </w:p>
        </w:tc>
        <w:tc>
          <w:tcPr>
            <w:tcW w:w="880" w:type="dxa"/>
            <w:tcBorders>
              <w:top w:val="nil"/>
              <w:left w:val="nil"/>
              <w:bottom w:val="nil"/>
              <w:right w:val="single" w:sz="4" w:space="0" w:color="auto"/>
            </w:tcBorders>
            <w:shd w:val="clear" w:color="auto" w:fill="auto"/>
            <w:vAlign w:val="center"/>
            <w:hideMark/>
          </w:tcPr>
          <w:p w14:paraId="7D88E26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7624C8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11FB3D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842E0D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8B7CE7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0,090</w:t>
            </w:r>
          </w:p>
        </w:tc>
        <w:tc>
          <w:tcPr>
            <w:tcW w:w="880" w:type="dxa"/>
            <w:tcBorders>
              <w:top w:val="nil"/>
              <w:left w:val="nil"/>
              <w:bottom w:val="nil"/>
              <w:right w:val="single" w:sz="4" w:space="0" w:color="auto"/>
            </w:tcBorders>
            <w:shd w:val="clear" w:color="auto" w:fill="auto"/>
            <w:vAlign w:val="center"/>
            <w:hideMark/>
          </w:tcPr>
          <w:p w14:paraId="1E77FCC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0,970</w:t>
            </w:r>
          </w:p>
        </w:tc>
        <w:tc>
          <w:tcPr>
            <w:tcW w:w="880" w:type="dxa"/>
            <w:tcBorders>
              <w:top w:val="nil"/>
              <w:left w:val="nil"/>
              <w:bottom w:val="nil"/>
              <w:right w:val="single" w:sz="4" w:space="0" w:color="auto"/>
            </w:tcBorders>
            <w:shd w:val="clear" w:color="auto" w:fill="auto"/>
            <w:vAlign w:val="center"/>
            <w:hideMark/>
          </w:tcPr>
          <w:p w14:paraId="7C29207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0CEEAE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D16044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0AEA3E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6D3CBA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1,060</w:t>
            </w:r>
          </w:p>
        </w:tc>
        <w:tc>
          <w:tcPr>
            <w:tcW w:w="880" w:type="dxa"/>
            <w:tcBorders>
              <w:top w:val="nil"/>
              <w:left w:val="nil"/>
              <w:bottom w:val="nil"/>
              <w:right w:val="single" w:sz="4" w:space="0" w:color="auto"/>
            </w:tcBorders>
            <w:shd w:val="clear" w:color="auto" w:fill="auto"/>
            <w:vAlign w:val="center"/>
            <w:hideMark/>
          </w:tcPr>
          <w:p w14:paraId="0637EE7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53,000</w:t>
            </w:r>
          </w:p>
        </w:tc>
      </w:tr>
      <w:tr w:rsidR="00736418" w:rsidRPr="00736418" w14:paraId="409BC26C" w14:textId="77777777" w:rsidTr="0073641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2E17584F"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50A39A00"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F57E0E5"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95B846F"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6F48EF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F1D37C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EF1A0E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6B6FFC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57E8BB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2C2EE4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3D05D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F17063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15558E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24033E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4137E7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AE8078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276BF7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296D21FB" w14:textId="77777777" w:rsidTr="00A91BEF">
        <w:trPr>
          <w:trHeight w:val="232"/>
        </w:trPr>
        <w:tc>
          <w:tcPr>
            <w:tcW w:w="640" w:type="dxa"/>
            <w:vMerge/>
            <w:tcBorders>
              <w:top w:val="nil"/>
              <w:left w:val="single" w:sz="4" w:space="0" w:color="auto"/>
              <w:bottom w:val="single" w:sz="4" w:space="0" w:color="000000"/>
              <w:right w:val="single" w:sz="4" w:space="0" w:color="auto"/>
            </w:tcBorders>
            <w:vAlign w:val="center"/>
            <w:hideMark/>
          </w:tcPr>
          <w:p w14:paraId="327E77AF"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8C2553C"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24C9E6A"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0660427"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4BA162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EF87D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D3A2DA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F51EB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A8A9F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8D9E9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098DE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F958D3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58517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397F0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CABF4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718E62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1432EF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2EACFDFF" w14:textId="77777777" w:rsidTr="00A91BEF">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5ABD5DC5"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DC32243"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2063A0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3EE237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Méně rozvinuté regiony</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D4950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24,000</w:t>
            </w:r>
          </w:p>
        </w:tc>
        <w:tc>
          <w:tcPr>
            <w:tcW w:w="880" w:type="dxa"/>
            <w:tcBorders>
              <w:top w:val="nil"/>
              <w:left w:val="nil"/>
              <w:bottom w:val="single" w:sz="4" w:space="0" w:color="auto"/>
              <w:right w:val="single" w:sz="4" w:space="0" w:color="auto"/>
            </w:tcBorders>
            <w:shd w:val="clear" w:color="auto" w:fill="auto"/>
            <w:vAlign w:val="center"/>
            <w:hideMark/>
          </w:tcPr>
          <w:p w14:paraId="6365275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AA34EF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618EDB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2,650</w:t>
            </w:r>
          </w:p>
        </w:tc>
        <w:tc>
          <w:tcPr>
            <w:tcW w:w="880" w:type="dxa"/>
            <w:tcBorders>
              <w:top w:val="nil"/>
              <w:left w:val="nil"/>
              <w:bottom w:val="single" w:sz="4" w:space="0" w:color="auto"/>
              <w:right w:val="single" w:sz="4" w:space="0" w:color="auto"/>
            </w:tcBorders>
            <w:shd w:val="clear" w:color="auto" w:fill="auto"/>
            <w:vAlign w:val="center"/>
            <w:hideMark/>
          </w:tcPr>
          <w:p w14:paraId="2565323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5,890</w:t>
            </w:r>
          </w:p>
        </w:tc>
        <w:tc>
          <w:tcPr>
            <w:tcW w:w="880" w:type="dxa"/>
            <w:tcBorders>
              <w:top w:val="nil"/>
              <w:left w:val="nil"/>
              <w:bottom w:val="single" w:sz="4" w:space="0" w:color="auto"/>
              <w:right w:val="single" w:sz="4" w:space="0" w:color="auto"/>
            </w:tcBorders>
            <w:shd w:val="clear" w:color="auto" w:fill="auto"/>
            <w:vAlign w:val="center"/>
            <w:hideMark/>
          </w:tcPr>
          <w:p w14:paraId="3645526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18,760</w:t>
            </w:r>
          </w:p>
        </w:tc>
        <w:tc>
          <w:tcPr>
            <w:tcW w:w="880" w:type="dxa"/>
            <w:tcBorders>
              <w:top w:val="nil"/>
              <w:left w:val="nil"/>
              <w:bottom w:val="single" w:sz="4" w:space="0" w:color="auto"/>
              <w:right w:val="single" w:sz="4" w:space="0" w:color="auto"/>
            </w:tcBorders>
            <w:shd w:val="clear" w:color="auto" w:fill="auto"/>
            <w:vAlign w:val="center"/>
            <w:hideMark/>
          </w:tcPr>
          <w:p w14:paraId="1C77507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35,050</w:t>
            </w:r>
          </w:p>
        </w:tc>
        <w:tc>
          <w:tcPr>
            <w:tcW w:w="880" w:type="dxa"/>
            <w:tcBorders>
              <w:top w:val="nil"/>
              <w:left w:val="nil"/>
              <w:bottom w:val="single" w:sz="4" w:space="0" w:color="auto"/>
              <w:right w:val="single" w:sz="4" w:space="0" w:color="auto"/>
            </w:tcBorders>
            <w:shd w:val="clear" w:color="auto" w:fill="auto"/>
            <w:vAlign w:val="center"/>
            <w:hideMark/>
          </w:tcPr>
          <w:p w14:paraId="285712F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80565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7E218C"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D9EA0D"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0F4C7A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62,350</w:t>
            </w:r>
          </w:p>
        </w:tc>
        <w:tc>
          <w:tcPr>
            <w:tcW w:w="880" w:type="dxa"/>
            <w:tcBorders>
              <w:top w:val="nil"/>
              <w:left w:val="nil"/>
              <w:bottom w:val="single" w:sz="4" w:space="0" w:color="auto"/>
              <w:right w:val="single" w:sz="4" w:space="0" w:color="auto"/>
            </w:tcBorders>
            <w:shd w:val="clear" w:color="auto" w:fill="auto"/>
            <w:vAlign w:val="center"/>
            <w:hideMark/>
          </w:tcPr>
          <w:p w14:paraId="199CC7E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259,792</w:t>
            </w:r>
          </w:p>
        </w:tc>
      </w:tr>
      <w:tr w:rsidR="00736418" w:rsidRPr="00736418" w14:paraId="56F42E9F"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3D98F1C2"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F7F7C50"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8D0E4ED"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0EB261A"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8216A4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4F7979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7F354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02AB75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1C824F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63F504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5F79C5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734B82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C8A6DA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59CF78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1D0024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3F445A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D209B5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046D121E"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70AD77AE"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49D539F5"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41D4DA3"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33833B1"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5E23E01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158EDE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ABBA6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61B6C3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146A8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488FD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9C4200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0D60F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04ECFCF"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87027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75F63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0730F79"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253B9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05201FC5" w14:textId="77777777" w:rsidTr="0073641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675CAF2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9B9974E"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FEE877F"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CD0C5CA"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0040A82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3,000</w:t>
            </w:r>
          </w:p>
        </w:tc>
        <w:tc>
          <w:tcPr>
            <w:tcW w:w="880" w:type="dxa"/>
            <w:tcBorders>
              <w:top w:val="nil"/>
              <w:left w:val="nil"/>
              <w:bottom w:val="nil"/>
              <w:right w:val="single" w:sz="4" w:space="0" w:color="auto"/>
            </w:tcBorders>
            <w:shd w:val="clear" w:color="auto" w:fill="auto"/>
            <w:vAlign w:val="center"/>
            <w:hideMark/>
          </w:tcPr>
          <w:p w14:paraId="4B7EDA5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C8B527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7E66D3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0,360</w:t>
            </w:r>
          </w:p>
        </w:tc>
        <w:tc>
          <w:tcPr>
            <w:tcW w:w="880" w:type="dxa"/>
            <w:tcBorders>
              <w:top w:val="nil"/>
              <w:left w:val="nil"/>
              <w:bottom w:val="nil"/>
              <w:right w:val="single" w:sz="4" w:space="0" w:color="auto"/>
            </w:tcBorders>
            <w:shd w:val="clear" w:color="auto" w:fill="auto"/>
            <w:vAlign w:val="center"/>
            <w:hideMark/>
          </w:tcPr>
          <w:p w14:paraId="0DF8278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1,010</w:t>
            </w:r>
          </w:p>
        </w:tc>
        <w:tc>
          <w:tcPr>
            <w:tcW w:w="880" w:type="dxa"/>
            <w:tcBorders>
              <w:top w:val="nil"/>
              <w:left w:val="nil"/>
              <w:bottom w:val="nil"/>
              <w:right w:val="single" w:sz="4" w:space="0" w:color="auto"/>
            </w:tcBorders>
            <w:shd w:val="clear" w:color="auto" w:fill="auto"/>
            <w:vAlign w:val="center"/>
            <w:hideMark/>
          </w:tcPr>
          <w:p w14:paraId="041226E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2,300</w:t>
            </w:r>
          </w:p>
        </w:tc>
        <w:tc>
          <w:tcPr>
            <w:tcW w:w="880" w:type="dxa"/>
            <w:tcBorders>
              <w:top w:val="nil"/>
              <w:left w:val="nil"/>
              <w:bottom w:val="nil"/>
              <w:right w:val="single" w:sz="4" w:space="0" w:color="auto"/>
            </w:tcBorders>
            <w:shd w:val="clear" w:color="auto" w:fill="auto"/>
            <w:vAlign w:val="center"/>
            <w:hideMark/>
          </w:tcPr>
          <w:p w14:paraId="476AA41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4,690</w:t>
            </w:r>
          </w:p>
        </w:tc>
        <w:tc>
          <w:tcPr>
            <w:tcW w:w="880" w:type="dxa"/>
            <w:tcBorders>
              <w:top w:val="nil"/>
              <w:left w:val="nil"/>
              <w:bottom w:val="nil"/>
              <w:right w:val="single" w:sz="4" w:space="0" w:color="auto"/>
            </w:tcBorders>
            <w:shd w:val="clear" w:color="auto" w:fill="auto"/>
            <w:vAlign w:val="center"/>
            <w:hideMark/>
          </w:tcPr>
          <w:p w14:paraId="6124CC3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BBBEC24"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35F12D2"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161D1CB" w14:textId="77777777" w:rsidR="00736418" w:rsidRPr="00736418" w:rsidRDefault="00736418" w:rsidP="00736418">
            <w:pPr>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20BA018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8,360</w:t>
            </w:r>
          </w:p>
        </w:tc>
        <w:tc>
          <w:tcPr>
            <w:tcW w:w="880" w:type="dxa"/>
            <w:tcBorders>
              <w:top w:val="nil"/>
              <w:left w:val="nil"/>
              <w:bottom w:val="nil"/>
              <w:right w:val="single" w:sz="4" w:space="0" w:color="auto"/>
            </w:tcBorders>
            <w:shd w:val="clear" w:color="auto" w:fill="auto"/>
            <w:vAlign w:val="center"/>
            <w:hideMark/>
          </w:tcPr>
          <w:p w14:paraId="1AD8AAE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278,667</w:t>
            </w:r>
          </w:p>
        </w:tc>
      </w:tr>
      <w:tr w:rsidR="00736418" w:rsidRPr="00736418" w14:paraId="4898DDD0"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3C6F6FDE"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A2368B0"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B73D93D"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661E6EF"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4E51645"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3943EC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39B09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53939B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F683B03"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CAC9C9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500E132"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DCBEA71"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2EDE27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B16D5C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613798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429E1C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5C819F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r w:rsidR="00736418" w:rsidRPr="00736418" w14:paraId="5BE2433F" w14:textId="77777777" w:rsidTr="0073641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2B826089" w14:textId="77777777" w:rsidR="00736418" w:rsidRPr="00736418" w:rsidRDefault="00736418" w:rsidP="0073641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43BE37CB" w14:textId="77777777" w:rsidR="00736418" w:rsidRPr="00736418" w:rsidRDefault="00736418" w:rsidP="0073641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36F4048" w14:textId="77777777" w:rsidR="00736418" w:rsidRPr="00736418" w:rsidRDefault="00736418" w:rsidP="0073641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E020CAF" w14:textId="77777777" w:rsidR="00736418" w:rsidRPr="00736418" w:rsidRDefault="00736418" w:rsidP="0073641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7FAD593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452D76"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0EDD99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C23C64"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93B8CB"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325363C"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9E8A9E"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389BA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B9123D"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2FD9890"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D27D18"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715BEB7"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42206A" w14:textId="77777777" w:rsidR="00736418" w:rsidRPr="00736418" w:rsidRDefault="00736418" w:rsidP="00736418">
            <w:pPr>
              <w:jc w:val="right"/>
              <w:rPr>
                <w:rFonts w:ascii="Arial" w:eastAsia="Times New Roman" w:hAnsi="Arial" w:cs="Arial"/>
                <w:color w:val="000000"/>
                <w:sz w:val="14"/>
                <w:szCs w:val="14"/>
                <w:lang w:val="cs-CZ" w:eastAsia="cs-CZ"/>
              </w:rPr>
            </w:pPr>
            <w:r w:rsidRPr="00736418">
              <w:rPr>
                <w:rFonts w:ascii="Arial" w:eastAsia="Times New Roman" w:hAnsi="Arial" w:cs="Arial"/>
                <w:color w:val="000000"/>
                <w:sz w:val="14"/>
                <w:szCs w:val="14"/>
                <w:lang w:val="cs-CZ" w:eastAsia="cs-CZ"/>
              </w:rPr>
              <w:t> </w:t>
            </w:r>
          </w:p>
        </w:tc>
      </w:tr>
    </w:tbl>
    <w:p w14:paraId="5EE40F0B" w14:textId="77777777" w:rsidR="00EF45EA" w:rsidRPr="002F2BE4" w:rsidRDefault="00EF45EA" w:rsidP="009E49E6">
      <w:pPr>
        <w:ind w:left="113" w:right="108"/>
        <w:jc w:val="both"/>
        <w:rPr>
          <w:rFonts w:ascii="Arial" w:eastAsia="Arial" w:hAnsi="Arial" w:cs="Arial"/>
          <w:color w:val="000000"/>
          <w:sz w:val="20"/>
          <w:lang w:val="cs-CZ"/>
        </w:rPr>
      </w:pPr>
    </w:p>
    <w:p w14:paraId="2362298B" w14:textId="77777777"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03.3.60 Aktivní začleňování, včetně začleňování s ohledem na podporu rovných příležitostí a aktivní účast a zlepšení zaměstnatelnosti</w:t>
      </w:r>
    </w:p>
    <w:tbl>
      <w:tblPr>
        <w:tblW w:w="15760" w:type="dxa"/>
        <w:tblInd w:w="75" w:type="dxa"/>
        <w:tblCellMar>
          <w:left w:w="70" w:type="dxa"/>
          <w:right w:w="70" w:type="dxa"/>
        </w:tblCellMar>
        <w:tblLook w:val="04A0" w:firstRow="1" w:lastRow="0" w:firstColumn="1" w:lastColumn="0" w:noHBand="0" w:noVBand="1"/>
      </w:tblPr>
      <w:tblGrid>
        <w:gridCol w:w="636"/>
        <w:gridCol w:w="1800"/>
        <w:gridCol w:w="856"/>
        <w:gridCol w:w="975"/>
        <w:gridCol w:w="875"/>
        <w:gridCol w:w="874"/>
        <w:gridCol w:w="874"/>
        <w:gridCol w:w="874"/>
        <w:gridCol w:w="874"/>
        <w:gridCol w:w="874"/>
        <w:gridCol w:w="874"/>
        <w:gridCol w:w="874"/>
        <w:gridCol w:w="874"/>
        <w:gridCol w:w="874"/>
        <w:gridCol w:w="874"/>
        <w:gridCol w:w="1004"/>
        <w:gridCol w:w="874"/>
      </w:tblGrid>
      <w:tr w:rsidR="00840888" w:rsidRPr="00840888" w14:paraId="0B256C63" w14:textId="77777777" w:rsidTr="00840888">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A3AFA2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9C01B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2FB7964"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6CC0F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Kategorie regionu (je-li relevantní)</w:t>
            </w:r>
          </w:p>
        </w:tc>
        <w:tc>
          <w:tcPr>
            <w:tcW w:w="880" w:type="dxa"/>
            <w:tcBorders>
              <w:top w:val="single" w:sz="4" w:space="0" w:color="auto"/>
              <w:left w:val="nil"/>
              <w:bottom w:val="nil"/>
              <w:right w:val="single" w:sz="4" w:space="0" w:color="auto"/>
            </w:tcBorders>
            <w:shd w:val="clear" w:color="000000" w:fill="FFFFFF"/>
            <w:vAlign w:val="center"/>
            <w:hideMark/>
          </w:tcPr>
          <w:p w14:paraId="7B3413E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7EB8F8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2ED2FF0"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054EF7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5747E6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1230AA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85C16E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FE7C09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8D503F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F0574F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F6512F4"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2394F1C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240C690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Míra splnění</w:t>
            </w:r>
          </w:p>
        </w:tc>
      </w:tr>
      <w:tr w:rsidR="00840888" w:rsidRPr="00840888" w14:paraId="4960C208"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35BBD2B4" w14:textId="77777777" w:rsidR="00840888" w:rsidRPr="00840888" w:rsidRDefault="00840888" w:rsidP="0084088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18F1AD6"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A05363E"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64FED2B2"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EE5EAB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756AC94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B844E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437BD2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r>
      <w:tr w:rsidR="00840888" w:rsidRPr="00840888" w14:paraId="760C26BF"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0009B94" w14:textId="77777777" w:rsidR="00840888" w:rsidRPr="00840888" w:rsidRDefault="00840888" w:rsidP="0084088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525D3B1B"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DB15971"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77C12DB2"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49030A36"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14AB9FE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721EBB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B5C5E9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1A5868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6276B7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152C6D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FA3F84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077CC0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ED9F58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AAD8B4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1EC5A61F"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1F82BFFE" w14:textId="77777777" w:rsidR="00840888" w:rsidRPr="00840888" w:rsidRDefault="00840888" w:rsidP="00840888">
            <w:pPr>
              <w:rPr>
                <w:rFonts w:ascii="Arial" w:eastAsia="Times New Roman" w:hAnsi="Arial" w:cs="Arial"/>
                <w:b/>
                <w:bCs/>
                <w:color w:val="000000"/>
                <w:sz w:val="14"/>
                <w:szCs w:val="14"/>
                <w:lang w:val="cs-CZ" w:eastAsia="cs-CZ"/>
              </w:rPr>
            </w:pPr>
          </w:p>
        </w:tc>
      </w:tr>
      <w:tr w:rsidR="00840888" w:rsidRPr="00840888" w14:paraId="51934A86"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B37656C" w14:textId="77777777" w:rsidR="00840888" w:rsidRPr="00840888" w:rsidRDefault="00840888" w:rsidP="0084088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273AB9C7"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2F5BD18"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7864053A"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3029752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1807FB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9B120F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B4AA37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96E9A5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3241B0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B2EAFF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92091CF"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186833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063FC9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6DD13A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3A46CFDF"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9A171B0"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r>
      <w:tr w:rsidR="00840888" w:rsidRPr="00840888" w14:paraId="2399BD9D"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A9ECB80" w14:textId="77777777" w:rsidR="00840888" w:rsidRPr="00840888" w:rsidRDefault="00840888" w:rsidP="0084088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58F1B8A7"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4C45BFA0"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2AD5389D"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50E9B08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027296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96C2AE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5B6117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4C8FB9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D6999C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73CC4F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15D7D5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A9D65B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354F14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CB9270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940" w:type="dxa"/>
            <w:tcBorders>
              <w:top w:val="nil"/>
              <w:left w:val="nil"/>
              <w:bottom w:val="single" w:sz="4" w:space="0" w:color="auto"/>
              <w:right w:val="single" w:sz="4" w:space="0" w:color="auto"/>
            </w:tcBorders>
            <w:shd w:val="clear" w:color="000000" w:fill="FFFFFF"/>
            <w:vAlign w:val="center"/>
            <w:hideMark/>
          </w:tcPr>
          <w:p w14:paraId="761B298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B1444A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r>
      <w:tr w:rsidR="00840888" w:rsidRPr="00840888" w14:paraId="573AD1D7" w14:textId="77777777" w:rsidTr="0084088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5C0C03C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53FAD28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586B2C9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29B0C8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313D59A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970,000</w:t>
            </w:r>
          </w:p>
        </w:tc>
        <w:tc>
          <w:tcPr>
            <w:tcW w:w="880" w:type="dxa"/>
            <w:tcBorders>
              <w:top w:val="nil"/>
              <w:left w:val="nil"/>
              <w:bottom w:val="nil"/>
              <w:right w:val="single" w:sz="4" w:space="0" w:color="auto"/>
            </w:tcBorders>
            <w:shd w:val="clear" w:color="auto" w:fill="auto"/>
            <w:vAlign w:val="center"/>
            <w:hideMark/>
          </w:tcPr>
          <w:p w14:paraId="19A66DF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0D5329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E03660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36D44A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178,000</w:t>
            </w:r>
          </w:p>
        </w:tc>
        <w:tc>
          <w:tcPr>
            <w:tcW w:w="880" w:type="dxa"/>
            <w:tcBorders>
              <w:top w:val="nil"/>
              <w:left w:val="nil"/>
              <w:bottom w:val="nil"/>
              <w:right w:val="single" w:sz="4" w:space="0" w:color="auto"/>
            </w:tcBorders>
            <w:shd w:val="clear" w:color="auto" w:fill="auto"/>
            <w:vAlign w:val="center"/>
            <w:hideMark/>
          </w:tcPr>
          <w:p w14:paraId="21F0748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310,000</w:t>
            </w:r>
          </w:p>
        </w:tc>
        <w:tc>
          <w:tcPr>
            <w:tcW w:w="880" w:type="dxa"/>
            <w:tcBorders>
              <w:top w:val="nil"/>
              <w:left w:val="nil"/>
              <w:bottom w:val="nil"/>
              <w:right w:val="single" w:sz="4" w:space="0" w:color="auto"/>
            </w:tcBorders>
            <w:shd w:val="clear" w:color="auto" w:fill="auto"/>
            <w:vAlign w:val="center"/>
            <w:hideMark/>
          </w:tcPr>
          <w:p w14:paraId="20B3CE3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379,000</w:t>
            </w:r>
          </w:p>
        </w:tc>
        <w:tc>
          <w:tcPr>
            <w:tcW w:w="880" w:type="dxa"/>
            <w:tcBorders>
              <w:top w:val="nil"/>
              <w:left w:val="nil"/>
              <w:bottom w:val="nil"/>
              <w:right w:val="single" w:sz="4" w:space="0" w:color="auto"/>
            </w:tcBorders>
            <w:shd w:val="clear" w:color="auto" w:fill="auto"/>
            <w:vAlign w:val="center"/>
            <w:hideMark/>
          </w:tcPr>
          <w:p w14:paraId="2CFAE607"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057706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5804C2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5F55B9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70C876C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867,000</w:t>
            </w:r>
          </w:p>
        </w:tc>
        <w:tc>
          <w:tcPr>
            <w:tcW w:w="880" w:type="dxa"/>
            <w:tcBorders>
              <w:top w:val="nil"/>
              <w:left w:val="nil"/>
              <w:bottom w:val="nil"/>
              <w:right w:val="single" w:sz="4" w:space="0" w:color="auto"/>
            </w:tcBorders>
            <w:shd w:val="clear" w:color="auto" w:fill="auto"/>
            <w:vAlign w:val="center"/>
            <w:hideMark/>
          </w:tcPr>
          <w:p w14:paraId="55812A2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89,381</w:t>
            </w:r>
          </w:p>
        </w:tc>
      </w:tr>
      <w:tr w:rsidR="00840888" w:rsidRPr="00840888" w14:paraId="39A432F0"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0690FD60"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0354FE4E"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EACB32D"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262B211"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F563C8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3A5CAE6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109AA6F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18032E0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4D09075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E6BCE8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77,000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8DDF74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181,000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664B63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AF17C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82FDED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F83FA9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531B76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308,000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F55622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710FAC95"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6B42EBE4"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01606758"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A694274"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32751C7"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76792B5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21807F9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59ABE61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2A64A6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0815A0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128,000</w:t>
            </w:r>
          </w:p>
        </w:tc>
        <w:tc>
          <w:tcPr>
            <w:tcW w:w="880" w:type="dxa"/>
            <w:tcBorders>
              <w:top w:val="nil"/>
              <w:left w:val="nil"/>
              <w:bottom w:val="single" w:sz="4" w:space="0" w:color="auto"/>
              <w:right w:val="single" w:sz="4" w:space="0" w:color="auto"/>
            </w:tcBorders>
            <w:shd w:val="clear" w:color="auto" w:fill="auto"/>
            <w:vAlign w:val="center"/>
            <w:hideMark/>
          </w:tcPr>
          <w:p w14:paraId="6D6703F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233,000</w:t>
            </w:r>
          </w:p>
        </w:tc>
        <w:tc>
          <w:tcPr>
            <w:tcW w:w="880" w:type="dxa"/>
            <w:tcBorders>
              <w:top w:val="nil"/>
              <w:left w:val="nil"/>
              <w:bottom w:val="single" w:sz="4" w:space="0" w:color="auto"/>
              <w:right w:val="single" w:sz="4" w:space="0" w:color="auto"/>
            </w:tcBorders>
            <w:shd w:val="clear" w:color="auto" w:fill="auto"/>
            <w:vAlign w:val="center"/>
            <w:hideMark/>
          </w:tcPr>
          <w:p w14:paraId="240F597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198,000</w:t>
            </w:r>
          </w:p>
        </w:tc>
        <w:tc>
          <w:tcPr>
            <w:tcW w:w="880" w:type="dxa"/>
            <w:tcBorders>
              <w:top w:val="nil"/>
              <w:left w:val="nil"/>
              <w:bottom w:val="single" w:sz="4" w:space="0" w:color="auto"/>
              <w:right w:val="single" w:sz="4" w:space="0" w:color="auto"/>
            </w:tcBorders>
            <w:shd w:val="clear" w:color="auto" w:fill="auto"/>
            <w:vAlign w:val="center"/>
            <w:hideMark/>
          </w:tcPr>
          <w:p w14:paraId="7BE8227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38003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11AF89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2C0924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0B86F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559,000</w:t>
            </w:r>
          </w:p>
        </w:tc>
        <w:tc>
          <w:tcPr>
            <w:tcW w:w="880" w:type="dxa"/>
            <w:tcBorders>
              <w:top w:val="nil"/>
              <w:left w:val="nil"/>
              <w:bottom w:val="single" w:sz="4" w:space="0" w:color="auto"/>
              <w:right w:val="single" w:sz="4" w:space="0" w:color="auto"/>
            </w:tcBorders>
            <w:shd w:val="clear" w:color="auto" w:fill="auto"/>
            <w:vAlign w:val="center"/>
            <w:hideMark/>
          </w:tcPr>
          <w:p w14:paraId="1E8F0DC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56B03F91" w14:textId="77777777" w:rsidTr="0084088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15CB98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5D4745F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25301B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1575ECF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6810F35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130,000</w:t>
            </w:r>
          </w:p>
        </w:tc>
        <w:tc>
          <w:tcPr>
            <w:tcW w:w="880" w:type="dxa"/>
            <w:tcBorders>
              <w:top w:val="nil"/>
              <w:left w:val="nil"/>
              <w:bottom w:val="nil"/>
              <w:right w:val="single" w:sz="4" w:space="0" w:color="auto"/>
            </w:tcBorders>
            <w:shd w:val="clear" w:color="auto" w:fill="auto"/>
            <w:vAlign w:val="center"/>
            <w:hideMark/>
          </w:tcPr>
          <w:p w14:paraId="6D53ECC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7AF738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0EF9E7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39E28D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24,000</w:t>
            </w:r>
          </w:p>
        </w:tc>
        <w:tc>
          <w:tcPr>
            <w:tcW w:w="880" w:type="dxa"/>
            <w:tcBorders>
              <w:top w:val="nil"/>
              <w:left w:val="nil"/>
              <w:bottom w:val="nil"/>
              <w:right w:val="single" w:sz="4" w:space="0" w:color="auto"/>
            </w:tcBorders>
            <w:shd w:val="clear" w:color="auto" w:fill="auto"/>
            <w:vAlign w:val="center"/>
            <w:hideMark/>
          </w:tcPr>
          <w:p w14:paraId="1590DCF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41,000</w:t>
            </w:r>
          </w:p>
        </w:tc>
        <w:tc>
          <w:tcPr>
            <w:tcW w:w="880" w:type="dxa"/>
            <w:tcBorders>
              <w:top w:val="nil"/>
              <w:left w:val="nil"/>
              <w:bottom w:val="nil"/>
              <w:right w:val="single" w:sz="4" w:space="0" w:color="auto"/>
            </w:tcBorders>
            <w:shd w:val="clear" w:color="auto" w:fill="auto"/>
            <w:vAlign w:val="center"/>
            <w:hideMark/>
          </w:tcPr>
          <w:p w14:paraId="717A30D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51,000</w:t>
            </w:r>
          </w:p>
        </w:tc>
        <w:tc>
          <w:tcPr>
            <w:tcW w:w="880" w:type="dxa"/>
            <w:tcBorders>
              <w:top w:val="nil"/>
              <w:left w:val="nil"/>
              <w:bottom w:val="nil"/>
              <w:right w:val="single" w:sz="4" w:space="0" w:color="auto"/>
            </w:tcBorders>
            <w:shd w:val="clear" w:color="auto" w:fill="auto"/>
            <w:vAlign w:val="center"/>
            <w:hideMark/>
          </w:tcPr>
          <w:p w14:paraId="77AFC57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D3897D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F25F2F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DE5C73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1319584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116,000</w:t>
            </w:r>
          </w:p>
        </w:tc>
        <w:tc>
          <w:tcPr>
            <w:tcW w:w="880" w:type="dxa"/>
            <w:tcBorders>
              <w:top w:val="nil"/>
              <w:left w:val="nil"/>
              <w:bottom w:val="nil"/>
              <w:right w:val="single" w:sz="4" w:space="0" w:color="auto"/>
            </w:tcBorders>
            <w:shd w:val="clear" w:color="auto" w:fill="auto"/>
            <w:vAlign w:val="center"/>
            <w:hideMark/>
          </w:tcPr>
          <w:p w14:paraId="4E5CBC4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89,231</w:t>
            </w:r>
          </w:p>
        </w:tc>
      </w:tr>
      <w:tr w:rsidR="00840888" w:rsidRPr="00840888" w14:paraId="48A5D2ED"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428391F7"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4C8386F9"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CDDDAEB"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62448C2"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07F6C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1193AC0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693C548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4A84794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572E047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B6D46D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A4417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24,000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13EB35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D73370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812A4E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E4D86A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F330F0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41,000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4D55EE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4E6DD973"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1C99AB3C"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4E4AEE2B"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B9FCB81"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C4ECC36"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5FCFDD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5A42E1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7688757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C0FBC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2C7617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17,000</w:t>
            </w:r>
          </w:p>
        </w:tc>
        <w:tc>
          <w:tcPr>
            <w:tcW w:w="880" w:type="dxa"/>
            <w:tcBorders>
              <w:top w:val="nil"/>
              <w:left w:val="nil"/>
              <w:bottom w:val="single" w:sz="4" w:space="0" w:color="auto"/>
              <w:right w:val="single" w:sz="4" w:space="0" w:color="auto"/>
            </w:tcBorders>
            <w:shd w:val="clear" w:color="auto" w:fill="auto"/>
            <w:vAlign w:val="center"/>
            <w:hideMark/>
          </w:tcPr>
          <w:p w14:paraId="25F2F9D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31,000</w:t>
            </w:r>
          </w:p>
        </w:tc>
        <w:tc>
          <w:tcPr>
            <w:tcW w:w="880" w:type="dxa"/>
            <w:tcBorders>
              <w:top w:val="nil"/>
              <w:left w:val="nil"/>
              <w:bottom w:val="single" w:sz="4" w:space="0" w:color="auto"/>
              <w:right w:val="single" w:sz="4" w:space="0" w:color="auto"/>
            </w:tcBorders>
            <w:shd w:val="clear" w:color="auto" w:fill="auto"/>
            <w:vAlign w:val="center"/>
            <w:hideMark/>
          </w:tcPr>
          <w:p w14:paraId="7568286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27,000</w:t>
            </w:r>
          </w:p>
        </w:tc>
        <w:tc>
          <w:tcPr>
            <w:tcW w:w="880" w:type="dxa"/>
            <w:tcBorders>
              <w:top w:val="nil"/>
              <w:left w:val="nil"/>
              <w:bottom w:val="single" w:sz="4" w:space="0" w:color="auto"/>
              <w:right w:val="single" w:sz="4" w:space="0" w:color="auto"/>
            </w:tcBorders>
            <w:shd w:val="clear" w:color="auto" w:fill="auto"/>
            <w:vAlign w:val="center"/>
            <w:hideMark/>
          </w:tcPr>
          <w:p w14:paraId="37E34CE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098D5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77FF32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A03A5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7EB22A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75,000</w:t>
            </w:r>
          </w:p>
        </w:tc>
        <w:tc>
          <w:tcPr>
            <w:tcW w:w="880" w:type="dxa"/>
            <w:tcBorders>
              <w:top w:val="nil"/>
              <w:left w:val="nil"/>
              <w:bottom w:val="single" w:sz="4" w:space="0" w:color="auto"/>
              <w:right w:val="single" w:sz="4" w:space="0" w:color="auto"/>
            </w:tcBorders>
            <w:shd w:val="clear" w:color="auto" w:fill="auto"/>
            <w:vAlign w:val="center"/>
            <w:hideMark/>
          </w:tcPr>
          <w:p w14:paraId="529C3A1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5310D00D" w14:textId="77777777" w:rsidTr="0084088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673C011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67101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402DA47"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podpořených podpůrných institucí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C7C802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F4C3D8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3AE0CE6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2,000</w:t>
            </w:r>
          </w:p>
        </w:tc>
        <w:tc>
          <w:tcPr>
            <w:tcW w:w="880" w:type="dxa"/>
            <w:tcBorders>
              <w:top w:val="nil"/>
              <w:left w:val="nil"/>
              <w:bottom w:val="nil"/>
              <w:right w:val="single" w:sz="4" w:space="0" w:color="auto"/>
            </w:tcBorders>
            <w:shd w:val="clear" w:color="auto" w:fill="auto"/>
            <w:vAlign w:val="center"/>
            <w:hideMark/>
          </w:tcPr>
          <w:p w14:paraId="5D5A993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7B4800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29FD34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879ED2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1,940</w:t>
            </w:r>
          </w:p>
        </w:tc>
        <w:tc>
          <w:tcPr>
            <w:tcW w:w="880" w:type="dxa"/>
            <w:tcBorders>
              <w:top w:val="nil"/>
              <w:left w:val="nil"/>
              <w:bottom w:val="nil"/>
              <w:right w:val="single" w:sz="4" w:space="0" w:color="auto"/>
            </w:tcBorders>
            <w:shd w:val="clear" w:color="auto" w:fill="auto"/>
            <w:vAlign w:val="center"/>
            <w:hideMark/>
          </w:tcPr>
          <w:p w14:paraId="688B527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1,160</w:t>
            </w:r>
          </w:p>
        </w:tc>
        <w:tc>
          <w:tcPr>
            <w:tcW w:w="880" w:type="dxa"/>
            <w:tcBorders>
              <w:top w:val="nil"/>
              <w:left w:val="nil"/>
              <w:bottom w:val="nil"/>
              <w:right w:val="single" w:sz="4" w:space="0" w:color="auto"/>
            </w:tcBorders>
            <w:shd w:val="clear" w:color="auto" w:fill="auto"/>
            <w:vAlign w:val="center"/>
            <w:hideMark/>
          </w:tcPr>
          <w:p w14:paraId="43E6CD7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0,780</w:t>
            </w:r>
          </w:p>
        </w:tc>
        <w:tc>
          <w:tcPr>
            <w:tcW w:w="880" w:type="dxa"/>
            <w:tcBorders>
              <w:top w:val="nil"/>
              <w:left w:val="nil"/>
              <w:bottom w:val="nil"/>
              <w:right w:val="single" w:sz="4" w:space="0" w:color="auto"/>
            </w:tcBorders>
            <w:shd w:val="clear" w:color="auto" w:fill="auto"/>
            <w:vAlign w:val="center"/>
            <w:hideMark/>
          </w:tcPr>
          <w:p w14:paraId="0865E15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783AC6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179389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27DD96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109C2E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3,880</w:t>
            </w:r>
          </w:p>
        </w:tc>
        <w:tc>
          <w:tcPr>
            <w:tcW w:w="880" w:type="dxa"/>
            <w:tcBorders>
              <w:top w:val="nil"/>
              <w:left w:val="nil"/>
              <w:bottom w:val="nil"/>
              <w:right w:val="single" w:sz="4" w:space="0" w:color="auto"/>
            </w:tcBorders>
            <w:shd w:val="clear" w:color="auto" w:fill="auto"/>
            <w:vAlign w:val="center"/>
            <w:hideMark/>
          </w:tcPr>
          <w:p w14:paraId="1E8799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194,000</w:t>
            </w:r>
          </w:p>
        </w:tc>
      </w:tr>
      <w:tr w:rsidR="00840888" w:rsidRPr="00840888" w14:paraId="70D8A2C1"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470A5B96"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36873AA"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92A295D"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18177C7"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EDCE07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A9C008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DCD50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88E6D3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B00CF9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929A4C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DA46CD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7EF830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82ECC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BC349F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DF96C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4BA1C0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2D2176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26C7B1BA"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41E8CC3C"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AEFF909"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3317C94"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C84F6FC"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403E46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5D755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06B807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72C4AB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3B477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2326DA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A5D1C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B6D698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77312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AA53A1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FB1B8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FFB340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080C2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0269657D" w14:textId="77777777" w:rsidTr="0084088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55F9F9D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67101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1F1D18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podpořených podpůrných institucí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5009CA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387C1A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6A1D534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auto" w:fill="auto"/>
            <w:vAlign w:val="center"/>
            <w:hideMark/>
          </w:tcPr>
          <w:p w14:paraId="021181D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4AE2EC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944774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2A1F05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0,260</w:t>
            </w:r>
          </w:p>
        </w:tc>
        <w:tc>
          <w:tcPr>
            <w:tcW w:w="880" w:type="dxa"/>
            <w:tcBorders>
              <w:top w:val="nil"/>
              <w:left w:val="nil"/>
              <w:bottom w:val="nil"/>
              <w:right w:val="single" w:sz="4" w:space="0" w:color="auto"/>
            </w:tcBorders>
            <w:shd w:val="clear" w:color="auto" w:fill="auto"/>
            <w:vAlign w:val="center"/>
            <w:hideMark/>
          </w:tcPr>
          <w:p w14:paraId="098DD68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0,160</w:t>
            </w:r>
          </w:p>
        </w:tc>
        <w:tc>
          <w:tcPr>
            <w:tcW w:w="880" w:type="dxa"/>
            <w:tcBorders>
              <w:top w:val="nil"/>
              <w:left w:val="nil"/>
              <w:bottom w:val="nil"/>
              <w:right w:val="single" w:sz="4" w:space="0" w:color="auto"/>
            </w:tcBorders>
            <w:shd w:val="clear" w:color="auto" w:fill="auto"/>
            <w:vAlign w:val="center"/>
            <w:hideMark/>
          </w:tcPr>
          <w:p w14:paraId="216BD73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0,100</w:t>
            </w:r>
          </w:p>
        </w:tc>
        <w:tc>
          <w:tcPr>
            <w:tcW w:w="880" w:type="dxa"/>
            <w:tcBorders>
              <w:top w:val="nil"/>
              <w:left w:val="nil"/>
              <w:bottom w:val="nil"/>
              <w:right w:val="single" w:sz="4" w:space="0" w:color="auto"/>
            </w:tcBorders>
            <w:shd w:val="clear" w:color="auto" w:fill="auto"/>
            <w:vAlign w:val="center"/>
            <w:hideMark/>
          </w:tcPr>
          <w:p w14:paraId="412CB24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ABFF7F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19915C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8E5329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BD350C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0,520</w:t>
            </w:r>
          </w:p>
        </w:tc>
        <w:tc>
          <w:tcPr>
            <w:tcW w:w="880" w:type="dxa"/>
            <w:tcBorders>
              <w:top w:val="nil"/>
              <w:left w:val="nil"/>
              <w:bottom w:val="nil"/>
              <w:right w:val="single" w:sz="4" w:space="0" w:color="auto"/>
            </w:tcBorders>
            <w:shd w:val="clear" w:color="auto" w:fill="auto"/>
            <w:vAlign w:val="center"/>
            <w:hideMark/>
          </w:tcPr>
          <w:p w14:paraId="14CFC94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52,000</w:t>
            </w:r>
          </w:p>
        </w:tc>
      </w:tr>
      <w:tr w:rsidR="00840888" w:rsidRPr="00840888" w14:paraId="0CAF47D4"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206724D5"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FFCD09B"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0DB90E5"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25258B6"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C222EC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66A9C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2F865E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E69A93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68E084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DFC54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0A05E4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34DC50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8D55D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E231C4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401B83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1044A8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CABFA5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06553881"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3B6350CB"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C1F437D"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66CFC5D"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E1A2945"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CADF95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44083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FC6FC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586BB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2A6B6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16759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E9684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52E28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BC95AB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A9FA1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1ED305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364FCA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43CAA1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60D621D6" w14:textId="77777777" w:rsidTr="0084088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E6556A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69301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0BAEBF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experimentálně či kvazi-experimentálně ověřených nových nástrojů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DFB104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Nástroje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3ACAB2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322E703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15,000</w:t>
            </w:r>
          </w:p>
        </w:tc>
        <w:tc>
          <w:tcPr>
            <w:tcW w:w="880" w:type="dxa"/>
            <w:tcBorders>
              <w:top w:val="nil"/>
              <w:left w:val="nil"/>
              <w:bottom w:val="nil"/>
              <w:right w:val="single" w:sz="4" w:space="0" w:color="auto"/>
            </w:tcBorders>
            <w:shd w:val="clear" w:color="auto" w:fill="auto"/>
            <w:vAlign w:val="center"/>
            <w:hideMark/>
          </w:tcPr>
          <w:p w14:paraId="3A93327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C04B6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BE21AA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C25CE9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17340B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3,320</w:t>
            </w:r>
          </w:p>
        </w:tc>
        <w:tc>
          <w:tcPr>
            <w:tcW w:w="880" w:type="dxa"/>
            <w:tcBorders>
              <w:top w:val="nil"/>
              <w:left w:val="nil"/>
              <w:bottom w:val="nil"/>
              <w:right w:val="single" w:sz="4" w:space="0" w:color="auto"/>
            </w:tcBorders>
            <w:shd w:val="clear" w:color="auto" w:fill="auto"/>
            <w:vAlign w:val="center"/>
            <w:hideMark/>
          </w:tcPr>
          <w:p w14:paraId="1D8749E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7,370</w:t>
            </w:r>
          </w:p>
        </w:tc>
        <w:tc>
          <w:tcPr>
            <w:tcW w:w="880" w:type="dxa"/>
            <w:tcBorders>
              <w:top w:val="nil"/>
              <w:left w:val="nil"/>
              <w:bottom w:val="nil"/>
              <w:right w:val="single" w:sz="4" w:space="0" w:color="auto"/>
            </w:tcBorders>
            <w:shd w:val="clear" w:color="auto" w:fill="auto"/>
            <w:vAlign w:val="center"/>
            <w:hideMark/>
          </w:tcPr>
          <w:p w14:paraId="6A2A37E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0B023E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05D9C6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246B6E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DE2687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10,690</w:t>
            </w:r>
          </w:p>
        </w:tc>
        <w:tc>
          <w:tcPr>
            <w:tcW w:w="880" w:type="dxa"/>
            <w:tcBorders>
              <w:top w:val="nil"/>
              <w:left w:val="nil"/>
              <w:bottom w:val="nil"/>
              <w:right w:val="single" w:sz="4" w:space="0" w:color="auto"/>
            </w:tcBorders>
            <w:shd w:val="clear" w:color="auto" w:fill="auto"/>
            <w:vAlign w:val="center"/>
            <w:hideMark/>
          </w:tcPr>
          <w:p w14:paraId="31CEAD2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71,267</w:t>
            </w:r>
          </w:p>
        </w:tc>
      </w:tr>
      <w:tr w:rsidR="00840888" w:rsidRPr="00840888" w14:paraId="3A761793"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11DCF912"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54BD159"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8AB2ACF"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9961B1E"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E9B388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3D4325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E9CF0C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5CDD7B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4D93DA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D1F160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C9C9C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F2511C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C272CE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5F1485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4712FF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548C71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40B242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65222B31"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5F733978"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2708CFB"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2DD519A"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F90414F"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C264EA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A496D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3C84A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BA22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CBF2AC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D951A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1DB44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99EE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A5A7F8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DBA07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0A8763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9CCB6B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D893E2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71DC9105" w14:textId="77777777" w:rsidTr="00840888">
        <w:trPr>
          <w:trHeigh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6ADFEC8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69301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B81452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experimentálně či kvazi-experimentálně ověřených nových nástrojů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946511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Nástroje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9A2B9F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32C569A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2,000</w:t>
            </w:r>
          </w:p>
        </w:tc>
        <w:tc>
          <w:tcPr>
            <w:tcW w:w="880" w:type="dxa"/>
            <w:tcBorders>
              <w:top w:val="nil"/>
              <w:left w:val="nil"/>
              <w:bottom w:val="nil"/>
              <w:right w:val="single" w:sz="4" w:space="0" w:color="auto"/>
            </w:tcBorders>
            <w:shd w:val="clear" w:color="auto" w:fill="auto"/>
            <w:vAlign w:val="center"/>
            <w:hideMark/>
          </w:tcPr>
          <w:p w14:paraId="5A72666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1D0907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942B41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F02C8D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8DECF3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0,440</w:t>
            </w:r>
          </w:p>
        </w:tc>
        <w:tc>
          <w:tcPr>
            <w:tcW w:w="880" w:type="dxa"/>
            <w:tcBorders>
              <w:top w:val="nil"/>
              <w:left w:val="nil"/>
              <w:bottom w:val="nil"/>
              <w:right w:val="single" w:sz="4" w:space="0" w:color="auto"/>
            </w:tcBorders>
            <w:shd w:val="clear" w:color="auto" w:fill="auto"/>
            <w:vAlign w:val="center"/>
            <w:hideMark/>
          </w:tcPr>
          <w:p w14:paraId="46BF7FC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0,990</w:t>
            </w:r>
          </w:p>
        </w:tc>
        <w:tc>
          <w:tcPr>
            <w:tcW w:w="880" w:type="dxa"/>
            <w:tcBorders>
              <w:top w:val="nil"/>
              <w:left w:val="nil"/>
              <w:bottom w:val="nil"/>
              <w:right w:val="single" w:sz="4" w:space="0" w:color="auto"/>
            </w:tcBorders>
            <w:shd w:val="clear" w:color="auto" w:fill="auto"/>
            <w:vAlign w:val="center"/>
            <w:hideMark/>
          </w:tcPr>
          <w:p w14:paraId="3B954A6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955620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B9FBC3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A04002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6872CF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1,430</w:t>
            </w:r>
          </w:p>
        </w:tc>
        <w:tc>
          <w:tcPr>
            <w:tcW w:w="880" w:type="dxa"/>
            <w:tcBorders>
              <w:top w:val="nil"/>
              <w:left w:val="nil"/>
              <w:bottom w:val="nil"/>
              <w:right w:val="single" w:sz="4" w:space="0" w:color="auto"/>
            </w:tcBorders>
            <w:shd w:val="clear" w:color="auto" w:fill="auto"/>
            <w:vAlign w:val="center"/>
            <w:hideMark/>
          </w:tcPr>
          <w:p w14:paraId="1AD4D42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71,500</w:t>
            </w:r>
          </w:p>
        </w:tc>
      </w:tr>
      <w:tr w:rsidR="00840888" w:rsidRPr="00840888" w14:paraId="32A60479"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35B46261"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42EFCED"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9A9FA31"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8F031CD"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1B32CA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C5292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3C8D49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A90E61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3D811D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33241B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A111CE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D8E55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868A2A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35DCC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A63A9E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C79635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7E621A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40F48AEE" w14:textId="77777777" w:rsidTr="00840888">
        <w:trPr>
          <w:trHeight w:val="232"/>
        </w:trPr>
        <w:tc>
          <w:tcPr>
            <w:tcW w:w="640" w:type="dxa"/>
            <w:vMerge/>
            <w:tcBorders>
              <w:top w:val="nil"/>
              <w:left w:val="single" w:sz="4" w:space="0" w:color="auto"/>
              <w:bottom w:val="single" w:sz="4" w:space="0" w:color="000000"/>
              <w:right w:val="single" w:sz="4" w:space="0" w:color="auto"/>
            </w:tcBorders>
            <w:vAlign w:val="center"/>
            <w:hideMark/>
          </w:tcPr>
          <w:p w14:paraId="260652A7"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5B9D8916"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5A10894"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DD2EBB5"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FA965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0AF9A4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BBDB71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258A0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32E045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76A568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8549D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56F633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D3D730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9734CD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57471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A4E402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FFDE0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402E1A11"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08299A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D4CDF8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92710C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ABCBC5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65921D7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27,000</w:t>
            </w:r>
          </w:p>
        </w:tc>
        <w:tc>
          <w:tcPr>
            <w:tcW w:w="880" w:type="dxa"/>
            <w:tcBorders>
              <w:top w:val="nil"/>
              <w:left w:val="nil"/>
              <w:bottom w:val="single" w:sz="4" w:space="0" w:color="auto"/>
              <w:right w:val="single" w:sz="4" w:space="0" w:color="auto"/>
            </w:tcBorders>
            <w:shd w:val="clear" w:color="auto" w:fill="auto"/>
            <w:vAlign w:val="center"/>
            <w:hideMark/>
          </w:tcPr>
          <w:p w14:paraId="3181192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0ADB19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284082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E3A003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23,970</w:t>
            </w:r>
          </w:p>
        </w:tc>
        <w:tc>
          <w:tcPr>
            <w:tcW w:w="880" w:type="dxa"/>
            <w:tcBorders>
              <w:top w:val="nil"/>
              <w:left w:val="nil"/>
              <w:bottom w:val="single" w:sz="4" w:space="0" w:color="auto"/>
              <w:right w:val="single" w:sz="4" w:space="0" w:color="auto"/>
            </w:tcBorders>
            <w:shd w:val="clear" w:color="auto" w:fill="auto"/>
            <w:vAlign w:val="center"/>
            <w:hideMark/>
          </w:tcPr>
          <w:p w14:paraId="1226E00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57,550</w:t>
            </w:r>
          </w:p>
        </w:tc>
        <w:tc>
          <w:tcPr>
            <w:tcW w:w="880" w:type="dxa"/>
            <w:tcBorders>
              <w:top w:val="nil"/>
              <w:left w:val="nil"/>
              <w:bottom w:val="single" w:sz="4" w:space="0" w:color="auto"/>
              <w:right w:val="single" w:sz="4" w:space="0" w:color="auto"/>
            </w:tcBorders>
            <w:shd w:val="clear" w:color="auto" w:fill="auto"/>
            <w:vAlign w:val="center"/>
            <w:hideMark/>
          </w:tcPr>
          <w:p w14:paraId="786C257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29,070</w:t>
            </w:r>
          </w:p>
        </w:tc>
        <w:tc>
          <w:tcPr>
            <w:tcW w:w="880" w:type="dxa"/>
            <w:tcBorders>
              <w:top w:val="nil"/>
              <w:left w:val="nil"/>
              <w:bottom w:val="single" w:sz="4" w:space="0" w:color="auto"/>
              <w:right w:val="single" w:sz="4" w:space="0" w:color="auto"/>
            </w:tcBorders>
            <w:shd w:val="clear" w:color="auto" w:fill="auto"/>
            <w:vAlign w:val="center"/>
            <w:hideMark/>
          </w:tcPr>
          <w:p w14:paraId="67E5E1F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91A2F9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9FDD6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BFD07C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520AEB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110,590</w:t>
            </w:r>
          </w:p>
        </w:tc>
        <w:tc>
          <w:tcPr>
            <w:tcW w:w="880" w:type="dxa"/>
            <w:tcBorders>
              <w:top w:val="nil"/>
              <w:left w:val="nil"/>
              <w:bottom w:val="single" w:sz="4" w:space="0" w:color="auto"/>
              <w:right w:val="single" w:sz="4" w:space="0" w:color="auto"/>
            </w:tcBorders>
            <w:shd w:val="clear" w:color="auto" w:fill="auto"/>
            <w:vAlign w:val="center"/>
            <w:hideMark/>
          </w:tcPr>
          <w:p w14:paraId="61DB969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409,593</w:t>
            </w:r>
          </w:p>
        </w:tc>
      </w:tr>
      <w:tr w:rsidR="00840888" w:rsidRPr="00840888" w14:paraId="535487ED"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43AAE2E1"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0DCEB060"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D511629"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ACC0114"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F52427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CCC62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7DA370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7E139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4C227A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776FF9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B371A5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BFB66E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6A8B00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07692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FD77AE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8939FC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26477C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04464A0B"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6CEF7F7D"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AFAC9EF"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221A27A"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F62F531"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2652E9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EB9563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72E0D8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CA6DE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E8148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6893C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FA021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304E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E3BC76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65D0D6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D7626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3E823A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BAC83B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32AD6B81"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179348D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85D0B9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493346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E4EB10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3BEB4B5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4,000</w:t>
            </w:r>
          </w:p>
        </w:tc>
        <w:tc>
          <w:tcPr>
            <w:tcW w:w="880" w:type="dxa"/>
            <w:tcBorders>
              <w:top w:val="nil"/>
              <w:left w:val="nil"/>
              <w:bottom w:val="nil"/>
              <w:right w:val="single" w:sz="4" w:space="0" w:color="auto"/>
            </w:tcBorders>
            <w:shd w:val="clear" w:color="auto" w:fill="auto"/>
            <w:vAlign w:val="center"/>
            <w:hideMark/>
          </w:tcPr>
          <w:p w14:paraId="4CB5251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C5D965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D5D420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DBBBA4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3,430</w:t>
            </w:r>
          </w:p>
        </w:tc>
        <w:tc>
          <w:tcPr>
            <w:tcW w:w="880" w:type="dxa"/>
            <w:tcBorders>
              <w:top w:val="nil"/>
              <w:left w:val="nil"/>
              <w:bottom w:val="nil"/>
              <w:right w:val="single" w:sz="4" w:space="0" w:color="auto"/>
            </w:tcBorders>
            <w:shd w:val="clear" w:color="auto" w:fill="auto"/>
            <w:vAlign w:val="center"/>
            <w:hideMark/>
          </w:tcPr>
          <w:p w14:paraId="35E5E93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4,740</w:t>
            </w:r>
          </w:p>
        </w:tc>
        <w:tc>
          <w:tcPr>
            <w:tcW w:w="880" w:type="dxa"/>
            <w:tcBorders>
              <w:top w:val="nil"/>
              <w:left w:val="nil"/>
              <w:bottom w:val="nil"/>
              <w:right w:val="single" w:sz="4" w:space="0" w:color="auto"/>
            </w:tcBorders>
            <w:shd w:val="clear" w:color="auto" w:fill="auto"/>
            <w:vAlign w:val="center"/>
            <w:hideMark/>
          </w:tcPr>
          <w:p w14:paraId="502FEDD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6,650</w:t>
            </w:r>
          </w:p>
        </w:tc>
        <w:tc>
          <w:tcPr>
            <w:tcW w:w="880" w:type="dxa"/>
            <w:tcBorders>
              <w:top w:val="nil"/>
              <w:left w:val="nil"/>
              <w:bottom w:val="nil"/>
              <w:right w:val="single" w:sz="4" w:space="0" w:color="auto"/>
            </w:tcBorders>
            <w:shd w:val="clear" w:color="auto" w:fill="auto"/>
            <w:vAlign w:val="center"/>
            <w:hideMark/>
          </w:tcPr>
          <w:p w14:paraId="59C53B2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E7B61B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E61ABA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403532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E98DF9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14,820</w:t>
            </w:r>
          </w:p>
        </w:tc>
        <w:tc>
          <w:tcPr>
            <w:tcW w:w="880" w:type="dxa"/>
            <w:tcBorders>
              <w:top w:val="nil"/>
              <w:left w:val="nil"/>
              <w:bottom w:val="nil"/>
              <w:right w:val="single" w:sz="4" w:space="0" w:color="auto"/>
            </w:tcBorders>
            <w:shd w:val="clear" w:color="auto" w:fill="auto"/>
            <w:vAlign w:val="center"/>
            <w:hideMark/>
          </w:tcPr>
          <w:p w14:paraId="79C5C1E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370,500</w:t>
            </w:r>
          </w:p>
        </w:tc>
      </w:tr>
      <w:tr w:rsidR="00840888" w:rsidRPr="00840888" w14:paraId="120C1144"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4201F593"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036EDB4"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64A0269"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04B3ED3"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1B605D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F0AACC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792ED1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9E580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7A3179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6CD1E5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61321E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707F99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7FE5CC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396EF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A62060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D8E9C7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314DA6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168BCE83"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73FF21BC"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DBE26CE"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2E369E8"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9629E2F"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75B2DB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FF4B71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A21CF3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E18532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3B63B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6CA40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5DD0D1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4AEFF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1E47F5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F617A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F7375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312E9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8A7A8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bl>
    <w:p w14:paraId="6DE4FEE7" w14:textId="77777777" w:rsidR="002E6E2A" w:rsidRPr="002F2BE4" w:rsidRDefault="002E6E2A" w:rsidP="009E49E6">
      <w:pPr>
        <w:ind w:right="108"/>
        <w:jc w:val="both"/>
        <w:rPr>
          <w:rFonts w:ascii="Arial" w:eastAsia="Arial" w:hAnsi="Arial" w:cs="Arial"/>
          <w:color w:val="000000"/>
          <w:sz w:val="20"/>
          <w:lang w:val="cs-CZ"/>
        </w:rPr>
      </w:pPr>
    </w:p>
    <w:p w14:paraId="4622A608" w14:textId="77777777"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03.3.74 Investice do institucionální kapacity a efektivnosti veřejné správy a veřejných služeb na celostátní, regionální a místní úrovni za účelem reforem, zlepšování právní úpravy a řádné správy</w:t>
      </w:r>
    </w:p>
    <w:tbl>
      <w:tblPr>
        <w:tblW w:w="15760" w:type="dxa"/>
        <w:tblInd w:w="75" w:type="dxa"/>
        <w:tblCellMar>
          <w:left w:w="70" w:type="dxa"/>
          <w:right w:w="70" w:type="dxa"/>
        </w:tblCellMar>
        <w:tblLook w:val="04A0" w:firstRow="1" w:lastRow="0" w:firstColumn="1" w:lastColumn="0" w:noHBand="0" w:noVBand="1"/>
      </w:tblPr>
      <w:tblGrid>
        <w:gridCol w:w="636"/>
        <w:gridCol w:w="1800"/>
        <w:gridCol w:w="856"/>
        <w:gridCol w:w="976"/>
        <w:gridCol w:w="874"/>
        <w:gridCol w:w="874"/>
        <w:gridCol w:w="874"/>
        <w:gridCol w:w="874"/>
        <w:gridCol w:w="874"/>
        <w:gridCol w:w="874"/>
        <w:gridCol w:w="874"/>
        <w:gridCol w:w="874"/>
        <w:gridCol w:w="874"/>
        <w:gridCol w:w="874"/>
        <w:gridCol w:w="874"/>
        <w:gridCol w:w="1004"/>
        <w:gridCol w:w="874"/>
      </w:tblGrid>
      <w:tr w:rsidR="00840888" w:rsidRPr="00840888" w14:paraId="0AA83DCA" w14:textId="77777777" w:rsidTr="00840888">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3371F6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4BCC0B4"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839B71F"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932F22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Kategorie regionu (je-li relevantní)</w:t>
            </w:r>
          </w:p>
        </w:tc>
        <w:tc>
          <w:tcPr>
            <w:tcW w:w="880" w:type="dxa"/>
            <w:tcBorders>
              <w:top w:val="single" w:sz="4" w:space="0" w:color="auto"/>
              <w:left w:val="nil"/>
              <w:bottom w:val="nil"/>
              <w:right w:val="single" w:sz="4" w:space="0" w:color="auto"/>
            </w:tcBorders>
            <w:shd w:val="clear" w:color="000000" w:fill="FFFFFF"/>
            <w:vAlign w:val="center"/>
            <w:hideMark/>
          </w:tcPr>
          <w:p w14:paraId="5280D6D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3BE44E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565389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739C6D0"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E8CE2F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DED046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8CF1DB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CB2D83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41D38F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01FB2D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B1D1B7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76B3FFD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726AEA3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Míra splnění</w:t>
            </w:r>
          </w:p>
        </w:tc>
      </w:tr>
      <w:tr w:rsidR="00840888" w:rsidRPr="00840888" w14:paraId="0019AD81"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35720F5" w14:textId="77777777" w:rsidR="00840888" w:rsidRPr="00840888" w:rsidRDefault="00840888" w:rsidP="0084088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70984825"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D149813"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3A1AC248"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F9C128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117FC51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DB913D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03A1A8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r>
      <w:tr w:rsidR="00840888" w:rsidRPr="00840888" w14:paraId="2B97FDC3"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421E156" w14:textId="77777777" w:rsidR="00840888" w:rsidRPr="00840888" w:rsidRDefault="00840888" w:rsidP="0084088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52CE9847"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AB4C2F8"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63A88280"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52A3639B"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61311BD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40685A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941995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4A4008F"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2B64E1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6DE573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AC3CB4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45ADA9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C8053E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21FB39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25396633"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26126ACD" w14:textId="77777777" w:rsidR="00840888" w:rsidRPr="00840888" w:rsidRDefault="00840888" w:rsidP="00840888">
            <w:pPr>
              <w:rPr>
                <w:rFonts w:ascii="Arial" w:eastAsia="Times New Roman" w:hAnsi="Arial" w:cs="Arial"/>
                <w:b/>
                <w:bCs/>
                <w:color w:val="000000"/>
                <w:sz w:val="14"/>
                <w:szCs w:val="14"/>
                <w:lang w:val="cs-CZ" w:eastAsia="cs-CZ"/>
              </w:rPr>
            </w:pPr>
          </w:p>
        </w:tc>
      </w:tr>
      <w:tr w:rsidR="00840888" w:rsidRPr="00840888" w14:paraId="6B002490"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00EED9AA" w14:textId="77777777" w:rsidR="00840888" w:rsidRPr="00840888" w:rsidRDefault="00840888" w:rsidP="0084088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66210E98"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1D39D422"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4E8BE568"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67ECA47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C6D5ED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ADC2524"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A89910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A8E515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0D2C06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02D2FA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089DE8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42AB81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5E5E68F"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FCAD45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5341DA8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068AEA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r>
      <w:tr w:rsidR="00840888" w:rsidRPr="00840888" w14:paraId="62D533D2"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F878C7D" w14:textId="77777777" w:rsidR="00840888" w:rsidRPr="00840888" w:rsidRDefault="00840888" w:rsidP="00840888">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E259212"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2617D5A"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112C41C"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47FA148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FF34FC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448291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F5DEA4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0F11D6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D01C51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7F2166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D52901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36E82F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1A2476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99AB4F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940" w:type="dxa"/>
            <w:tcBorders>
              <w:top w:val="nil"/>
              <w:left w:val="nil"/>
              <w:bottom w:val="single" w:sz="4" w:space="0" w:color="auto"/>
              <w:right w:val="single" w:sz="4" w:space="0" w:color="auto"/>
            </w:tcBorders>
            <w:shd w:val="clear" w:color="000000" w:fill="FFFFFF"/>
            <w:vAlign w:val="center"/>
            <w:hideMark/>
          </w:tcPr>
          <w:p w14:paraId="1F1DC43F"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3FE6E2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r>
      <w:tr w:rsidR="00840888" w:rsidRPr="00840888" w14:paraId="3212AB0C"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2831F51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F93C86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37CAE0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12C1CE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745CA64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374,000</w:t>
            </w:r>
          </w:p>
        </w:tc>
        <w:tc>
          <w:tcPr>
            <w:tcW w:w="880" w:type="dxa"/>
            <w:tcBorders>
              <w:top w:val="nil"/>
              <w:left w:val="nil"/>
              <w:bottom w:val="nil"/>
              <w:right w:val="single" w:sz="4" w:space="0" w:color="auto"/>
            </w:tcBorders>
            <w:shd w:val="clear" w:color="auto" w:fill="auto"/>
            <w:vAlign w:val="center"/>
            <w:hideMark/>
          </w:tcPr>
          <w:p w14:paraId="2163B0A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87D062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F6200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DB266A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15,000</w:t>
            </w:r>
          </w:p>
        </w:tc>
        <w:tc>
          <w:tcPr>
            <w:tcW w:w="880" w:type="dxa"/>
            <w:tcBorders>
              <w:top w:val="nil"/>
              <w:left w:val="nil"/>
              <w:bottom w:val="nil"/>
              <w:right w:val="single" w:sz="4" w:space="0" w:color="auto"/>
            </w:tcBorders>
            <w:shd w:val="clear" w:color="auto" w:fill="auto"/>
            <w:vAlign w:val="center"/>
            <w:hideMark/>
          </w:tcPr>
          <w:p w14:paraId="30192F5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49,000</w:t>
            </w:r>
          </w:p>
        </w:tc>
        <w:tc>
          <w:tcPr>
            <w:tcW w:w="880" w:type="dxa"/>
            <w:tcBorders>
              <w:top w:val="nil"/>
              <w:left w:val="nil"/>
              <w:bottom w:val="nil"/>
              <w:right w:val="single" w:sz="4" w:space="0" w:color="auto"/>
            </w:tcBorders>
            <w:shd w:val="clear" w:color="auto" w:fill="auto"/>
            <w:vAlign w:val="center"/>
            <w:hideMark/>
          </w:tcPr>
          <w:p w14:paraId="5139330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138,000</w:t>
            </w:r>
          </w:p>
        </w:tc>
        <w:tc>
          <w:tcPr>
            <w:tcW w:w="880" w:type="dxa"/>
            <w:tcBorders>
              <w:top w:val="nil"/>
              <w:left w:val="nil"/>
              <w:bottom w:val="nil"/>
              <w:right w:val="single" w:sz="4" w:space="0" w:color="auto"/>
            </w:tcBorders>
            <w:shd w:val="clear" w:color="auto" w:fill="auto"/>
            <w:vAlign w:val="center"/>
            <w:hideMark/>
          </w:tcPr>
          <w:p w14:paraId="1A67965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300738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35D0B0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37C4D6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02B3388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202,000</w:t>
            </w:r>
          </w:p>
        </w:tc>
        <w:tc>
          <w:tcPr>
            <w:tcW w:w="880" w:type="dxa"/>
            <w:tcBorders>
              <w:top w:val="nil"/>
              <w:left w:val="nil"/>
              <w:bottom w:val="nil"/>
              <w:right w:val="single" w:sz="4" w:space="0" w:color="auto"/>
            </w:tcBorders>
            <w:shd w:val="clear" w:color="auto" w:fill="auto"/>
            <w:vAlign w:val="center"/>
            <w:hideMark/>
          </w:tcPr>
          <w:p w14:paraId="308D26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54,011</w:t>
            </w:r>
          </w:p>
        </w:tc>
      </w:tr>
      <w:tr w:rsidR="00840888" w:rsidRPr="00840888" w14:paraId="7C243D61"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138CC2B"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4AFD5B2C"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49F80BF"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61B1075"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7530FB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88F276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6E6F27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F139A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53D241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59D71B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16,000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41FAB7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E02642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CC8F72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4BF260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21D81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16BE17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88,000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2B6714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7EE4BD76"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5539FDC"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44288ADF"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2645F95"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FB3B769"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6C9020A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0412A3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EFC61F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346CAD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DE0AE5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11,000</w:t>
            </w:r>
          </w:p>
        </w:tc>
        <w:tc>
          <w:tcPr>
            <w:tcW w:w="880" w:type="dxa"/>
            <w:tcBorders>
              <w:top w:val="nil"/>
              <w:left w:val="nil"/>
              <w:bottom w:val="single" w:sz="4" w:space="0" w:color="auto"/>
              <w:right w:val="single" w:sz="4" w:space="0" w:color="auto"/>
            </w:tcBorders>
            <w:shd w:val="clear" w:color="auto" w:fill="auto"/>
            <w:vAlign w:val="center"/>
            <w:hideMark/>
          </w:tcPr>
          <w:p w14:paraId="3F8C17D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33,000</w:t>
            </w:r>
          </w:p>
        </w:tc>
        <w:tc>
          <w:tcPr>
            <w:tcW w:w="880" w:type="dxa"/>
            <w:tcBorders>
              <w:top w:val="nil"/>
              <w:left w:val="nil"/>
              <w:bottom w:val="single" w:sz="4" w:space="0" w:color="auto"/>
              <w:right w:val="single" w:sz="4" w:space="0" w:color="auto"/>
            </w:tcBorders>
            <w:shd w:val="clear" w:color="auto" w:fill="auto"/>
            <w:vAlign w:val="center"/>
            <w:hideMark/>
          </w:tcPr>
          <w:p w14:paraId="7C7B8F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70,000</w:t>
            </w:r>
          </w:p>
        </w:tc>
        <w:tc>
          <w:tcPr>
            <w:tcW w:w="880" w:type="dxa"/>
            <w:tcBorders>
              <w:top w:val="nil"/>
              <w:left w:val="nil"/>
              <w:bottom w:val="single" w:sz="4" w:space="0" w:color="auto"/>
              <w:right w:val="single" w:sz="4" w:space="0" w:color="auto"/>
            </w:tcBorders>
            <w:shd w:val="clear" w:color="auto" w:fill="auto"/>
            <w:vAlign w:val="center"/>
            <w:hideMark/>
          </w:tcPr>
          <w:p w14:paraId="2B45159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59AE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808A2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140CD4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E0F6E0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114,000</w:t>
            </w:r>
          </w:p>
        </w:tc>
        <w:tc>
          <w:tcPr>
            <w:tcW w:w="880" w:type="dxa"/>
            <w:tcBorders>
              <w:top w:val="nil"/>
              <w:left w:val="nil"/>
              <w:bottom w:val="single" w:sz="4" w:space="0" w:color="auto"/>
              <w:right w:val="single" w:sz="4" w:space="0" w:color="auto"/>
            </w:tcBorders>
            <w:shd w:val="clear" w:color="auto" w:fill="auto"/>
            <w:vAlign w:val="center"/>
            <w:hideMark/>
          </w:tcPr>
          <w:p w14:paraId="30FD424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0C6E058B"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28455AF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7C0975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279DE7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18590FA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2BB9E33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51,000</w:t>
            </w:r>
          </w:p>
        </w:tc>
        <w:tc>
          <w:tcPr>
            <w:tcW w:w="880" w:type="dxa"/>
            <w:tcBorders>
              <w:top w:val="nil"/>
              <w:left w:val="nil"/>
              <w:bottom w:val="nil"/>
              <w:right w:val="single" w:sz="4" w:space="0" w:color="auto"/>
            </w:tcBorders>
            <w:shd w:val="clear" w:color="auto" w:fill="auto"/>
            <w:vAlign w:val="center"/>
            <w:hideMark/>
          </w:tcPr>
          <w:p w14:paraId="154DACC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FE9862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CCBC9A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102E1F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2,000</w:t>
            </w:r>
          </w:p>
        </w:tc>
        <w:tc>
          <w:tcPr>
            <w:tcW w:w="880" w:type="dxa"/>
            <w:tcBorders>
              <w:top w:val="nil"/>
              <w:left w:val="nil"/>
              <w:bottom w:val="nil"/>
              <w:right w:val="single" w:sz="4" w:space="0" w:color="auto"/>
            </w:tcBorders>
            <w:shd w:val="clear" w:color="auto" w:fill="auto"/>
            <w:vAlign w:val="center"/>
            <w:hideMark/>
          </w:tcPr>
          <w:p w14:paraId="76A33DE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7,000</w:t>
            </w:r>
          </w:p>
        </w:tc>
        <w:tc>
          <w:tcPr>
            <w:tcW w:w="880" w:type="dxa"/>
            <w:tcBorders>
              <w:top w:val="nil"/>
              <w:left w:val="nil"/>
              <w:bottom w:val="nil"/>
              <w:right w:val="single" w:sz="4" w:space="0" w:color="auto"/>
            </w:tcBorders>
            <w:shd w:val="clear" w:color="auto" w:fill="auto"/>
            <w:vAlign w:val="center"/>
            <w:hideMark/>
          </w:tcPr>
          <w:p w14:paraId="6F89E4A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18,000</w:t>
            </w:r>
          </w:p>
        </w:tc>
        <w:tc>
          <w:tcPr>
            <w:tcW w:w="880" w:type="dxa"/>
            <w:tcBorders>
              <w:top w:val="nil"/>
              <w:left w:val="nil"/>
              <w:bottom w:val="nil"/>
              <w:right w:val="single" w:sz="4" w:space="0" w:color="auto"/>
            </w:tcBorders>
            <w:shd w:val="clear" w:color="auto" w:fill="auto"/>
            <w:vAlign w:val="center"/>
            <w:hideMark/>
          </w:tcPr>
          <w:p w14:paraId="181708D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6BAA59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16EDC3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502B4F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23E6690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27,000</w:t>
            </w:r>
          </w:p>
        </w:tc>
        <w:tc>
          <w:tcPr>
            <w:tcW w:w="880" w:type="dxa"/>
            <w:tcBorders>
              <w:top w:val="nil"/>
              <w:left w:val="nil"/>
              <w:bottom w:val="nil"/>
              <w:right w:val="single" w:sz="4" w:space="0" w:color="auto"/>
            </w:tcBorders>
            <w:shd w:val="clear" w:color="auto" w:fill="auto"/>
            <w:vAlign w:val="center"/>
            <w:hideMark/>
          </w:tcPr>
          <w:p w14:paraId="59577D4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52,941</w:t>
            </w:r>
          </w:p>
        </w:tc>
      </w:tr>
      <w:tr w:rsidR="00840888" w:rsidRPr="00840888" w14:paraId="444111F7"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73D76123"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8B66C09"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95B5388"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FA08670"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C523E3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A2ABC4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485848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13AD4C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0117E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FDE0E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A94FB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62EA0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2B804C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89B122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14BBF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67C8D8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12,000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34DA1B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6C4BCD47"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0F5B0494"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1CB5F0F"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20A8C40"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9B3703B"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03E5606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1AF0DA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03ABA42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AC50F8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24F1CA6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w:t>
            </w:r>
          </w:p>
        </w:tc>
        <w:tc>
          <w:tcPr>
            <w:tcW w:w="880" w:type="dxa"/>
            <w:tcBorders>
              <w:top w:val="nil"/>
              <w:left w:val="nil"/>
              <w:bottom w:val="single" w:sz="4" w:space="0" w:color="auto"/>
              <w:right w:val="single" w:sz="4" w:space="0" w:color="auto"/>
            </w:tcBorders>
            <w:shd w:val="clear" w:color="auto" w:fill="auto"/>
            <w:vAlign w:val="center"/>
            <w:hideMark/>
          </w:tcPr>
          <w:p w14:paraId="6AEF480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5,000</w:t>
            </w:r>
          </w:p>
        </w:tc>
        <w:tc>
          <w:tcPr>
            <w:tcW w:w="880" w:type="dxa"/>
            <w:tcBorders>
              <w:top w:val="nil"/>
              <w:left w:val="nil"/>
              <w:bottom w:val="single" w:sz="4" w:space="0" w:color="auto"/>
              <w:right w:val="single" w:sz="4" w:space="0" w:color="auto"/>
            </w:tcBorders>
            <w:shd w:val="clear" w:color="auto" w:fill="auto"/>
            <w:vAlign w:val="center"/>
            <w:hideMark/>
          </w:tcPr>
          <w:p w14:paraId="78AA461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9,000</w:t>
            </w:r>
          </w:p>
        </w:tc>
        <w:tc>
          <w:tcPr>
            <w:tcW w:w="880" w:type="dxa"/>
            <w:tcBorders>
              <w:top w:val="nil"/>
              <w:left w:val="nil"/>
              <w:bottom w:val="single" w:sz="4" w:space="0" w:color="auto"/>
              <w:right w:val="single" w:sz="4" w:space="0" w:color="auto"/>
            </w:tcBorders>
            <w:shd w:val="clear" w:color="auto" w:fill="auto"/>
            <w:vAlign w:val="center"/>
            <w:hideMark/>
          </w:tcPr>
          <w:p w14:paraId="3750111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5AD4BE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445592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37AC3A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7B1A3C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15,000</w:t>
            </w:r>
          </w:p>
        </w:tc>
        <w:tc>
          <w:tcPr>
            <w:tcW w:w="880" w:type="dxa"/>
            <w:tcBorders>
              <w:top w:val="nil"/>
              <w:left w:val="nil"/>
              <w:bottom w:val="single" w:sz="4" w:space="0" w:color="auto"/>
              <w:right w:val="single" w:sz="4" w:space="0" w:color="auto"/>
            </w:tcBorders>
            <w:shd w:val="clear" w:color="auto" w:fill="auto"/>
            <w:vAlign w:val="center"/>
            <w:hideMark/>
          </w:tcPr>
          <w:p w14:paraId="74E4102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6470B63D"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330F106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67101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3F54A1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podpořených podpůrných institucí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5428F65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27ECC6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15748E1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2,000</w:t>
            </w:r>
          </w:p>
        </w:tc>
        <w:tc>
          <w:tcPr>
            <w:tcW w:w="880" w:type="dxa"/>
            <w:tcBorders>
              <w:top w:val="nil"/>
              <w:left w:val="nil"/>
              <w:bottom w:val="nil"/>
              <w:right w:val="single" w:sz="4" w:space="0" w:color="auto"/>
            </w:tcBorders>
            <w:shd w:val="clear" w:color="auto" w:fill="auto"/>
            <w:vAlign w:val="center"/>
            <w:hideMark/>
          </w:tcPr>
          <w:p w14:paraId="337C002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71F361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36B846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EC307B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0,970</w:t>
            </w:r>
          </w:p>
        </w:tc>
        <w:tc>
          <w:tcPr>
            <w:tcW w:w="880" w:type="dxa"/>
            <w:tcBorders>
              <w:top w:val="nil"/>
              <w:left w:val="nil"/>
              <w:bottom w:val="nil"/>
              <w:right w:val="single" w:sz="4" w:space="0" w:color="auto"/>
            </w:tcBorders>
            <w:shd w:val="clear" w:color="auto" w:fill="auto"/>
            <w:vAlign w:val="center"/>
            <w:hideMark/>
          </w:tcPr>
          <w:p w14:paraId="6B0A9B1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0,230</w:t>
            </w:r>
          </w:p>
        </w:tc>
        <w:tc>
          <w:tcPr>
            <w:tcW w:w="880" w:type="dxa"/>
            <w:tcBorders>
              <w:top w:val="nil"/>
              <w:left w:val="nil"/>
              <w:bottom w:val="nil"/>
              <w:right w:val="single" w:sz="4" w:space="0" w:color="auto"/>
            </w:tcBorders>
            <w:shd w:val="clear" w:color="auto" w:fill="auto"/>
            <w:vAlign w:val="center"/>
            <w:hideMark/>
          </w:tcPr>
          <w:p w14:paraId="10ED9FE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0,300</w:t>
            </w:r>
          </w:p>
        </w:tc>
        <w:tc>
          <w:tcPr>
            <w:tcW w:w="880" w:type="dxa"/>
            <w:tcBorders>
              <w:top w:val="nil"/>
              <w:left w:val="nil"/>
              <w:bottom w:val="nil"/>
              <w:right w:val="single" w:sz="4" w:space="0" w:color="auto"/>
            </w:tcBorders>
            <w:shd w:val="clear" w:color="auto" w:fill="auto"/>
            <w:vAlign w:val="center"/>
            <w:hideMark/>
          </w:tcPr>
          <w:p w14:paraId="071AFD1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16B1A7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4E418C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D9795A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B55488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1,500</w:t>
            </w:r>
          </w:p>
        </w:tc>
        <w:tc>
          <w:tcPr>
            <w:tcW w:w="880" w:type="dxa"/>
            <w:tcBorders>
              <w:top w:val="nil"/>
              <w:left w:val="nil"/>
              <w:bottom w:val="nil"/>
              <w:right w:val="single" w:sz="4" w:space="0" w:color="auto"/>
            </w:tcBorders>
            <w:shd w:val="clear" w:color="auto" w:fill="auto"/>
            <w:vAlign w:val="center"/>
            <w:hideMark/>
          </w:tcPr>
          <w:p w14:paraId="41CCAF5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75,000</w:t>
            </w:r>
          </w:p>
        </w:tc>
      </w:tr>
      <w:tr w:rsidR="00840888" w:rsidRPr="00840888" w14:paraId="39212FC2"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530C1D1F"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2C61BBC"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522BD3C"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0C27AA5"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FE7C9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1FCC9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0F9069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C7D9B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B9D76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88FBC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730FDE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D8A631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10906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240F6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131EA8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2FF1B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FCA260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3B1402F5"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49320A41"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FC04538"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E2C3482"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0E73DC9"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723A2AB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84F76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143DA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78E069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9F76F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A2DC3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0E6C3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DC907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B9E090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CC5B6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2DBF72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BA67B5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D6E4C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54B41F73"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9C2483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67101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7D5976A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podpořených podpůrných institucí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C2A4E4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Organizace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E0A7AE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63189EF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2966CE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FDC9C3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D6253C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034088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0,100</w:t>
            </w:r>
          </w:p>
        </w:tc>
        <w:tc>
          <w:tcPr>
            <w:tcW w:w="880" w:type="dxa"/>
            <w:tcBorders>
              <w:top w:val="nil"/>
              <w:left w:val="nil"/>
              <w:bottom w:val="nil"/>
              <w:right w:val="single" w:sz="4" w:space="0" w:color="auto"/>
            </w:tcBorders>
            <w:shd w:val="clear" w:color="auto" w:fill="auto"/>
            <w:vAlign w:val="center"/>
            <w:hideMark/>
          </w:tcPr>
          <w:p w14:paraId="1737EEC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0,060</w:t>
            </w:r>
          </w:p>
        </w:tc>
        <w:tc>
          <w:tcPr>
            <w:tcW w:w="880" w:type="dxa"/>
            <w:tcBorders>
              <w:top w:val="nil"/>
              <w:left w:val="nil"/>
              <w:bottom w:val="nil"/>
              <w:right w:val="single" w:sz="4" w:space="0" w:color="auto"/>
            </w:tcBorders>
            <w:shd w:val="clear" w:color="auto" w:fill="auto"/>
            <w:vAlign w:val="center"/>
            <w:hideMark/>
          </w:tcPr>
          <w:p w14:paraId="57D0D42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0,040</w:t>
            </w:r>
          </w:p>
        </w:tc>
        <w:tc>
          <w:tcPr>
            <w:tcW w:w="880" w:type="dxa"/>
            <w:tcBorders>
              <w:top w:val="nil"/>
              <w:left w:val="nil"/>
              <w:bottom w:val="nil"/>
              <w:right w:val="single" w:sz="4" w:space="0" w:color="auto"/>
            </w:tcBorders>
            <w:shd w:val="clear" w:color="auto" w:fill="auto"/>
            <w:vAlign w:val="center"/>
            <w:hideMark/>
          </w:tcPr>
          <w:p w14:paraId="016810C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0573FC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E36D80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90ACAB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E0EBC7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0,200</w:t>
            </w:r>
          </w:p>
        </w:tc>
        <w:tc>
          <w:tcPr>
            <w:tcW w:w="880" w:type="dxa"/>
            <w:tcBorders>
              <w:top w:val="nil"/>
              <w:left w:val="nil"/>
              <w:bottom w:val="nil"/>
              <w:right w:val="single" w:sz="4" w:space="0" w:color="auto"/>
            </w:tcBorders>
            <w:shd w:val="clear" w:color="auto" w:fill="auto"/>
            <w:vAlign w:val="center"/>
            <w:hideMark/>
          </w:tcPr>
          <w:p w14:paraId="26603A9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2A23B045"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D2756E5"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093D5A0C"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1B44372"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B8C3206"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C67E0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811046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FE3CC1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11AAB2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7242A7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17D0AE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5179E8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6286DE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80C9D8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7052AF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C4D885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5753AB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D59692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71DDF8D0"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362E1C43"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1FEFDF9"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E6205CF"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185B390"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1465B3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326979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A92355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61497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F98ED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EAA08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1E537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75851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780141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902B9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E5539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8C58F5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E19E11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316DE21B"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6B9F375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69301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561A5D6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experimentálně či kvazi-experimentálně ověřených nových nástrojů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C7EABD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Nástroje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293F68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880" w:type="dxa"/>
            <w:tcBorders>
              <w:top w:val="nil"/>
              <w:left w:val="nil"/>
              <w:bottom w:val="nil"/>
              <w:right w:val="single" w:sz="4" w:space="0" w:color="auto"/>
            </w:tcBorders>
            <w:shd w:val="clear" w:color="auto" w:fill="auto"/>
            <w:vAlign w:val="center"/>
            <w:hideMark/>
          </w:tcPr>
          <w:p w14:paraId="7165908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6,000</w:t>
            </w:r>
          </w:p>
        </w:tc>
        <w:tc>
          <w:tcPr>
            <w:tcW w:w="880" w:type="dxa"/>
            <w:tcBorders>
              <w:top w:val="nil"/>
              <w:left w:val="nil"/>
              <w:bottom w:val="nil"/>
              <w:right w:val="single" w:sz="4" w:space="0" w:color="auto"/>
            </w:tcBorders>
            <w:shd w:val="clear" w:color="auto" w:fill="auto"/>
            <w:vAlign w:val="center"/>
            <w:hideMark/>
          </w:tcPr>
          <w:p w14:paraId="6067668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9D6672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140DA0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FFA014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50F275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0,600</w:t>
            </w:r>
          </w:p>
        </w:tc>
        <w:tc>
          <w:tcPr>
            <w:tcW w:w="880" w:type="dxa"/>
            <w:tcBorders>
              <w:top w:val="nil"/>
              <w:left w:val="nil"/>
              <w:bottom w:val="nil"/>
              <w:right w:val="single" w:sz="4" w:space="0" w:color="auto"/>
            </w:tcBorders>
            <w:shd w:val="clear" w:color="auto" w:fill="auto"/>
            <w:vAlign w:val="center"/>
            <w:hideMark/>
          </w:tcPr>
          <w:p w14:paraId="4164A00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2,850</w:t>
            </w:r>
          </w:p>
        </w:tc>
        <w:tc>
          <w:tcPr>
            <w:tcW w:w="880" w:type="dxa"/>
            <w:tcBorders>
              <w:top w:val="nil"/>
              <w:left w:val="nil"/>
              <w:bottom w:val="nil"/>
              <w:right w:val="single" w:sz="4" w:space="0" w:color="auto"/>
            </w:tcBorders>
            <w:shd w:val="clear" w:color="auto" w:fill="auto"/>
            <w:vAlign w:val="center"/>
            <w:hideMark/>
          </w:tcPr>
          <w:p w14:paraId="4C5AFBB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9775B8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2FFC8F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9CCE9D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534D07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3,450</w:t>
            </w:r>
          </w:p>
        </w:tc>
        <w:tc>
          <w:tcPr>
            <w:tcW w:w="880" w:type="dxa"/>
            <w:tcBorders>
              <w:top w:val="nil"/>
              <w:left w:val="nil"/>
              <w:bottom w:val="nil"/>
              <w:right w:val="single" w:sz="4" w:space="0" w:color="auto"/>
            </w:tcBorders>
            <w:shd w:val="clear" w:color="auto" w:fill="auto"/>
            <w:vAlign w:val="center"/>
            <w:hideMark/>
          </w:tcPr>
          <w:p w14:paraId="562DAD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57,500</w:t>
            </w:r>
          </w:p>
        </w:tc>
      </w:tr>
      <w:tr w:rsidR="00840888" w:rsidRPr="00840888" w14:paraId="734273FD"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5F87E81E"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BE0BD95"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7D5F28A"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5C68A3F"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CB2854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7B0C2D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32EE90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AF6DB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11D99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D4EE8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8CEF91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7360D7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FAE831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4E7D76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D407B4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DC6A80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9295F8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64D00E73"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5768A8B8"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51D85C4"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8A191C3"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961AC59"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231DA9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F2CAB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5715A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E7C08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D2C33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498786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4F529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2068E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64940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18F6F9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B7C8F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3A4B96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69041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689A5B32"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1CC72EE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69301</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05F986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experimentálně či kvazi-experimentálně ověřených nových nástrojů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E65A51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Nástroje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C7C4E9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auto" w:fill="auto"/>
            <w:vAlign w:val="center"/>
            <w:hideMark/>
          </w:tcPr>
          <w:p w14:paraId="77E080E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auto" w:fill="auto"/>
            <w:vAlign w:val="center"/>
            <w:hideMark/>
          </w:tcPr>
          <w:p w14:paraId="7ABEDE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760916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EB785D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1959BD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38927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0,400</w:t>
            </w:r>
          </w:p>
        </w:tc>
        <w:tc>
          <w:tcPr>
            <w:tcW w:w="880" w:type="dxa"/>
            <w:tcBorders>
              <w:top w:val="nil"/>
              <w:left w:val="nil"/>
              <w:bottom w:val="nil"/>
              <w:right w:val="single" w:sz="4" w:space="0" w:color="auto"/>
            </w:tcBorders>
            <w:shd w:val="clear" w:color="auto" w:fill="auto"/>
            <w:vAlign w:val="center"/>
            <w:hideMark/>
          </w:tcPr>
          <w:p w14:paraId="1FB1DF6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0,060</w:t>
            </w:r>
          </w:p>
        </w:tc>
        <w:tc>
          <w:tcPr>
            <w:tcW w:w="880" w:type="dxa"/>
            <w:tcBorders>
              <w:top w:val="nil"/>
              <w:left w:val="nil"/>
              <w:bottom w:val="nil"/>
              <w:right w:val="single" w:sz="4" w:space="0" w:color="auto"/>
            </w:tcBorders>
            <w:shd w:val="clear" w:color="auto" w:fill="auto"/>
            <w:vAlign w:val="center"/>
            <w:hideMark/>
          </w:tcPr>
          <w:p w14:paraId="05D3DB0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B86F51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37425E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9DEE68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73DF01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0,460</w:t>
            </w:r>
          </w:p>
        </w:tc>
        <w:tc>
          <w:tcPr>
            <w:tcW w:w="880" w:type="dxa"/>
            <w:tcBorders>
              <w:top w:val="nil"/>
              <w:left w:val="nil"/>
              <w:bottom w:val="nil"/>
              <w:right w:val="single" w:sz="4" w:space="0" w:color="auto"/>
            </w:tcBorders>
            <w:shd w:val="clear" w:color="auto" w:fill="auto"/>
            <w:vAlign w:val="center"/>
            <w:hideMark/>
          </w:tcPr>
          <w:p w14:paraId="6E30FE5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46,000</w:t>
            </w:r>
          </w:p>
        </w:tc>
      </w:tr>
      <w:tr w:rsidR="00840888" w:rsidRPr="00840888" w14:paraId="4EB09756"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04A9764B"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42BC8A6"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EBD8B5B"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897F00F"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7E14CA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46C7B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B69570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33D935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C49857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91BD1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10FCED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67E930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DC331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A1B93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94BA9C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6BE257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7B03A1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56CAF95B"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67AA8D11"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4F2A251"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B49A86F"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3CF8E35"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1C8F3F9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E87C13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90B9B9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D5CD66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D9B2D6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52A84E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39E87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96EBF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3E6AC4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6B37C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3483C1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53613E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6A72F3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5C25059A"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3CD055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B5268B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3872DD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43F634E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880" w:type="dxa"/>
            <w:tcBorders>
              <w:top w:val="nil"/>
              <w:left w:val="nil"/>
              <w:bottom w:val="single" w:sz="4" w:space="0" w:color="auto"/>
              <w:right w:val="single" w:sz="4" w:space="0" w:color="auto"/>
            </w:tcBorders>
            <w:shd w:val="clear" w:color="auto" w:fill="auto"/>
            <w:vAlign w:val="center"/>
            <w:hideMark/>
          </w:tcPr>
          <w:p w14:paraId="575914D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11,000</w:t>
            </w:r>
          </w:p>
        </w:tc>
        <w:tc>
          <w:tcPr>
            <w:tcW w:w="880" w:type="dxa"/>
            <w:tcBorders>
              <w:top w:val="nil"/>
              <w:left w:val="nil"/>
              <w:bottom w:val="single" w:sz="4" w:space="0" w:color="auto"/>
              <w:right w:val="single" w:sz="4" w:space="0" w:color="auto"/>
            </w:tcBorders>
            <w:shd w:val="clear" w:color="auto" w:fill="auto"/>
            <w:vAlign w:val="center"/>
            <w:hideMark/>
          </w:tcPr>
          <w:p w14:paraId="0F80F3B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6112802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DCA6B3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79803F7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0,320</w:t>
            </w:r>
          </w:p>
        </w:tc>
        <w:tc>
          <w:tcPr>
            <w:tcW w:w="880" w:type="dxa"/>
            <w:tcBorders>
              <w:top w:val="nil"/>
              <w:left w:val="nil"/>
              <w:bottom w:val="single" w:sz="4" w:space="0" w:color="auto"/>
              <w:right w:val="single" w:sz="4" w:space="0" w:color="auto"/>
            </w:tcBorders>
            <w:shd w:val="clear" w:color="auto" w:fill="auto"/>
            <w:vAlign w:val="center"/>
            <w:hideMark/>
          </w:tcPr>
          <w:p w14:paraId="4810EA8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9,270</w:t>
            </w:r>
          </w:p>
        </w:tc>
        <w:tc>
          <w:tcPr>
            <w:tcW w:w="880" w:type="dxa"/>
            <w:tcBorders>
              <w:top w:val="nil"/>
              <w:left w:val="nil"/>
              <w:bottom w:val="single" w:sz="4" w:space="0" w:color="auto"/>
              <w:right w:val="single" w:sz="4" w:space="0" w:color="auto"/>
            </w:tcBorders>
            <w:shd w:val="clear" w:color="auto" w:fill="auto"/>
            <w:vAlign w:val="center"/>
            <w:hideMark/>
          </w:tcPr>
          <w:p w14:paraId="4C019BB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14,990</w:t>
            </w:r>
          </w:p>
        </w:tc>
        <w:tc>
          <w:tcPr>
            <w:tcW w:w="880" w:type="dxa"/>
            <w:tcBorders>
              <w:top w:val="nil"/>
              <w:left w:val="nil"/>
              <w:bottom w:val="single" w:sz="4" w:space="0" w:color="auto"/>
              <w:right w:val="single" w:sz="4" w:space="0" w:color="auto"/>
            </w:tcBorders>
            <w:shd w:val="clear" w:color="auto" w:fill="auto"/>
            <w:vAlign w:val="center"/>
            <w:hideMark/>
          </w:tcPr>
          <w:p w14:paraId="74BF026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ECB5A1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4B30B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99B87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145DBE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24,580</w:t>
            </w:r>
          </w:p>
        </w:tc>
        <w:tc>
          <w:tcPr>
            <w:tcW w:w="880" w:type="dxa"/>
            <w:tcBorders>
              <w:top w:val="nil"/>
              <w:left w:val="nil"/>
              <w:bottom w:val="single" w:sz="4" w:space="0" w:color="auto"/>
              <w:right w:val="single" w:sz="4" w:space="0" w:color="auto"/>
            </w:tcBorders>
            <w:shd w:val="clear" w:color="auto" w:fill="auto"/>
            <w:vAlign w:val="center"/>
            <w:hideMark/>
          </w:tcPr>
          <w:p w14:paraId="601336A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223,455</w:t>
            </w:r>
          </w:p>
        </w:tc>
      </w:tr>
      <w:tr w:rsidR="00840888" w:rsidRPr="00840888" w14:paraId="5782A1EE"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1354C9BA"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6CBA3D0"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D5821BA"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912BB20"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EA1C3A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EDC598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662704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97AE38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78B78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425499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5855C1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82A61E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CF9BCD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3CD94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0BCBAB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354783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A94BF7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2F06E20E" w14:textId="77777777" w:rsidTr="00840888">
        <w:trPr>
          <w:trHeight w:hRule="exact" w:val="346"/>
        </w:trPr>
        <w:tc>
          <w:tcPr>
            <w:tcW w:w="640" w:type="dxa"/>
            <w:vMerge/>
            <w:tcBorders>
              <w:top w:val="nil"/>
              <w:left w:val="single" w:sz="4" w:space="0" w:color="auto"/>
              <w:bottom w:val="single" w:sz="4" w:space="0" w:color="000000"/>
              <w:right w:val="single" w:sz="4" w:space="0" w:color="auto"/>
            </w:tcBorders>
            <w:vAlign w:val="center"/>
            <w:hideMark/>
          </w:tcPr>
          <w:p w14:paraId="498B15E8"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77D43514"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3052B44"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85991DE"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auto" w:fill="auto"/>
            <w:vAlign w:val="center"/>
            <w:hideMark/>
          </w:tcPr>
          <w:p w14:paraId="3F3DB40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30949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BC0233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514CD9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1F68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1EF560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5C3871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2304B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F793F5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7EE7E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493954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CD1E6F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B971B8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20FFD4C5"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1B03C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56D018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E1354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7C66B7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880" w:type="dxa"/>
            <w:tcBorders>
              <w:top w:val="nil"/>
              <w:left w:val="nil"/>
              <w:bottom w:val="nil"/>
              <w:right w:val="single" w:sz="4" w:space="0" w:color="auto"/>
            </w:tcBorders>
            <w:shd w:val="clear" w:color="000000" w:fill="FFFFFF"/>
            <w:vAlign w:val="center"/>
            <w:hideMark/>
          </w:tcPr>
          <w:p w14:paraId="5216942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000000" w:fill="FFFFFF"/>
            <w:vAlign w:val="center"/>
            <w:hideMark/>
          </w:tcPr>
          <w:p w14:paraId="473F2CD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000000" w:fill="FFFFFF"/>
            <w:vAlign w:val="center"/>
            <w:hideMark/>
          </w:tcPr>
          <w:p w14:paraId="5DA7C0D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000000" w:fill="FFFFFF"/>
            <w:vAlign w:val="center"/>
            <w:hideMark/>
          </w:tcPr>
          <w:p w14:paraId="079DF3A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000000" w:fill="FFFFFF"/>
            <w:vAlign w:val="center"/>
            <w:hideMark/>
          </w:tcPr>
          <w:p w14:paraId="5199886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0,320</w:t>
            </w:r>
          </w:p>
        </w:tc>
        <w:tc>
          <w:tcPr>
            <w:tcW w:w="880" w:type="dxa"/>
            <w:tcBorders>
              <w:top w:val="nil"/>
              <w:left w:val="nil"/>
              <w:bottom w:val="nil"/>
              <w:right w:val="single" w:sz="4" w:space="0" w:color="auto"/>
            </w:tcBorders>
            <w:shd w:val="clear" w:color="auto" w:fill="auto"/>
            <w:vAlign w:val="center"/>
            <w:hideMark/>
          </w:tcPr>
          <w:p w14:paraId="0A1230A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0,960</w:t>
            </w:r>
          </w:p>
        </w:tc>
        <w:tc>
          <w:tcPr>
            <w:tcW w:w="880" w:type="dxa"/>
            <w:tcBorders>
              <w:top w:val="nil"/>
              <w:left w:val="nil"/>
              <w:bottom w:val="nil"/>
              <w:right w:val="single" w:sz="4" w:space="0" w:color="auto"/>
            </w:tcBorders>
            <w:shd w:val="clear" w:color="000000" w:fill="FFFFFF"/>
            <w:vAlign w:val="center"/>
            <w:hideMark/>
          </w:tcPr>
          <w:p w14:paraId="76E2609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2,020</w:t>
            </w:r>
          </w:p>
        </w:tc>
        <w:tc>
          <w:tcPr>
            <w:tcW w:w="880" w:type="dxa"/>
            <w:tcBorders>
              <w:top w:val="nil"/>
              <w:left w:val="nil"/>
              <w:bottom w:val="nil"/>
              <w:right w:val="single" w:sz="4" w:space="0" w:color="auto"/>
            </w:tcBorders>
            <w:shd w:val="clear" w:color="000000" w:fill="FFFFFF"/>
            <w:vAlign w:val="center"/>
            <w:hideMark/>
          </w:tcPr>
          <w:p w14:paraId="659FA75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000000" w:fill="FFFFFF"/>
            <w:vAlign w:val="center"/>
            <w:hideMark/>
          </w:tcPr>
          <w:p w14:paraId="38E2A60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000000" w:fill="FFFFFF"/>
            <w:vAlign w:val="center"/>
            <w:hideMark/>
          </w:tcPr>
          <w:p w14:paraId="6A07CE4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000000" w:fill="FFFFFF"/>
            <w:vAlign w:val="center"/>
            <w:hideMark/>
          </w:tcPr>
          <w:p w14:paraId="4880758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32A3ED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3,300</w:t>
            </w:r>
          </w:p>
        </w:tc>
        <w:tc>
          <w:tcPr>
            <w:tcW w:w="880" w:type="dxa"/>
            <w:tcBorders>
              <w:top w:val="nil"/>
              <w:left w:val="nil"/>
              <w:bottom w:val="nil"/>
              <w:right w:val="single" w:sz="4" w:space="0" w:color="auto"/>
            </w:tcBorders>
            <w:shd w:val="clear" w:color="000000" w:fill="FFFFFF"/>
            <w:vAlign w:val="center"/>
            <w:hideMark/>
          </w:tcPr>
          <w:p w14:paraId="06B9CD2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330,000</w:t>
            </w:r>
          </w:p>
        </w:tc>
      </w:tr>
      <w:tr w:rsidR="00840888" w:rsidRPr="00840888" w14:paraId="59C44DF4"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11924940"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410CF9D"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3F99471"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8C05914"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262621E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FF0788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74B77D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541512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5D41A3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4FF8FC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B3B4AD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CB2DEA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515015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41E0471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413D58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7F49C2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E1654E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6863C11E"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5AEF6547" w14:textId="77777777" w:rsidR="00840888" w:rsidRPr="00840888" w:rsidRDefault="00840888" w:rsidP="00840888">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D0D3441"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E9A64D2"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41AC9DF" w14:textId="77777777" w:rsidR="00840888" w:rsidRPr="00840888" w:rsidRDefault="00840888" w:rsidP="00840888">
            <w:pPr>
              <w:rPr>
                <w:rFonts w:ascii="Arial" w:eastAsia="Times New Roman" w:hAnsi="Arial" w:cs="Arial"/>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02BF33F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7C39A7A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AE0B2F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93E98A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173203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A8179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39D5FB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476C8B0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2A1E45D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66A08B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0CDD5CD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33FE12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000000" w:fill="FFFFFF"/>
            <w:vAlign w:val="center"/>
            <w:hideMark/>
          </w:tcPr>
          <w:p w14:paraId="64AD535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bl>
    <w:p w14:paraId="63A79E8D" w14:textId="3081303A" w:rsidR="00057C12" w:rsidRDefault="00057C12" w:rsidP="009E49E6">
      <w:pPr>
        <w:ind w:right="108"/>
        <w:jc w:val="both"/>
        <w:rPr>
          <w:rFonts w:ascii="Arial" w:eastAsia="Arial" w:hAnsi="Arial" w:cs="Arial"/>
          <w:color w:val="000000"/>
          <w:sz w:val="20"/>
          <w:lang w:val="cs-CZ"/>
        </w:rPr>
      </w:pPr>
    </w:p>
    <w:p w14:paraId="26F39611" w14:textId="34E383A1" w:rsidR="00FD35AB"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03.4.74 Investice do institucionální kapacity a efektivnosti veřejné správy a veřejných služeb na celostátní, regionální a místní úrovni za účelem reforem, zlepšová</w:t>
      </w:r>
      <w:r w:rsidR="002E6E2A">
        <w:rPr>
          <w:rFonts w:ascii="Arial" w:eastAsia="Arial" w:hAnsi="Arial" w:cs="Arial"/>
          <w:color w:val="000000"/>
          <w:sz w:val="20"/>
          <w:lang w:val="cs-CZ"/>
        </w:rPr>
        <w:t>ní právní úpravy a řádné správy</w:t>
      </w:r>
    </w:p>
    <w:tbl>
      <w:tblPr>
        <w:tblW w:w="15920" w:type="dxa"/>
        <w:tblInd w:w="75" w:type="dxa"/>
        <w:tblCellMar>
          <w:left w:w="70" w:type="dxa"/>
          <w:right w:w="70" w:type="dxa"/>
        </w:tblCellMar>
        <w:tblLook w:val="04A0" w:firstRow="1" w:lastRow="0" w:firstColumn="1" w:lastColumn="0" w:noHBand="0" w:noVBand="1"/>
      </w:tblPr>
      <w:tblGrid>
        <w:gridCol w:w="638"/>
        <w:gridCol w:w="1860"/>
        <w:gridCol w:w="850"/>
        <w:gridCol w:w="977"/>
        <w:gridCol w:w="973"/>
        <w:gridCol w:w="874"/>
        <w:gridCol w:w="874"/>
        <w:gridCol w:w="874"/>
        <w:gridCol w:w="875"/>
        <w:gridCol w:w="875"/>
        <w:gridCol w:w="875"/>
        <w:gridCol w:w="874"/>
        <w:gridCol w:w="874"/>
        <w:gridCol w:w="874"/>
        <w:gridCol w:w="874"/>
        <w:gridCol w:w="1004"/>
        <w:gridCol w:w="875"/>
      </w:tblGrid>
      <w:tr w:rsidR="00840888" w:rsidRPr="00840888" w14:paraId="564EB30D" w14:textId="77777777" w:rsidTr="00840888">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1654A1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ID</w:t>
            </w:r>
          </w:p>
        </w:tc>
        <w:tc>
          <w:tcPr>
            <w:tcW w:w="1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D80A14"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C07842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665CD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Kategorie regionu (je-li relevantní)</w:t>
            </w:r>
          </w:p>
        </w:tc>
        <w:tc>
          <w:tcPr>
            <w:tcW w:w="980" w:type="dxa"/>
            <w:tcBorders>
              <w:top w:val="single" w:sz="4" w:space="0" w:color="auto"/>
              <w:left w:val="nil"/>
              <w:bottom w:val="nil"/>
              <w:right w:val="single" w:sz="4" w:space="0" w:color="auto"/>
            </w:tcBorders>
            <w:shd w:val="clear" w:color="000000" w:fill="FFFFFF"/>
            <w:vAlign w:val="center"/>
            <w:hideMark/>
          </w:tcPr>
          <w:p w14:paraId="4D0430D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4D2A3A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FDD7864"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E6060A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269D09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073575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3E995F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32A1E6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1DC871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14386AD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3682F0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5EE1B0E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134B998F"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Míra splnění</w:t>
            </w:r>
          </w:p>
        </w:tc>
      </w:tr>
      <w:tr w:rsidR="00840888" w:rsidRPr="00840888" w14:paraId="321CA6CE"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437EB17" w14:textId="77777777" w:rsidR="00840888" w:rsidRPr="00840888" w:rsidRDefault="00840888" w:rsidP="00840888">
            <w:pPr>
              <w:rPr>
                <w:rFonts w:ascii="Arial" w:eastAsia="Times New Roman" w:hAnsi="Arial" w:cs="Arial"/>
                <w:b/>
                <w:bCs/>
                <w:color w:val="000000"/>
                <w:sz w:val="14"/>
                <w:szCs w:val="14"/>
                <w:lang w:val="cs-CZ" w:eastAsia="cs-CZ"/>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14:paraId="1042A461"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7A8DA9A"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53D73D15"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34F212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0DB6A1F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6F61D0"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6082913"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r>
      <w:tr w:rsidR="00840888" w:rsidRPr="00840888" w14:paraId="6D562B4B"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037EBB4" w14:textId="77777777" w:rsidR="00840888" w:rsidRPr="00840888" w:rsidRDefault="00840888" w:rsidP="00840888">
            <w:pPr>
              <w:rPr>
                <w:rFonts w:ascii="Arial" w:eastAsia="Times New Roman" w:hAnsi="Arial" w:cs="Arial"/>
                <w:b/>
                <w:bCs/>
                <w:color w:val="000000"/>
                <w:sz w:val="14"/>
                <w:szCs w:val="14"/>
                <w:lang w:val="cs-CZ" w:eastAsia="cs-CZ"/>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14:paraId="4C5A1B14"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37CD9B11"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65C2BBFB"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14:paraId="7AB28018"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2CE918D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056B07B0"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612B00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5F79BC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720647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0BBA33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797066D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826305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C19DC6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2729A1A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032C5B85" w14:textId="77777777" w:rsidR="00840888" w:rsidRPr="00840888" w:rsidRDefault="00840888" w:rsidP="00840888">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57BF9F7C" w14:textId="77777777" w:rsidR="00840888" w:rsidRPr="00840888" w:rsidRDefault="00840888" w:rsidP="00840888">
            <w:pPr>
              <w:rPr>
                <w:rFonts w:ascii="Arial" w:eastAsia="Times New Roman" w:hAnsi="Arial" w:cs="Arial"/>
                <w:b/>
                <w:bCs/>
                <w:color w:val="000000"/>
                <w:sz w:val="14"/>
                <w:szCs w:val="14"/>
                <w:lang w:val="cs-CZ" w:eastAsia="cs-CZ"/>
              </w:rPr>
            </w:pPr>
          </w:p>
        </w:tc>
      </w:tr>
      <w:tr w:rsidR="00840888" w:rsidRPr="00840888" w14:paraId="05E30DDF"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DC7C586" w14:textId="77777777" w:rsidR="00840888" w:rsidRPr="00840888" w:rsidRDefault="00840888" w:rsidP="00840888">
            <w:pPr>
              <w:rPr>
                <w:rFonts w:ascii="Arial" w:eastAsia="Times New Roman" w:hAnsi="Arial" w:cs="Arial"/>
                <w:b/>
                <w:bCs/>
                <w:color w:val="000000"/>
                <w:sz w:val="14"/>
                <w:szCs w:val="14"/>
                <w:lang w:val="cs-CZ" w:eastAsia="cs-CZ"/>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14:paraId="13F1611A"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2E26D77F"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2325EDB1"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tcBorders>
              <w:top w:val="nil"/>
              <w:left w:val="nil"/>
              <w:bottom w:val="single" w:sz="4" w:space="0" w:color="auto"/>
              <w:right w:val="single" w:sz="4" w:space="0" w:color="auto"/>
            </w:tcBorders>
            <w:shd w:val="clear" w:color="000000" w:fill="FFFFFF"/>
            <w:vAlign w:val="center"/>
            <w:hideMark/>
          </w:tcPr>
          <w:p w14:paraId="011C6EE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AD65D7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4CCC931F"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F34D8F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9753BC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182066B"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43D36A0"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B65666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5C173651"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18BAFA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6DE2E3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749F2B8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955A68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M</w:t>
            </w:r>
          </w:p>
        </w:tc>
      </w:tr>
      <w:tr w:rsidR="00840888" w:rsidRPr="00840888" w14:paraId="33682EB3" w14:textId="77777777" w:rsidTr="00840888">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297E2A6" w14:textId="77777777" w:rsidR="00840888" w:rsidRPr="00840888" w:rsidRDefault="00840888" w:rsidP="00840888">
            <w:pPr>
              <w:rPr>
                <w:rFonts w:ascii="Arial" w:eastAsia="Times New Roman" w:hAnsi="Arial" w:cs="Arial"/>
                <w:b/>
                <w:bCs/>
                <w:color w:val="000000"/>
                <w:sz w:val="14"/>
                <w:szCs w:val="14"/>
                <w:lang w:val="cs-CZ" w:eastAsia="cs-CZ"/>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14:paraId="47DEF4D0" w14:textId="77777777" w:rsidR="00840888" w:rsidRPr="00840888" w:rsidRDefault="00840888" w:rsidP="00840888">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4F62A8CD"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6F2A721" w14:textId="77777777" w:rsidR="00840888" w:rsidRPr="00840888" w:rsidRDefault="00840888" w:rsidP="00840888">
            <w:pPr>
              <w:rPr>
                <w:rFonts w:ascii="Arial" w:eastAsia="Times New Roman" w:hAnsi="Arial" w:cs="Arial"/>
                <w:b/>
                <w:bCs/>
                <w:color w:val="000000"/>
                <w:sz w:val="14"/>
                <w:szCs w:val="14"/>
                <w:lang w:val="cs-CZ" w:eastAsia="cs-CZ"/>
              </w:rPr>
            </w:pPr>
          </w:p>
        </w:tc>
        <w:tc>
          <w:tcPr>
            <w:tcW w:w="980" w:type="dxa"/>
            <w:tcBorders>
              <w:top w:val="nil"/>
              <w:left w:val="nil"/>
              <w:bottom w:val="single" w:sz="4" w:space="0" w:color="auto"/>
              <w:right w:val="single" w:sz="4" w:space="0" w:color="auto"/>
            </w:tcBorders>
            <w:shd w:val="clear" w:color="000000" w:fill="FFFFFF"/>
            <w:vAlign w:val="center"/>
            <w:hideMark/>
          </w:tcPr>
          <w:p w14:paraId="76024A9E"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0F580FD"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56251D5"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7EA561C"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3F64238"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29573437"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17ADB9A"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1477092"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CB671C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E377F84"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5223A279"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940" w:type="dxa"/>
            <w:tcBorders>
              <w:top w:val="nil"/>
              <w:left w:val="nil"/>
              <w:bottom w:val="single" w:sz="4" w:space="0" w:color="auto"/>
              <w:right w:val="single" w:sz="4" w:space="0" w:color="auto"/>
            </w:tcBorders>
            <w:shd w:val="clear" w:color="000000" w:fill="FFFFFF"/>
            <w:vAlign w:val="center"/>
            <w:hideMark/>
          </w:tcPr>
          <w:p w14:paraId="3C1CECA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3CAF7D56" w14:textId="77777777" w:rsidR="00840888" w:rsidRPr="00840888" w:rsidRDefault="00840888" w:rsidP="00840888">
            <w:pPr>
              <w:jc w:val="center"/>
              <w:rPr>
                <w:rFonts w:ascii="Arial" w:eastAsia="Times New Roman" w:hAnsi="Arial" w:cs="Arial"/>
                <w:b/>
                <w:bCs/>
                <w:color w:val="000000"/>
                <w:sz w:val="14"/>
                <w:szCs w:val="14"/>
                <w:lang w:val="cs-CZ" w:eastAsia="cs-CZ"/>
              </w:rPr>
            </w:pPr>
            <w:r w:rsidRPr="00840888">
              <w:rPr>
                <w:rFonts w:ascii="Arial" w:eastAsia="Times New Roman" w:hAnsi="Arial" w:cs="Arial"/>
                <w:b/>
                <w:bCs/>
                <w:color w:val="000000"/>
                <w:sz w:val="14"/>
                <w:szCs w:val="14"/>
                <w:lang w:val="cs-CZ" w:eastAsia="cs-CZ"/>
              </w:rPr>
              <w:t>Ž</w:t>
            </w:r>
          </w:p>
        </w:tc>
      </w:tr>
      <w:tr w:rsidR="00840888" w:rsidRPr="00840888" w14:paraId="10F2F14D"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3ED4566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60000</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730485C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F8D695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F0E985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980" w:type="dxa"/>
            <w:tcBorders>
              <w:top w:val="nil"/>
              <w:left w:val="nil"/>
              <w:bottom w:val="nil"/>
              <w:right w:val="single" w:sz="4" w:space="0" w:color="auto"/>
            </w:tcBorders>
            <w:shd w:val="clear" w:color="auto" w:fill="auto"/>
            <w:vAlign w:val="center"/>
            <w:hideMark/>
          </w:tcPr>
          <w:p w14:paraId="2DF7908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19 977,000</w:t>
            </w:r>
          </w:p>
        </w:tc>
        <w:tc>
          <w:tcPr>
            <w:tcW w:w="880" w:type="dxa"/>
            <w:tcBorders>
              <w:top w:val="nil"/>
              <w:left w:val="nil"/>
              <w:bottom w:val="nil"/>
              <w:right w:val="single" w:sz="4" w:space="0" w:color="auto"/>
            </w:tcBorders>
            <w:shd w:val="clear" w:color="auto" w:fill="auto"/>
            <w:vAlign w:val="center"/>
            <w:hideMark/>
          </w:tcPr>
          <w:p w14:paraId="0D718BF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812C67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35581C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25F828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262,000</w:t>
            </w:r>
          </w:p>
        </w:tc>
        <w:tc>
          <w:tcPr>
            <w:tcW w:w="880" w:type="dxa"/>
            <w:tcBorders>
              <w:top w:val="nil"/>
              <w:left w:val="nil"/>
              <w:bottom w:val="nil"/>
              <w:right w:val="single" w:sz="4" w:space="0" w:color="auto"/>
            </w:tcBorders>
            <w:shd w:val="clear" w:color="auto" w:fill="auto"/>
            <w:vAlign w:val="center"/>
            <w:hideMark/>
          </w:tcPr>
          <w:p w14:paraId="051E945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2 627,000</w:t>
            </w:r>
          </w:p>
        </w:tc>
        <w:tc>
          <w:tcPr>
            <w:tcW w:w="880" w:type="dxa"/>
            <w:tcBorders>
              <w:top w:val="nil"/>
              <w:left w:val="nil"/>
              <w:bottom w:val="nil"/>
              <w:right w:val="single" w:sz="4" w:space="0" w:color="auto"/>
            </w:tcBorders>
            <w:shd w:val="clear" w:color="auto" w:fill="auto"/>
            <w:vAlign w:val="center"/>
            <w:hideMark/>
          </w:tcPr>
          <w:p w14:paraId="012C87C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5 615,000</w:t>
            </w:r>
          </w:p>
        </w:tc>
        <w:tc>
          <w:tcPr>
            <w:tcW w:w="880" w:type="dxa"/>
            <w:tcBorders>
              <w:top w:val="nil"/>
              <w:left w:val="nil"/>
              <w:bottom w:val="nil"/>
              <w:right w:val="single" w:sz="4" w:space="0" w:color="auto"/>
            </w:tcBorders>
            <w:shd w:val="clear" w:color="auto" w:fill="auto"/>
            <w:vAlign w:val="center"/>
            <w:hideMark/>
          </w:tcPr>
          <w:p w14:paraId="2462629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D6C3D2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C71E1E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7F46B7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26CB29D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8 504,000</w:t>
            </w:r>
          </w:p>
        </w:tc>
        <w:tc>
          <w:tcPr>
            <w:tcW w:w="880" w:type="dxa"/>
            <w:tcBorders>
              <w:top w:val="nil"/>
              <w:left w:val="nil"/>
              <w:bottom w:val="nil"/>
              <w:right w:val="single" w:sz="4" w:space="0" w:color="auto"/>
            </w:tcBorders>
            <w:shd w:val="clear" w:color="auto" w:fill="auto"/>
            <w:vAlign w:val="center"/>
            <w:hideMark/>
          </w:tcPr>
          <w:p w14:paraId="5B10073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42,569</w:t>
            </w:r>
          </w:p>
        </w:tc>
      </w:tr>
      <w:tr w:rsidR="00840888" w:rsidRPr="00840888" w14:paraId="51C5535D"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531FE2A6"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0946E5AE"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FE602D9"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6083957"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748C97D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50AA201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299F196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579E83F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7738BA9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65B57B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995,000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4038E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2 863,000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FD2FB2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BFB260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CEF6A7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7D3EB0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7EBAA2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3 958,000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6EA9E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0568DE68"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A1C0263"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3F943D26"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4FAA296"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E3C2EC9"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35DB83C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415B29F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1656C7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0AFF614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0244D72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162,000</w:t>
            </w:r>
          </w:p>
        </w:tc>
        <w:tc>
          <w:tcPr>
            <w:tcW w:w="880" w:type="dxa"/>
            <w:tcBorders>
              <w:top w:val="nil"/>
              <w:left w:val="nil"/>
              <w:bottom w:val="single" w:sz="4" w:space="0" w:color="auto"/>
              <w:right w:val="single" w:sz="4" w:space="0" w:color="auto"/>
            </w:tcBorders>
            <w:shd w:val="clear" w:color="auto" w:fill="auto"/>
            <w:vAlign w:val="center"/>
            <w:hideMark/>
          </w:tcPr>
          <w:p w14:paraId="25FE1F7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1 632,000</w:t>
            </w:r>
          </w:p>
        </w:tc>
        <w:tc>
          <w:tcPr>
            <w:tcW w:w="880" w:type="dxa"/>
            <w:tcBorders>
              <w:top w:val="nil"/>
              <w:left w:val="nil"/>
              <w:bottom w:val="single" w:sz="4" w:space="0" w:color="auto"/>
              <w:right w:val="single" w:sz="4" w:space="0" w:color="auto"/>
            </w:tcBorders>
            <w:shd w:val="clear" w:color="auto" w:fill="auto"/>
            <w:vAlign w:val="center"/>
            <w:hideMark/>
          </w:tcPr>
          <w:p w14:paraId="210A42E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2 752,000</w:t>
            </w:r>
          </w:p>
        </w:tc>
        <w:tc>
          <w:tcPr>
            <w:tcW w:w="880" w:type="dxa"/>
            <w:tcBorders>
              <w:top w:val="nil"/>
              <w:left w:val="nil"/>
              <w:bottom w:val="single" w:sz="4" w:space="0" w:color="auto"/>
              <w:right w:val="single" w:sz="4" w:space="0" w:color="auto"/>
            </w:tcBorders>
            <w:shd w:val="clear" w:color="auto" w:fill="auto"/>
            <w:vAlign w:val="center"/>
            <w:hideMark/>
          </w:tcPr>
          <w:p w14:paraId="21B619A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03AF5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6A0D2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9881AC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5788DF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4 546,000</w:t>
            </w:r>
          </w:p>
        </w:tc>
        <w:tc>
          <w:tcPr>
            <w:tcW w:w="880" w:type="dxa"/>
            <w:tcBorders>
              <w:top w:val="nil"/>
              <w:left w:val="nil"/>
              <w:bottom w:val="single" w:sz="4" w:space="0" w:color="auto"/>
              <w:right w:val="single" w:sz="4" w:space="0" w:color="auto"/>
            </w:tcBorders>
            <w:shd w:val="clear" w:color="auto" w:fill="auto"/>
            <w:vAlign w:val="center"/>
            <w:hideMark/>
          </w:tcPr>
          <w:p w14:paraId="2CEC6EF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0CFB2D5D"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232900D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60000</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77130A4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07D560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5359178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980" w:type="dxa"/>
            <w:tcBorders>
              <w:top w:val="nil"/>
              <w:left w:val="nil"/>
              <w:bottom w:val="nil"/>
              <w:right w:val="single" w:sz="4" w:space="0" w:color="auto"/>
            </w:tcBorders>
            <w:shd w:val="clear" w:color="auto" w:fill="auto"/>
            <w:vAlign w:val="center"/>
            <w:hideMark/>
          </w:tcPr>
          <w:p w14:paraId="1BE8E54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2 006,000</w:t>
            </w:r>
          </w:p>
        </w:tc>
        <w:tc>
          <w:tcPr>
            <w:tcW w:w="880" w:type="dxa"/>
            <w:tcBorders>
              <w:top w:val="nil"/>
              <w:left w:val="nil"/>
              <w:bottom w:val="nil"/>
              <w:right w:val="single" w:sz="4" w:space="0" w:color="auto"/>
            </w:tcBorders>
            <w:shd w:val="clear" w:color="auto" w:fill="auto"/>
            <w:vAlign w:val="center"/>
            <w:hideMark/>
          </w:tcPr>
          <w:p w14:paraId="50B1581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E8E69F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884E8B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DE1DF6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21,000</w:t>
            </w:r>
          </w:p>
        </w:tc>
        <w:tc>
          <w:tcPr>
            <w:tcW w:w="880" w:type="dxa"/>
            <w:tcBorders>
              <w:top w:val="nil"/>
              <w:left w:val="nil"/>
              <w:bottom w:val="nil"/>
              <w:right w:val="single" w:sz="4" w:space="0" w:color="auto"/>
            </w:tcBorders>
            <w:shd w:val="clear" w:color="auto" w:fill="auto"/>
            <w:vAlign w:val="center"/>
            <w:hideMark/>
          </w:tcPr>
          <w:p w14:paraId="7D450BC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296,000</w:t>
            </w:r>
          </w:p>
        </w:tc>
        <w:tc>
          <w:tcPr>
            <w:tcW w:w="880" w:type="dxa"/>
            <w:tcBorders>
              <w:top w:val="nil"/>
              <w:left w:val="nil"/>
              <w:bottom w:val="nil"/>
              <w:right w:val="single" w:sz="4" w:space="0" w:color="auto"/>
            </w:tcBorders>
            <w:shd w:val="clear" w:color="auto" w:fill="auto"/>
            <w:vAlign w:val="center"/>
            <w:hideMark/>
          </w:tcPr>
          <w:p w14:paraId="5CE1871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630,000</w:t>
            </w:r>
          </w:p>
        </w:tc>
        <w:tc>
          <w:tcPr>
            <w:tcW w:w="880" w:type="dxa"/>
            <w:tcBorders>
              <w:top w:val="nil"/>
              <w:left w:val="nil"/>
              <w:bottom w:val="nil"/>
              <w:right w:val="single" w:sz="4" w:space="0" w:color="auto"/>
            </w:tcBorders>
            <w:shd w:val="clear" w:color="auto" w:fill="auto"/>
            <w:vAlign w:val="center"/>
            <w:hideMark/>
          </w:tcPr>
          <w:p w14:paraId="5308676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472CEE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378458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80FAB5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nil"/>
              <w:right w:val="single" w:sz="4" w:space="0" w:color="auto"/>
            </w:tcBorders>
            <w:shd w:val="clear" w:color="auto" w:fill="auto"/>
            <w:vAlign w:val="center"/>
            <w:hideMark/>
          </w:tcPr>
          <w:p w14:paraId="0C2E543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947,000</w:t>
            </w:r>
          </w:p>
        </w:tc>
        <w:tc>
          <w:tcPr>
            <w:tcW w:w="880" w:type="dxa"/>
            <w:tcBorders>
              <w:top w:val="nil"/>
              <w:left w:val="nil"/>
              <w:bottom w:val="nil"/>
              <w:right w:val="single" w:sz="4" w:space="0" w:color="auto"/>
            </w:tcBorders>
            <w:shd w:val="clear" w:color="auto" w:fill="auto"/>
            <w:vAlign w:val="center"/>
            <w:hideMark/>
          </w:tcPr>
          <w:p w14:paraId="6861DA2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47,208</w:t>
            </w:r>
          </w:p>
        </w:tc>
      </w:tr>
      <w:tr w:rsidR="00840888" w:rsidRPr="00840888" w14:paraId="390D5F74"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B0813CA"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1FEBFF68"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BB1F626"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53CE094"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7B80604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06F9C3A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36D3CB4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762AA5C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5D25CF1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E8616B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95,000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23671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210,000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E37B98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D60CE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0BA844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E71DA8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0D9707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313,000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0BC762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37E963FC"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5113C233"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7E0E0F4A"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C6D983E"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3768739"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452E638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1FAE343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79164F4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67ECA8E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7D1818F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13,000</w:t>
            </w:r>
          </w:p>
        </w:tc>
        <w:tc>
          <w:tcPr>
            <w:tcW w:w="880" w:type="dxa"/>
            <w:tcBorders>
              <w:top w:val="nil"/>
              <w:left w:val="nil"/>
              <w:bottom w:val="single" w:sz="4" w:space="0" w:color="auto"/>
              <w:right w:val="single" w:sz="4" w:space="0" w:color="auto"/>
            </w:tcBorders>
            <w:shd w:val="clear" w:color="auto" w:fill="auto"/>
            <w:vAlign w:val="center"/>
            <w:hideMark/>
          </w:tcPr>
          <w:p w14:paraId="2082389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201,000</w:t>
            </w:r>
          </w:p>
        </w:tc>
        <w:tc>
          <w:tcPr>
            <w:tcW w:w="880" w:type="dxa"/>
            <w:tcBorders>
              <w:top w:val="nil"/>
              <w:left w:val="nil"/>
              <w:bottom w:val="single" w:sz="4" w:space="0" w:color="auto"/>
              <w:right w:val="single" w:sz="4" w:space="0" w:color="auto"/>
            </w:tcBorders>
            <w:shd w:val="clear" w:color="auto" w:fill="auto"/>
            <w:vAlign w:val="center"/>
            <w:hideMark/>
          </w:tcPr>
          <w:p w14:paraId="3EC1945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420,000</w:t>
            </w:r>
          </w:p>
        </w:tc>
        <w:tc>
          <w:tcPr>
            <w:tcW w:w="880" w:type="dxa"/>
            <w:tcBorders>
              <w:top w:val="nil"/>
              <w:left w:val="nil"/>
              <w:bottom w:val="single" w:sz="4" w:space="0" w:color="auto"/>
              <w:right w:val="single" w:sz="4" w:space="0" w:color="auto"/>
            </w:tcBorders>
            <w:shd w:val="clear" w:color="auto" w:fill="auto"/>
            <w:vAlign w:val="center"/>
            <w:hideMark/>
          </w:tcPr>
          <w:p w14:paraId="236533F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863F9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542C0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CDAFD0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82949A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634,000</w:t>
            </w:r>
          </w:p>
        </w:tc>
        <w:tc>
          <w:tcPr>
            <w:tcW w:w="880" w:type="dxa"/>
            <w:tcBorders>
              <w:top w:val="nil"/>
              <w:left w:val="nil"/>
              <w:bottom w:val="single" w:sz="4" w:space="0" w:color="auto"/>
              <w:right w:val="single" w:sz="4" w:space="0" w:color="auto"/>
            </w:tcBorders>
            <w:shd w:val="clear" w:color="auto" w:fill="auto"/>
            <w:vAlign w:val="center"/>
            <w:hideMark/>
          </w:tcPr>
          <w:p w14:paraId="12FABB2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418D2142"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FAD9E9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68000</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12A95A0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5F066B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72A2151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980" w:type="dxa"/>
            <w:tcBorders>
              <w:top w:val="nil"/>
              <w:left w:val="nil"/>
              <w:bottom w:val="nil"/>
              <w:right w:val="single" w:sz="4" w:space="0" w:color="auto"/>
            </w:tcBorders>
            <w:shd w:val="clear" w:color="auto" w:fill="auto"/>
            <w:vAlign w:val="center"/>
            <w:hideMark/>
          </w:tcPr>
          <w:p w14:paraId="4F10B2B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615,000</w:t>
            </w:r>
          </w:p>
        </w:tc>
        <w:tc>
          <w:tcPr>
            <w:tcW w:w="880" w:type="dxa"/>
            <w:tcBorders>
              <w:top w:val="nil"/>
              <w:left w:val="nil"/>
              <w:bottom w:val="nil"/>
              <w:right w:val="single" w:sz="4" w:space="0" w:color="auto"/>
            </w:tcBorders>
            <w:shd w:val="clear" w:color="auto" w:fill="auto"/>
            <w:vAlign w:val="center"/>
            <w:hideMark/>
          </w:tcPr>
          <w:p w14:paraId="4EA4940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ACEEAC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F122DF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1,770</w:t>
            </w:r>
          </w:p>
        </w:tc>
        <w:tc>
          <w:tcPr>
            <w:tcW w:w="880" w:type="dxa"/>
            <w:tcBorders>
              <w:top w:val="nil"/>
              <w:left w:val="nil"/>
              <w:bottom w:val="nil"/>
              <w:right w:val="single" w:sz="4" w:space="0" w:color="auto"/>
            </w:tcBorders>
            <w:shd w:val="clear" w:color="auto" w:fill="auto"/>
            <w:vAlign w:val="center"/>
            <w:hideMark/>
          </w:tcPr>
          <w:p w14:paraId="477A036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99,180</w:t>
            </w:r>
          </w:p>
        </w:tc>
        <w:tc>
          <w:tcPr>
            <w:tcW w:w="880" w:type="dxa"/>
            <w:tcBorders>
              <w:top w:val="nil"/>
              <w:left w:val="nil"/>
              <w:bottom w:val="nil"/>
              <w:right w:val="single" w:sz="4" w:space="0" w:color="auto"/>
            </w:tcBorders>
            <w:shd w:val="clear" w:color="auto" w:fill="auto"/>
            <w:vAlign w:val="center"/>
            <w:hideMark/>
          </w:tcPr>
          <w:p w14:paraId="2EE1090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65,810</w:t>
            </w:r>
          </w:p>
        </w:tc>
        <w:tc>
          <w:tcPr>
            <w:tcW w:w="880" w:type="dxa"/>
            <w:tcBorders>
              <w:top w:val="nil"/>
              <w:left w:val="nil"/>
              <w:bottom w:val="nil"/>
              <w:right w:val="single" w:sz="4" w:space="0" w:color="auto"/>
            </w:tcBorders>
            <w:shd w:val="clear" w:color="auto" w:fill="auto"/>
            <w:vAlign w:val="center"/>
            <w:hideMark/>
          </w:tcPr>
          <w:p w14:paraId="0A24AC3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251,270</w:t>
            </w:r>
          </w:p>
        </w:tc>
        <w:tc>
          <w:tcPr>
            <w:tcW w:w="880" w:type="dxa"/>
            <w:tcBorders>
              <w:top w:val="nil"/>
              <w:left w:val="nil"/>
              <w:bottom w:val="nil"/>
              <w:right w:val="single" w:sz="4" w:space="0" w:color="auto"/>
            </w:tcBorders>
            <w:shd w:val="clear" w:color="auto" w:fill="auto"/>
            <w:vAlign w:val="center"/>
            <w:hideMark/>
          </w:tcPr>
          <w:p w14:paraId="3BEE61F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33100D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9FB311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496530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5FB5AE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418,030</w:t>
            </w:r>
          </w:p>
        </w:tc>
        <w:tc>
          <w:tcPr>
            <w:tcW w:w="880" w:type="dxa"/>
            <w:tcBorders>
              <w:top w:val="nil"/>
              <w:left w:val="nil"/>
              <w:bottom w:val="nil"/>
              <w:right w:val="single" w:sz="4" w:space="0" w:color="auto"/>
            </w:tcBorders>
            <w:shd w:val="clear" w:color="auto" w:fill="auto"/>
            <w:vAlign w:val="center"/>
            <w:hideMark/>
          </w:tcPr>
          <w:p w14:paraId="26DB2E5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67,972</w:t>
            </w:r>
          </w:p>
        </w:tc>
      </w:tr>
      <w:tr w:rsidR="00840888" w:rsidRPr="00840888" w14:paraId="63542362"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5E41CB86"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1D29B8C3"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4A1C596"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D2606E7"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26E3859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189ACA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9B0791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222A16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596D24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60DFEE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1F8542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EC0F36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B47BF4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A83019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EE0F5B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740457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7B62FC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71438331"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2DDE5FFD"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47152A47"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203B692"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37FAB2C"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43D690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6AA13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B8244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55B6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3F8C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4F9280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5805BD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850512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C45026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7B0C9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19E62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43D848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71239E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4C3D3174"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60CE4D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68000</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77B2DCB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3C99067"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6B57D1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980" w:type="dxa"/>
            <w:tcBorders>
              <w:top w:val="nil"/>
              <w:left w:val="nil"/>
              <w:bottom w:val="nil"/>
              <w:right w:val="single" w:sz="4" w:space="0" w:color="auto"/>
            </w:tcBorders>
            <w:shd w:val="clear" w:color="auto" w:fill="auto"/>
            <w:vAlign w:val="center"/>
            <w:hideMark/>
          </w:tcPr>
          <w:p w14:paraId="7B8C7B4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63,000</w:t>
            </w:r>
          </w:p>
        </w:tc>
        <w:tc>
          <w:tcPr>
            <w:tcW w:w="880" w:type="dxa"/>
            <w:tcBorders>
              <w:top w:val="nil"/>
              <w:left w:val="nil"/>
              <w:bottom w:val="nil"/>
              <w:right w:val="single" w:sz="4" w:space="0" w:color="auto"/>
            </w:tcBorders>
            <w:shd w:val="clear" w:color="auto" w:fill="auto"/>
            <w:vAlign w:val="center"/>
            <w:hideMark/>
          </w:tcPr>
          <w:p w14:paraId="576214C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8C4FDB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84688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0,230</w:t>
            </w:r>
          </w:p>
        </w:tc>
        <w:tc>
          <w:tcPr>
            <w:tcW w:w="880" w:type="dxa"/>
            <w:tcBorders>
              <w:top w:val="nil"/>
              <w:left w:val="nil"/>
              <w:bottom w:val="nil"/>
              <w:right w:val="single" w:sz="4" w:space="0" w:color="auto"/>
            </w:tcBorders>
            <w:shd w:val="clear" w:color="auto" w:fill="auto"/>
            <w:vAlign w:val="center"/>
            <w:hideMark/>
          </w:tcPr>
          <w:p w14:paraId="74F7742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9,820</w:t>
            </w:r>
          </w:p>
        </w:tc>
        <w:tc>
          <w:tcPr>
            <w:tcW w:w="880" w:type="dxa"/>
            <w:tcBorders>
              <w:top w:val="nil"/>
              <w:left w:val="nil"/>
              <w:bottom w:val="nil"/>
              <w:right w:val="single" w:sz="4" w:space="0" w:color="auto"/>
            </w:tcBorders>
            <w:shd w:val="clear" w:color="auto" w:fill="auto"/>
            <w:vAlign w:val="center"/>
            <w:hideMark/>
          </w:tcPr>
          <w:p w14:paraId="5430B5D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6,190</w:t>
            </w:r>
          </w:p>
        </w:tc>
        <w:tc>
          <w:tcPr>
            <w:tcW w:w="880" w:type="dxa"/>
            <w:tcBorders>
              <w:top w:val="nil"/>
              <w:left w:val="nil"/>
              <w:bottom w:val="nil"/>
              <w:right w:val="single" w:sz="4" w:space="0" w:color="auto"/>
            </w:tcBorders>
            <w:shd w:val="clear" w:color="auto" w:fill="auto"/>
            <w:vAlign w:val="center"/>
            <w:hideMark/>
          </w:tcPr>
          <w:p w14:paraId="6BBBFA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8,730</w:t>
            </w:r>
          </w:p>
        </w:tc>
        <w:tc>
          <w:tcPr>
            <w:tcW w:w="880" w:type="dxa"/>
            <w:tcBorders>
              <w:top w:val="nil"/>
              <w:left w:val="nil"/>
              <w:bottom w:val="nil"/>
              <w:right w:val="single" w:sz="4" w:space="0" w:color="auto"/>
            </w:tcBorders>
            <w:shd w:val="clear" w:color="auto" w:fill="auto"/>
            <w:vAlign w:val="center"/>
            <w:hideMark/>
          </w:tcPr>
          <w:p w14:paraId="257C559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DEC9B3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90C1FA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127B8E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BEDC20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24,970</w:t>
            </w:r>
          </w:p>
        </w:tc>
        <w:tc>
          <w:tcPr>
            <w:tcW w:w="880" w:type="dxa"/>
            <w:tcBorders>
              <w:top w:val="nil"/>
              <w:left w:val="nil"/>
              <w:bottom w:val="nil"/>
              <w:right w:val="single" w:sz="4" w:space="0" w:color="auto"/>
            </w:tcBorders>
            <w:shd w:val="clear" w:color="auto" w:fill="auto"/>
            <w:vAlign w:val="center"/>
            <w:hideMark/>
          </w:tcPr>
          <w:p w14:paraId="2B3931E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39,635</w:t>
            </w:r>
          </w:p>
        </w:tc>
      </w:tr>
      <w:tr w:rsidR="00840888" w:rsidRPr="00840888" w14:paraId="1F617F0F"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629F1F9B"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0D8C6FCD"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FA9D3ED"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1341DBE"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1765B20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36C871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588876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1BF5DC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57D493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26EF6D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5FF3AA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B797E7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EF49F3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8D366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6C1DE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3C4DC2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23E697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37466A53"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7A542116"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08864381"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1D85EBE"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4B75F51"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09D0541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358EA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AF6AC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9A0054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AF8068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81E712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2E7F3C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77F265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3EF327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A70156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F1511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CC1401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CC39C0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4FCCFB1D"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2369D68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68001</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2E58EEB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 v oblasti řízení kvality</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4CA8FE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9FED42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980" w:type="dxa"/>
            <w:tcBorders>
              <w:top w:val="nil"/>
              <w:left w:val="nil"/>
              <w:bottom w:val="nil"/>
              <w:right w:val="single" w:sz="4" w:space="0" w:color="auto"/>
            </w:tcBorders>
            <w:shd w:val="clear" w:color="auto" w:fill="auto"/>
            <w:vAlign w:val="center"/>
            <w:hideMark/>
          </w:tcPr>
          <w:p w14:paraId="101DAA1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29,000</w:t>
            </w:r>
          </w:p>
        </w:tc>
        <w:tc>
          <w:tcPr>
            <w:tcW w:w="880" w:type="dxa"/>
            <w:tcBorders>
              <w:top w:val="nil"/>
              <w:left w:val="nil"/>
              <w:bottom w:val="nil"/>
              <w:right w:val="single" w:sz="4" w:space="0" w:color="auto"/>
            </w:tcBorders>
            <w:shd w:val="clear" w:color="auto" w:fill="auto"/>
            <w:vAlign w:val="center"/>
            <w:hideMark/>
          </w:tcPr>
          <w:p w14:paraId="5D1330F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44A29D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C33896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02AF0A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auto" w:fill="auto"/>
            <w:vAlign w:val="center"/>
            <w:hideMark/>
          </w:tcPr>
          <w:p w14:paraId="5A5F5EB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8,050</w:t>
            </w:r>
          </w:p>
        </w:tc>
        <w:tc>
          <w:tcPr>
            <w:tcW w:w="880" w:type="dxa"/>
            <w:tcBorders>
              <w:top w:val="nil"/>
              <w:left w:val="nil"/>
              <w:bottom w:val="nil"/>
              <w:right w:val="single" w:sz="4" w:space="0" w:color="auto"/>
            </w:tcBorders>
            <w:shd w:val="clear" w:color="auto" w:fill="auto"/>
            <w:vAlign w:val="center"/>
            <w:hideMark/>
          </w:tcPr>
          <w:p w14:paraId="17C215E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33,300</w:t>
            </w:r>
          </w:p>
        </w:tc>
        <w:tc>
          <w:tcPr>
            <w:tcW w:w="880" w:type="dxa"/>
            <w:tcBorders>
              <w:top w:val="nil"/>
              <w:left w:val="nil"/>
              <w:bottom w:val="nil"/>
              <w:right w:val="single" w:sz="4" w:space="0" w:color="auto"/>
            </w:tcBorders>
            <w:shd w:val="clear" w:color="auto" w:fill="auto"/>
            <w:vAlign w:val="center"/>
            <w:hideMark/>
          </w:tcPr>
          <w:p w14:paraId="0BCE52C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54B31D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0C3641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2E28FA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8AEE63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42,350</w:t>
            </w:r>
          </w:p>
        </w:tc>
        <w:tc>
          <w:tcPr>
            <w:tcW w:w="880" w:type="dxa"/>
            <w:tcBorders>
              <w:top w:val="nil"/>
              <w:left w:val="nil"/>
              <w:bottom w:val="nil"/>
              <w:right w:val="single" w:sz="4" w:space="0" w:color="auto"/>
            </w:tcBorders>
            <w:shd w:val="clear" w:color="auto" w:fill="auto"/>
            <w:vAlign w:val="center"/>
            <w:hideMark/>
          </w:tcPr>
          <w:p w14:paraId="48C1D9C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146,034</w:t>
            </w:r>
          </w:p>
        </w:tc>
      </w:tr>
      <w:tr w:rsidR="00840888" w:rsidRPr="00840888" w14:paraId="405BBCBF"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05CA747C"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42E37092"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A625B5F"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A58062F"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3DF1F52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657400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C3FF20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C3409A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363E8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AD18DC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43903C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52C62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487BBD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63E683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33023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8C9F23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65E07B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04CE1D19"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A64B21F"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241214B9"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4B1BF4B"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2048208"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51FD21F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0C7E8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560038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F7401E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07A973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A07388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11357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93CF19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0C31A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D89AD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B8400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F7C5EC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14CA7C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3595787E" w14:textId="77777777" w:rsidTr="00840888">
        <w:trPr>
          <w:trHeight w:hRule="exact" w:val="232"/>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723EEF57"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68001</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7370E3B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 v oblasti řízení kvality</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CDC370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738AC4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980" w:type="dxa"/>
            <w:tcBorders>
              <w:top w:val="nil"/>
              <w:left w:val="nil"/>
              <w:bottom w:val="nil"/>
              <w:right w:val="single" w:sz="4" w:space="0" w:color="auto"/>
            </w:tcBorders>
            <w:shd w:val="clear" w:color="auto" w:fill="auto"/>
            <w:vAlign w:val="center"/>
            <w:hideMark/>
          </w:tcPr>
          <w:p w14:paraId="1436601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3,000</w:t>
            </w:r>
          </w:p>
        </w:tc>
        <w:tc>
          <w:tcPr>
            <w:tcW w:w="880" w:type="dxa"/>
            <w:tcBorders>
              <w:top w:val="nil"/>
              <w:left w:val="nil"/>
              <w:bottom w:val="nil"/>
              <w:right w:val="single" w:sz="4" w:space="0" w:color="auto"/>
            </w:tcBorders>
            <w:shd w:val="clear" w:color="auto" w:fill="auto"/>
            <w:vAlign w:val="center"/>
            <w:hideMark/>
          </w:tcPr>
          <w:p w14:paraId="050FFCB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15F979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B47F0F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1F3535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ED24D1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2,950</w:t>
            </w:r>
          </w:p>
        </w:tc>
        <w:tc>
          <w:tcPr>
            <w:tcW w:w="880" w:type="dxa"/>
            <w:tcBorders>
              <w:top w:val="nil"/>
              <w:left w:val="nil"/>
              <w:bottom w:val="nil"/>
              <w:right w:val="single" w:sz="4" w:space="0" w:color="auto"/>
            </w:tcBorders>
            <w:shd w:val="clear" w:color="auto" w:fill="auto"/>
            <w:vAlign w:val="center"/>
            <w:hideMark/>
          </w:tcPr>
          <w:p w14:paraId="04E41C4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2,700</w:t>
            </w:r>
          </w:p>
        </w:tc>
        <w:tc>
          <w:tcPr>
            <w:tcW w:w="880" w:type="dxa"/>
            <w:tcBorders>
              <w:top w:val="nil"/>
              <w:left w:val="nil"/>
              <w:bottom w:val="nil"/>
              <w:right w:val="single" w:sz="4" w:space="0" w:color="auto"/>
            </w:tcBorders>
            <w:shd w:val="clear" w:color="auto" w:fill="auto"/>
            <w:vAlign w:val="center"/>
            <w:hideMark/>
          </w:tcPr>
          <w:p w14:paraId="3E1DE77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C44F2D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C2496D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2BC930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76209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5,650</w:t>
            </w:r>
          </w:p>
        </w:tc>
        <w:tc>
          <w:tcPr>
            <w:tcW w:w="880" w:type="dxa"/>
            <w:tcBorders>
              <w:top w:val="nil"/>
              <w:left w:val="nil"/>
              <w:bottom w:val="nil"/>
              <w:right w:val="single" w:sz="4" w:space="0" w:color="auto"/>
            </w:tcBorders>
            <w:shd w:val="clear" w:color="auto" w:fill="auto"/>
            <w:vAlign w:val="center"/>
            <w:hideMark/>
          </w:tcPr>
          <w:p w14:paraId="670E95C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188,333</w:t>
            </w:r>
          </w:p>
        </w:tc>
      </w:tr>
      <w:tr w:rsidR="00840888" w:rsidRPr="00840888" w14:paraId="569E74D1"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423C5B41"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2085B285"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41E4CFE"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97C7A59"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176E8C8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71151D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E7C525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26F627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620618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34AD8D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6D13D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89FA66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FBFA23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5BE3DD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E574D9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648E76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5E17DA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38FBD5D3" w14:textId="77777777" w:rsidTr="00840888">
        <w:trPr>
          <w:trHeight w:hRule="exact" w:val="232"/>
        </w:trPr>
        <w:tc>
          <w:tcPr>
            <w:tcW w:w="640" w:type="dxa"/>
            <w:vMerge/>
            <w:tcBorders>
              <w:top w:val="nil"/>
              <w:left w:val="single" w:sz="4" w:space="0" w:color="auto"/>
              <w:bottom w:val="single" w:sz="4" w:space="0" w:color="000000"/>
              <w:right w:val="single" w:sz="4" w:space="0" w:color="auto"/>
            </w:tcBorders>
            <w:vAlign w:val="center"/>
            <w:hideMark/>
          </w:tcPr>
          <w:p w14:paraId="17F44727"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115A52C0"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1255056"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F87E31D"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3B208A4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65AF3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FFC09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8D865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76713F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874CC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DE128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9795F3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045C3C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F746F1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0D8038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A0D2BD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57950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0FE72CC4" w14:textId="77777777" w:rsidTr="00A91BEF">
        <w:trPr>
          <w:trHeight w:val="340"/>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3046DBA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68002</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2965E4B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  v oblasti strategického a projektového řízení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50355A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BF900F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980" w:type="dxa"/>
            <w:tcBorders>
              <w:top w:val="nil"/>
              <w:left w:val="nil"/>
              <w:bottom w:val="single" w:sz="4" w:space="0" w:color="auto"/>
              <w:right w:val="single" w:sz="4" w:space="0" w:color="auto"/>
            </w:tcBorders>
            <w:shd w:val="clear" w:color="auto" w:fill="auto"/>
            <w:vAlign w:val="center"/>
            <w:hideMark/>
          </w:tcPr>
          <w:p w14:paraId="0AA5F64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301,000</w:t>
            </w:r>
          </w:p>
        </w:tc>
        <w:tc>
          <w:tcPr>
            <w:tcW w:w="880" w:type="dxa"/>
            <w:tcBorders>
              <w:top w:val="nil"/>
              <w:left w:val="nil"/>
              <w:bottom w:val="single" w:sz="4" w:space="0" w:color="auto"/>
              <w:right w:val="single" w:sz="4" w:space="0" w:color="auto"/>
            </w:tcBorders>
            <w:shd w:val="clear" w:color="auto" w:fill="auto"/>
            <w:vAlign w:val="center"/>
            <w:hideMark/>
          </w:tcPr>
          <w:p w14:paraId="1BE56AF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4B446A0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1AA47D8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vAlign w:val="center"/>
            <w:hideMark/>
          </w:tcPr>
          <w:p w14:paraId="336FE4C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24,880</w:t>
            </w:r>
          </w:p>
        </w:tc>
        <w:tc>
          <w:tcPr>
            <w:tcW w:w="880" w:type="dxa"/>
            <w:tcBorders>
              <w:top w:val="nil"/>
              <w:left w:val="nil"/>
              <w:bottom w:val="single" w:sz="4" w:space="0" w:color="auto"/>
              <w:right w:val="single" w:sz="4" w:space="0" w:color="auto"/>
            </w:tcBorders>
            <w:shd w:val="clear" w:color="auto" w:fill="auto"/>
            <w:vAlign w:val="center"/>
            <w:hideMark/>
          </w:tcPr>
          <w:p w14:paraId="66A980F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51,820</w:t>
            </w:r>
          </w:p>
        </w:tc>
        <w:tc>
          <w:tcPr>
            <w:tcW w:w="880" w:type="dxa"/>
            <w:tcBorders>
              <w:top w:val="nil"/>
              <w:left w:val="nil"/>
              <w:bottom w:val="single" w:sz="4" w:space="0" w:color="auto"/>
              <w:right w:val="single" w:sz="4" w:space="0" w:color="auto"/>
            </w:tcBorders>
            <w:shd w:val="clear" w:color="auto" w:fill="auto"/>
            <w:vAlign w:val="center"/>
            <w:hideMark/>
          </w:tcPr>
          <w:p w14:paraId="0FC62EB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173,750</w:t>
            </w:r>
          </w:p>
        </w:tc>
        <w:tc>
          <w:tcPr>
            <w:tcW w:w="880" w:type="dxa"/>
            <w:tcBorders>
              <w:top w:val="nil"/>
              <w:left w:val="nil"/>
              <w:bottom w:val="single" w:sz="4" w:space="0" w:color="auto"/>
              <w:right w:val="single" w:sz="4" w:space="0" w:color="auto"/>
            </w:tcBorders>
            <w:shd w:val="clear" w:color="auto" w:fill="auto"/>
            <w:vAlign w:val="center"/>
            <w:hideMark/>
          </w:tcPr>
          <w:p w14:paraId="40FA32C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7A435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76855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7E777C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5EA3D0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250,450</w:t>
            </w:r>
          </w:p>
        </w:tc>
        <w:tc>
          <w:tcPr>
            <w:tcW w:w="880" w:type="dxa"/>
            <w:tcBorders>
              <w:top w:val="nil"/>
              <w:left w:val="nil"/>
              <w:bottom w:val="single" w:sz="4" w:space="0" w:color="auto"/>
              <w:right w:val="single" w:sz="4" w:space="0" w:color="auto"/>
            </w:tcBorders>
            <w:shd w:val="clear" w:color="auto" w:fill="auto"/>
            <w:vAlign w:val="center"/>
            <w:hideMark/>
          </w:tcPr>
          <w:p w14:paraId="6634BA9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83,206</w:t>
            </w:r>
          </w:p>
        </w:tc>
      </w:tr>
      <w:tr w:rsidR="00840888" w:rsidRPr="00840888" w14:paraId="39EDCD57" w14:textId="77777777" w:rsidTr="00A91BEF">
        <w:trPr>
          <w:trHeight w:val="340"/>
        </w:trPr>
        <w:tc>
          <w:tcPr>
            <w:tcW w:w="640" w:type="dxa"/>
            <w:vMerge/>
            <w:tcBorders>
              <w:top w:val="nil"/>
              <w:left w:val="single" w:sz="4" w:space="0" w:color="auto"/>
              <w:bottom w:val="single" w:sz="4" w:space="0" w:color="000000"/>
              <w:right w:val="single" w:sz="4" w:space="0" w:color="auto"/>
            </w:tcBorders>
            <w:vAlign w:val="center"/>
            <w:hideMark/>
          </w:tcPr>
          <w:p w14:paraId="32AD22FC"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3723F7D6"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9E7A1DC"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6395BF3"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218949D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E2079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C4AAAF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78E720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EB9EA6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D63876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E4D730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C427E6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DF80B5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FD8AF7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6CF9F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261D373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9DCE29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3889F06D" w14:textId="77777777" w:rsidTr="00A91BEF">
        <w:trPr>
          <w:trHeight w:val="340"/>
        </w:trPr>
        <w:tc>
          <w:tcPr>
            <w:tcW w:w="640" w:type="dxa"/>
            <w:vMerge/>
            <w:tcBorders>
              <w:top w:val="nil"/>
              <w:left w:val="single" w:sz="4" w:space="0" w:color="auto"/>
              <w:bottom w:val="single" w:sz="4" w:space="0" w:color="000000"/>
              <w:right w:val="single" w:sz="4" w:space="0" w:color="auto"/>
            </w:tcBorders>
            <w:vAlign w:val="center"/>
            <w:hideMark/>
          </w:tcPr>
          <w:p w14:paraId="72EB6090"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4AE46BF9"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80F0C72"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45D34DA"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76C154F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1E4F29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3BCF6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C901A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F4BEAE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E7EAD9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CD5D99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08382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D5E73D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B8F439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21FF58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F1C274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61C58D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499BFDC6"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1ED94CD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68002</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11663D6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  v oblasti strategického a projektového řízení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1A4F96E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7A5DE68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980" w:type="dxa"/>
            <w:tcBorders>
              <w:top w:val="nil"/>
              <w:left w:val="nil"/>
              <w:bottom w:val="nil"/>
              <w:right w:val="single" w:sz="4" w:space="0" w:color="auto"/>
            </w:tcBorders>
            <w:shd w:val="clear" w:color="auto" w:fill="auto"/>
            <w:vAlign w:val="center"/>
            <w:hideMark/>
          </w:tcPr>
          <w:p w14:paraId="7F60A59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30,000</w:t>
            </w:r>
          </w:p>
        </w:tc>
        <w:tc>
          <w:tcPr>
            <w:tcW w:w="880" w:type="dxa"/>
            <w:tcBorders>
              <w:top w:val="nil"/>
              <w:left w:val="nil"/>
              <w:bottom w:val="nil"/>
              <w:right w:val="single" w:sz="4" w:space="0" w:color="auto"/>
            </w:tcBorders>
            <w:shd w:val="clear" w:color="auto" w:fill="auto"/>
            <w:vAlign w:val="center"/>
            <w:hideMark/>
          </w:tcPr>
          <w:p w14:paraId="39BEBEF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5B113D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552566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2CA661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0,120</w:t>
            </w:r>
          </w:p>
        </w:tc>
        <w:tc>
          <w:tcPr>
            <w:tcW w:w="880" w:type="dxa"/>
            <w:tcBorders>
              <w:top w:val="nil"/>
              <w:left w:val="nil"/>
              <w:bottom w:val="nil"/>
              <w:right w:val="single" w:sz="4" w:space="0" w:color="auto"/>
            </w:tcBorders>
            <w:shd w:val="clear" w:color="auto" w:fill="auto"/>
            <w:vAlign w:val="center"/>
            <w:hideMark/>
          </w:tcPr>
          <w:p w14:paraId="39BB800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3,180</w:t>
            </w:r>
          </w:p>
        </w:tc>
        <w:tc>
          <w:tcPr>
            <w:tcW w:w="880" w:type="dxa"/>
            <w:tcBorders>
              <w:top w:val="nil"/>
              <w:left w:val="nil"/>
              <w:bottom w:val="nil"/>
              <w:right w:val="single" w:sz="4" w:space="0" w:color="auto"/>
            </w:tcBorders>
            <w:shd w:val="clear" w:color="auto" w:fill="auto"/>
            <w:vAlign w:val="center"/>
            <w:hideMark/>
          </w:tcPr>
          <w:p w14:paraId="692BA08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7,250</w:t>
            </w:r>
          </w:p>
        </w:tc>
        <w:tc>
          <w:tcPr>
            <w:tcW w:w="880" w:type="dxa"/>
            <w:tcBorders>
              <w:top w:val="nil"/>
              <w:left w:val="nil"/>
              <w:bottom w:val="nil"/>
              <w:right w:val="single" w:sz="4" w:space="0" w:color="auto"/>
            </w:tcBorders>
            <w:shd w:val="clear" w:color="auto" w:fill="auto"/>
            <w:vAlign w:val="center"/>
            <w:hideMark/>
          </w:tcPr>
          <w:p w14:paraId="49BA2AE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60D44F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61BE8D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7C1290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850852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10,550</w:t>
            </w:r>
          </w:p>
        </w:tc>
        <w:tc>
          <w:tcPr>
            <w:tcW w:w="880" w:type="dxa"/>
            <w:tcBorders>
              <w:top w:val="nil"/>
              <w:left w:val="nil"/>
              <w:bottom w:val="nil"/>
              <w:right w:val="single" w:sz="4" w:space="0" w:color="auto"/>
            </w:tcBorders>
            <w:shd w:val="clear" w:color="auto" w:fill="auto"/>
            <w:vAlign w:val="center"/>
            <w:hideMark/>
          </w:tcPr>
          <w:p w14:paraId="14101FA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35,167</w:t>
            </w:r>
          </w:p>
        </w:tc>
      </w:tr>
      <w:tr w:rsidR="00840888" w:rsidRPr="00840888" w14:paraId="2071A0F8"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00636B2D"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01135373"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D751BCC"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70B85216"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6A32078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C56E74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CF2B16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58DBCB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8DF76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658D70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93CF7D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2FCA89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DD104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8C783E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91C59F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FB4F84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CA6A76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7E7C8995"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42390F8D"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22167CAD"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3B9B444"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645701E"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00EAF97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170A6B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B8909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88F316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866A8E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56BD05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424423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E0D23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90C58F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9BD8B6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9953B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02E86C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3F44EB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7277AB8A"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AB727D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68003</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2F814A8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 v oblasti procesního modelování agend</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E15504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2B5537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980" w:type="dxa"/>
            <w:tcBorders>
              <w:top w:val="nil"/>
              <w:left w:val="nil"/>
              <w:bottom w:val="nil"/>
              <w:right w:val="single" w:sz="4" w:space="0" w:color="auto"/>
            </w:tcBorders>
            <w:shd w:val="clear" w:color="auto" w:fill="auto"/>
            <w:vAlign w:val="center"/>
            <w:hideMark/>
          </w:tcPr>
          <w:p w14:paraId="6150B5E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15,000</w:t>
            </w:r>
          </w:p>
        </w:tc>
        <w:tc>
          <w:tcPr>
            <w:tcW w:w="880" w:type="dxa"/>
            <w:tcBorders>
              <w:top w:val="nil"/>
              <w:left w:val="nil"/>
              <w:bottom w:val="nil"/>
              <w:right w:val="single" w:sz="4" w:space="0" w:color="auto"/>
            </w:tcBorders>
            <w:shd w:val="clear" w:color="auto" w:fill="auto"/>
            <w:vAlign w:val="center"/>
            <w:hideMark/>
          </w:tcPr>
          <w:p w14:paraId="705E5FE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F92726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03C479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3943CA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8E7E51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34C074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6BF4465"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2AFB33A"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97B9E6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67973B8"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C59358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5686F0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3C607C21"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73FCCB16"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4407F1DE"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FD6BA9F"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BC251F5"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18CF08E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996861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EA26B2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7F5B8B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8BC46E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9F9FB5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62D15F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AB1B11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DE407A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005E63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D5D71F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4EA147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31F8C9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3AA0ED76"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5C86D594"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3BBC7591"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7F71D9B"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E37ACA8"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68E791B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CD9D2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912B72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0A73F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210C30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16784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111E18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0539A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180A39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F0FAF7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7CC48F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319186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4CA295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59890CCF"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AC28F3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68003</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24FC6E5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 v oblasti procesního modelování agend</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322F9F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FDD6A0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980" w:type="dxa"/>
            <w:tcBorders>
              <w:top w:val="nil"/>
              <w:left w:val="nil"/>
              <w:bottom w:val="nil"/>
              <w:right w:val="single" w:sz="4" w:space="0" w:color="auto"/>
            </w:tcBorders>
            <w:shd w:val="clear" w:color="auto" w:fill="auto"/>
            <w:vAlign w:val="center"/>
            <w:hideMark/>
          </w:tcPr>
          <w:p w14:paraId="1C3A5A5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1,000</w:t>
            </w:r>
          </w:p>
        </w:tc>
        <w:tc>
          <w:tcPr>
            <w:tcW w:w="880" w:type="dxa"/>
            <w:tcBorders>
              <w:top w:val="nil"/>
              <w:left w:val="nil"/>
              <w:bottom w:val="nil"/>
              <w:right w:val="single" w:sz="4" w:space="0" w:color="auto"/>
            </w:tcBorders>
            <w:shd w:val="clear" w:color="auto" w:fill="auto"/>
            <w:vAlign w:val="center"/>
            <w:hideMark/>
          </w:tcPr>
          <w:p w14:paraId="05A81EC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DB0D4F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3E5DA9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3FEF5A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2722964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4EC0BB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E8B4BB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0E4A7A3"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EFFF13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BD6362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3E9631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B8A73C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r>
      <w:tr w:rsidR="00840888" w:rsidRPr="00840888" w14:paraId="21F2954D"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79BD47C6"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6D776A51"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9369B24"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5EEA7557"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63A46C7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5E1CD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28BD6A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B7C78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A6E324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8AA18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163C7E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BF8DF8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5A42C9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64E671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8D5512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A96BB0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392CDE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67FF9352"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72567825"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7A4C2716"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6847CBD"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3B24157"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588188E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C6E387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794E0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7B334E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100DA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BFF2C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6D0A53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5FE7C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34CB12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0355E3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A6D3D0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BCAFA7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4F7F85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5C1D304C"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52C3B017"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68004</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3847537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 v oblasti moderního řízení lidských zdrojů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35B139E"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780C5E2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980" w:type="dxa"/>
            <w:tcBorders>
              <w:top w:val="nil"/>
              <w:left w:val="nil"/>
              <w:bottom w:val="nil"/>
              <w:right w:val="single" w:sz="4" w:space="0" w:color="auto"/>
            </w:tcBorders>
            <w:shd w:val="clear" w:color="auto" w:fill="auto"/>
            <w:vAlign w:val="center"/>
            <w:hideMark/>
          </w:tcPr>
          <w:p w14:paraId="0D83E7A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156,000</w:t>
            </w:r>
          </w:p>
        </w:tc>
        <w:tc>
          <w:tcPr>
            <w:tcW w:w="880" w:type="dxa"/>
            <w:tcBorders>
              <w:top w:val="nil"/>
              <w:left w:val="nil"/>
              <w:bottom w:val="nil"/>
              <w:right w:val="single" w:sz="4" w:space="0" w:color="auto"/>
            </w:tcBorders>
            <w:shd w:val="clear" w:color="auto" w:fill="auto"/>
            <w:vAlign w:val="center"/>
            <w:hideMark/>
          </w:tcPr>
          <w:p w14:paraId="185A355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57BD8F1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E26630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1B2EEC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87FD25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4,000</w:t>
            </w:r>
          </w:p>
        </w:tc>
        <w:tc>
          <w:tcPr>
            <w:tcW w:w="880" w:type="dxa"/>
            <w:tcBorders>
              <w:top w:val="nil"/>
              <w:left w:val="nil"/>
              <w:bottom w:val="nil"/>
              <w:right w:val="single" w:sz="4" w:space="0" w:color="auto"/>
            </w:tcBorders>
            <w:shd w:val="clear" w:color="auto" w:fill="auto"/>
            <w:vAlign w:val="center"/>
            <w:hideMark/>
          </w:tcPr>
          <w:p w14:paraId="2AB613D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21,000</w:t>
            </w:r>
          </w:p>
        </w:tc>
        <w:tc>
          <w:tcPr>
            <w:tcW w:w="880" w:type="dxa"/>
            <w:tcBorders>
              <w:top w:val="nil"/>
              <w:left w:val="nil"/>
              <w:bottom w:val="nil"/>
              <w:right w:val="single" w:sz="4" w:space="0" w:color="auto"/>
            </w:tcBorders>
            <w:shd w:val="clear" w:color="auto" w:fill="auto"/>
            <w:vAlign w:val="center"/>
            <w:hideMark/>
          </w:tcPr>
          <w:p w14:paraId="2624526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A7A532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1D58E5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8C23A6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E4868D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25,000</w:t>
            </w:r>
          </w:p>
        </w:tc>
        <w:tc>
          <w:tcPr>
            <w:tcW w:w="880" w:type="dxa"/>
            <w:tcBorders>
              <w:top w:val="nil"/>
              <w:left w:val="nil"/>
              <w:bottom w:val="nil"/>
              <w:right w:val="single" w:sz="4" w:space="0" w:color="auto"/>
            </w:tcBorders>
            <w:shd w:val="clear" w:color="auto" w:fill="auto"/>
            <w:vAlign w:val="center"/>
            <w:hideMark/>
          </w:tcPr>
          <w:p w14:paraId="6AEB335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16,026</w:t>
            </w:r>
          </w:p>
        </w:tc>
      </w:tr>
      <w:tr w:rsidR="00840888" w:rsidRPr="00840888" w14:paraId="460679FC"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66D2CD84"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40232F19"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0D2AC5F"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D2B8DA1"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1AE5408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7E8D86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C3AA9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F73FFE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2E133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2A4296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ED4468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0A19BA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2DD38E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BDBAFB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5F1884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E05F99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643E72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507940A5"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01829DB4"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0AE8BE1D"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DD20919"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DB3C9A8"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154BEB6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C9223C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D72325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102DF0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634064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4E26A8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D1CFE1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4D157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3D775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517D07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DA473B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8F806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E12C0C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4EE74424" w14:textId="77777777" w:rsidTr="00840888">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56B1CAF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68004</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7DC3409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institucí podpořených za účelem zavedení opatření v oblasti moderního řízení lidských zdrojů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691ADC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instituce</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5DC5A6A7"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980" w:type="dxa"/>
            <w:tcBorders>
              <w:top w:val="nil"/>
              <w:left w:val="nil"/>
              <w:bottom w:val="nil"/>
              <w:right w:val="single" w:sz="4" w:space="0" w:color="auto"/>
            </w:tcBorders>
            <w:shd w:val="clear" w:color="auto" w:fill="auto"/>
            <w:vAlign w:val="center"/>
            <w:hideMark/>
          </w:tcPr>
          <w:p w14:paraId="0297475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15,000</w:t>
            </w:r>
          </w:p>
        </w:tc>
        <w:tc>
          <w:tcPr>
            <w:tcW w:w="880" w:type="dxa"/>
            <w:tcBorders>
              <w:top w:val="nil"/>
              <w:left w:val="nil"/>
              <w:bottom w:val="nil"/>
              <w:right w:val="single" w:sz="4" w:space="0" w:color="auto"/>
            </w:tcBorders>
            <w:shd w:val="clear" w:color="auto" w:fill="auto"/>
            <w:vAlign w:val="center"/>
            <w:hideMark/>
          </w:tcPr>
          <w:p w14:paraId="0097781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DE6F4C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0487E4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8204AC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9E23D0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74B922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2,000</w:t>
            </w:r>
          </w:p>
        </w:tc>
        <w:tc>
          <w:tcPr>
            <w:tcW w:w="880" w:type="dxa"/>
            <w:tcBorders>
              <w:top w:val="nil"/>
              <w:left w:val="nil"/>
              <w:bottom w:val="nil"/>
              <w:right w:val="single" w:sz="4" w:space="0" w:color="auto"/>
            </w:tcBorders>
            <w:shd w:val="clear" w:color="auto" w:fill="auto"/>
            <w:vAlign w:val="center"/>
            <w:hideMark/>
          </w:tcPr>
          <w:p w14:paraId="6933AC6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E68CB8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55495B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8FF823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D3251F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2,000</w:t>
            </w:r>
          </w:p>
        </w:tc>
        <w:tc>
          <w:tcPr>
            <w:tcW w:w="880" w:type="dxa"/>
            <w:tcBorders>
              <w:top w:val="nil"/>
              <w:left w:val="nil"/>
              <w:bottom w:val="nil"/>
              <w:right w:val="single" w:sz="4" w:space="0" w:color="auto"/>
            </w:tcBorders>
            <w:shd w:val="clear" w:color="auto" w:fill="auto"/>
            <w:vAlign w:val="center"/>
            <w:hideMark/>
          </w:tcPr>
          <w:p w14:paraId="7E7E509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13,333</w:t>
            </w:r>
          </w:p>
        </w:tc>
      </w:tr>
      <w:tr w:rsidR="00840888" w:rsidRPr="00840888" w14:paraId="3450E17D"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192E0068"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14D25BC4"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5173AB4"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4733F6B0"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2F8B9BF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9EB77B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95CCCF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83135D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2EB65D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BAE3F1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6B6733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06E477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B8753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C74FEC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F5E8BD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928248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40F26D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226EEA45" w14:textId="77777777" w:rsidTr="00840888">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1DE74FC7"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4DEC5730"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7ED9BABA"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1DD802A"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298A71D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F3E5A3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617CC4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A052AB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343B326"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73C936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9EF545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D82A45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E722D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930D41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14580E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26ECBD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F8F2AE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1B8D567A" w14:textId="77777777" w:rsidTr="00840888">
        <w:trPr>
          <w:trHeight w:val="240"/>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141E0B9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80500</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5FAEA3D9"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9D0A46F"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440FFAD"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Méně rozvinuté regiony</w:t>
            </w:r>
          </w:p>
        </w:tc>
        <w:tc>
          <w:tcPr>
            <w:tcW w:w="980" w:type="dxa"/>
            <w:tcBorders>
              <w:top w:val="nil"/>
              <w:left w:val="nil"/>
              <w:bottom w:val="nil"/>
              <w:right w:val="single" w:sz="4" w:space="0" w:color="auto"/>
            </w:tcBorders>
            <w:shd w:val="clear" w:color="auto" w:fill="auto"/>
            <w:vAlign w:val="center"/>
            <w:hideMark/>
          </w:tcPr>
          <w:p w14:paraId="2C9D896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684,000</w:t>
            </w:r>
          </w:p>
        </w:tc>
        <w:tc>
          <w:tcPr>
            <w:tcW w:w="880" w:type="dxa"/>
            <w:tcBorders>
              <w:top w:val="nil"/>
              <w:left w:val="nil"/>
              <w:bottom w:val="nil"/>
              <w:right w:val="single" w:sz="4" w:space="0" w:color="auto"/>
            </w:tcBorders>
            <w:shd w:val="clear" w:color="auto" w:fill="auto"/>
            <w:vAlign w:val="center"/>
            <w:hideMark/>
          </w:tcPr>
          <w:p w14:paraId="32AC3FE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51C6FD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7EFA51C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9,670</w:t>
            </w:r>
          </w:p>
        </w:tc>
        <w:tc>
          <w:tcPr>
            <w:tcW w:w="880" w:type="dxa"/>
            <w:tcBorders>
              <w:top w:val="nil"/>
              <w:left w:val="nil"/>
              <w:bottom w:val="nil"/>
              <w:right w:val="single" w:sz="4" w:space="0" w:color="auto"/>
            </w:tcBorders>
            <w:shd w:val="clear" w:color="auto" w:fill="auto"/>
            <w:vAlign w:val="center"/>
            <w:hideMark/>
          </w:tcPr>
          <w:p w14:paraId="6421447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63,020</w:t>
            </w:r>
          </w:p>
        </w:tc>
        <w:tc>
          <w:tcPr>
            <w:tcW w:w="880" w:type="dxa"/>
            <w:tcBorders>
              <w:top w:val="nil"/>
              <w:left w:val="nil"/>
              <w:bottom w:val="nil"/>
              <w:right w:val="single" w:sz="4" w:space="0" w:color="auto"/>
            </w:tcBorders>
            <w:shd w:val="clear" w:color="auto" w:fill="auto"/>
            <w:vAlign w:val="center"/>
            <w:hideMark/>
          </w:tcPr>
          <w:p w14:paraId="6B4C9A8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193,680</w:t>
            </w:r>
          </w:p>
        </w:tc>
        <w:tc>
          <w:tcPr>
            <w:tcW w:w="880" w:type="dxa"/>
            <w:tcBorders>
              <w:top w:val="nil"/>
              <w:left w:val="nil"/>
              <w:bottom w:val="nil"/>
              <w:right w:val="single" w:sz="4" w:space="0" w:color="auto"/>
            </w:tcBorders>
            <w:shd w:val="clear" w:color="auto" w:fill="auto"/>
            <w:vAlign w:val="center"/>
            <w:hideMark/>
          </w:tcPr>
          <w:p w14:paraId="74D09B8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653,000</w:t>
            </w:r>
          </w:p>
        </w:tc>
        <w:tc>
          <w:tcPr>
            <w:tcW w:w="880" w:type="dxa"/>
            <w:tcBorders>
              <w:top w:val="nil"/>
              <w:left w:val="nil"/>
              <w:bottom w:val="nil"/>
              <w:right w:val="single" w:sz="4" w:space="0" w:color="auto"/>
            </w:tcBorders>
            <w:shd w:val="clear" w:color="auto" w:fill="auto"/>
            <w:vAlign w:val="center"/>
            <w:hideMark/>
          </w:tcPr>
          <w:p w14:paraId="01EAB740"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2484D0D1"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64BAF1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0896CB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31D3E8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919,370</w:t>
            </w:r>
          </w:p>
        </w:tc>
        <w:tc>
          <w:tcPr>
            <w:tcW w:w="880" w:type="dxa"/>
            <w:tcBorders>
              <w:top w:val="nil"/>
              <w:left w:val="nil"/>
              <w:bottom w:val="nil"/>
              <w:right w:val="single" w:sz="4" w:space="0" w:color="auto"/>
            </w:tcBorders>
            <w:shd w:val="clear" w:color="auto" w:fill="auto"/>
            <w:vAlign w:val="center"/>
            <w:hideMark/>
          </w:tcPr>
          <w:p w14:paraId="73F510A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134,411</w:t>
            </w:r>
          </w:p>
        </w:tc>
      </w:tr>
      <w:tr w:rsidR="00840888" w:rsidRPr="00840888" w14:paraId="0BFD8D2E" w14:textId="77777777" w:rsidTr="00840888">
        <w:trPr>
          <w:trHeight w:val="240"/>
        </w:trPr>
        <w:tc>
          <w:tcPr>
            <w:tcW w:w="640" w:type="dxa"/>
            <w:vMerge/>
            <w:tcBorders>
              <w:top w:val="nil"/>
              <w:left w:val="single" w:sz="4" w:space="0" w:color="auto"/>
              <w:bottom w:val="single" w:sz="4" w:space="0" w:color="000000"/>
              <w:right w:val="single" w:sz="4" w:space="0" w:color="auto"/>
            </w:tcBorders>
            <w:vAlign w:val="center"/>
            <w:hideMark/>
          </w:tcPr>
          <w:p w14:paraId="183B3E98"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33DD1081"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2CF030C"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AB4C990"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24A569D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8DB00E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4BD770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38D1A4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73690A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358359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A0D341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794BD8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0370C0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D44BC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D6C84E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732BFB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0F1EC2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21AF8352" w14:textId="77777777" w:rsidTr="00840888">
        <w:trPr>
          <w:trHeight w:val="240"/>
        </w:trPr>
        <w:tc>
          <w:tcPr>
            <w:tcW w:w="640" w:type="dxa"/>
            <w:vMerge/>
            <w:tcBorders>
              <w:top w:val="nil"/>
              <w:left w:val="single" w:sz="4" w:space="0" w:color="auto"/>
              <w:bottom w:val="single" w:sz="4" w:space="0" w:color="000000"/>
              <w:right w:val="single" w:sz="4" w:space="0" w:color="auto"/>
            </w:tcBorders>
            <w:vAlign w:val="center"/>
            <w:hideMark/>
          </w:tcPr>
          <w:p w14:paraId="191DDEAD"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29F458D5"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1E00AFE2"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B68360A"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07EDD54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A1CE99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3A91B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BF5BC8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D4D673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D7DBEAF"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C093CA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67CC7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E1C0B94"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F533D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DD36BF2"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2E0E16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83418F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7BF27397" w14:textId="77777777" w:rsidTr="00840888">
        <w:trPr>
          <w:trHeight w:val="240"/>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654D995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80500</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14:paraId="6D013D9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63A44AD4"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0D78ECB"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Více rozvinuté regiony</w:t>
            </w:r>
          </w:p>
        </w:tc>
        <w:tc>
          <w:tcPr>
            <w:tcW w:w="980" w:type="dxa"/>
            <w:tcBorders>
              <w:top w:val="nil"/>
              <w:left w:val="nil"/>
              <w:bottom w:val="nil"/>
              <w:right w:val="single" w:sz="4" w:space="0" w:color="auto"/>
            </w:tcBorders>
            <w:shd w:val="clear" w:color="auto" w:fill="auto"/>
            <w:vAlign w:val="center"/>
            <w:hideMark/>
          </w:tcPr>
          <w:p w14:paraId="588DCB2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66,000</w:t>
            </w:r>
          </w:p>
        </w:tc>
        <w:tc>
          <w:tcPr>
            <w:tcW w:w="880" w:type="dxa"/>
            <w:tcBorders>
              <w:top w:val="nil"/>
              <w:left w:val="nil"/>
              <w:bottom w:val="nil"/>
              <w:right w:val="single" w:sz="4" w:space="0" w:color="auto"/>
            </w:tcBorders>
            <w:shd w:val="clear" w:color="auto" w:fill="auto"/>
            <w:vAlign w:val="center"/>
            <w:hideMark/>
          </w:tcPr>
          <w:p w14:paraId="52B8577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5011D9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6D9192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1,300</w:t>
            </w:r>
          </w:p>
        </w:tc>
        <w:tc>
          <w:tcPr>
            <w:tcW w:w="880" w:type="dxa"/>
            <w:tcBorders>
              <w:top w:val="nil"/>
              <w:left w:val="nil"/>
              <w:bottom w:val="nil"/>
              <w:right w:val="single" w:sz="4" w:space="0" w:color="auto"/>
            </w:tcBorders>
            <w:shd w:val="clear" w:color="auto" w:fill="auto"/>
            <w:vAlign w:val="center"/>
            <w:hideMark/>
          </w:tcPr>
          <w:p w14:paraId="21A5B05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2,600</w:t>
            </w:r>
          </w:p>
        </w:tc>
        <w:tc>
          <w:tcPr>
            <w:tcW w:w="880" w:type="dxa"/>
            <w:tcBorders>
              <w:top w:val="nil"/>
              <w:left w:val="nil"/>
              <w:bottom w:val="nil"/>
              <w:right w:val="single" w:sz="4" w:space="0" w:color="auto"/>
            </w:tcBorders>
            <w:shd w:val="clear" w:color="auto" w:fill="auto"/>
            <w:vAlign w:val="center"/>
            <w:hideMark/>
          </w:tcPr>
          <w:p w14:paraId="6C6B2A5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11,740</w:t>
            </w:r>
          </w:p>
        </w:tc>
        <w:tc>
          <w:tcPr>
            <w:tcW w:w="880" w:type="dxa"/>
            <w:tcBorders>
              <w:top w:val="nil"/>
              <w:left w:val="nil"/>
              <w:bottom w:val="nil"/>
              <w:right w:val="single" w:sz="4" w:space="0" w:color="auto"/>
            </w:tcBorders>
            <w:shd w:val="clear" w:color="auto" w:fill="auto"/>
            <w:vAlign w:val="center"/>
            <w:hideMark/>
          </w:tcPr>
          <w:p w14:paraId="6644F81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33,000</w:t>
            </w:r>
          </w:p>
        </w:tc>
        <w:tc>
          <w:tcPr>
            <w:tcW w:w="880" w:type="dxa"/>
            <w:tcBorders>
              <w:top w:val="nil"/>
              <w:left w:val="nil"/>
              <w:bottom w:val="nil"/>
              <w:right w:val="single" w:sz="4" w:space="0" w:color="auto"/>
            </w:tcBorders>
            <w:shd w:val="clear" w:color="auto" w:fill="auto"/>
            <w:vAlign w:val="center"/>
            <w:hideMark/>
          </w:tcPr>
          <w:p w14:paraId="7EED8CB2"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7A3B97C6"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B3A84B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F02F93C" w14:textId="77777777" w:rsidR="00840888" w:rsidRPr="00840888" w:rsidRDefault="00840888" w:rsidP="00840888">
            <w:pPr>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602063F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48,640</w:t>
            </w:r>
          </w:p>
        </w:tc>
        <w:tc>
          <w:tcPr>
            <w:tcW w:w="880" w:type="dxa"/>
            <w:tcBorders>
              <w:top w:val="nil"/>
              <w:left w:val="nil"/>
              <w:bottom w:val="nil"/>
              <w:right w:val="single" w:sz="4" w:space="0" w:color="auto"/>
            </w:tcBorders>
            <w:shd w:val="clear" w:color="auto" w:fill="auto"/>
            <w:vAlign w:val="center"/>
            <w:hideMark/>
          </w:tcPr>
          <w:p w14:paraId="55A6D2D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73,697</w:t>
            </w:r>
          </w:p>
        </w:tc>
      </w:tr>
      <w:tr w:rsidR="00840888" w:rsidRPr="00840888" w14:paraId="3BD4135C" w14:textId="77777777" w:rsidTr="00840888">
        <w:trPr>
          <w:trHeight w:val="240"/>
        </w:trPr>
        <w:tc>
          <w:tcPr>
            <w:tcW w:w="640" w:type="dxa"/>
            <w:vMerge/>
            <w:tcBorders>
              <w:top w:val="nil"/>
              <w:left w:val="single" w:sz="4" w:space="0" w:color="auto"/>
              <w:bottom w:val="single" w:sz="4" w:space="0" w:color="000000"/>
              <w:right w:val="single" w:sz="4" w:space="0" w:color="auto"/>
            </w:tcBorders>
            <w:vAlign w:val="center"/>
            <w:hideMark/>
          </w:tcPr>
          <w:p w14:paraId="1F4955A1"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5B66B902"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ED4726C"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073653E8"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4A3DA760"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A4ADB4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4CAFE9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A96ECB5"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B03B88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8CA74D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9F17B0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0099F5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C32F113"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57344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17D617B"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221195C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7ABFB4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r w:rsidR="00840888" w:rsidRPr="00840888" w14:paraId="7CFF062F" w14:textId="77777777" w:rsidTr="00840888">
        <w:trPr>
          <w:trHeight w:val="240"/>
        </w:trPr>
        <w:tc>
          <w:tcPr>
            <w:tcW w:w="640" w:type="dxa"/>
            <w:vMerge/>
            <w:tcBorders>
              <w:top w:val="nil"/>
              <w:left w:val="single" w:sz="4" w:space="0" w:color="auto"/>
              <w:bottom w:val="single" w:sz="4" w:space="0" w:color="000000"/>
              <w:right w:val="single" w:sz="4" w:space="0" w:color="auto"/>
            </w:tcBorders>
            <w:vAlign w:val="center"/>
            <w:hideMark/>
          </w:tcPr>
          <w:p w14:paraId="51F78338" w14:textId="77777777" w:rsidR="00840888" w:rsidRPr="00840888" w:rsidRDefault="00840888" w:rsidP="00840888">
            <w:pPr>
              <w:rPr>
                <w:rFonts w:ascii="Arial" w:eastAsia="Times New Roman" w:hAnsi="Arial" w:cs="Arial"/>
                <w:color w:val="000000"/>
                <w:sz w:val="14"/>
                <w:szCs w:val="14"/>
                <w:lang w:val="cs-CZ" w:eastAsia="cs-CZ"/>
              </w:rPr>
            </w:pPr>
          </w:p>
        </w:tc>
        <w:tc>
          <w:tcPr>
            <w:tcW w:w="1880" w:type="dxa"/>
            <w:vMerge/>
            <w:tcBorders>
              <w:top w:val="nil"/>
              <w:left w:val="single" w:sz="4" w:space="0" w:color="auto"/>
              <w:bottom w:val="single" w:sz="4" w:space="0" w:color="000000"/>
              <w:right w:val="single" w:sz="4" w:space="0" w:color="auto"/>
            </w:tcBorders>
            <w:vAlign w:val="center"/>
            <w:hideMark/>
          </w:tcPr>
          <w:p w14:paraId="1F71CA2C" w14:textId="77777777" w:rsidR="00840888" w:rsidRPr="00840888" w:rsidRDefault="00840888" w:rsidP="00840888">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B65B0C1"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73AD3D9" w14:textId="77777777" w:rsidR="00840888" w:rsidRPr="00840888" w:rsidRDefault="00840888" w:rsidP="00840888">
            <w:pPr>
              <w:rPr>
                <w:rFonts w:ascii="Arial" w:eastAsia="Times New Roman" w:hAnsi="Arial" w:cs="Arial"/>
                <w:color w:val="000000"/>
                <w:sz w:val="14"/>
                <w:szCs w:val="14"/>
                <w:lang w:val="cs-CZ" w:eastAsia="cs-CZ"/>
              </w:rPr>
            </w:pPr>
          </w:p>
        </w:tc>
        <w:tc>
          <w:tcPr>
            <w:tcW w:w="980" w:type="dxa"/>
            <w:tcBorders>
              <w:top w:val="nil"/>
              <w:left w:val="nil"/>
              <w:bottom w:val="single" w:sz="4" w:space="0" w:color="auto"/>
              <w:right w:val="single" w:sz="4" w:space="0" w:color="auto"/>
            </w:tcBorders>
            <w:shd w:val="clear" w:color="auto" w:fill="auto"/>
            <w:vAlign w:val="center"/>
            <w:hideMark/>
          </w:tcPr>
          <w:p w14:paraId="66DE0FD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013579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1133E0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A40539C"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0D46E2D"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0937A6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4CBBB4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6DB6D6E"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B01CD01"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F229A79"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D8CD838"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F4FA207"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D07BD8A" w14:textId="77777777" w:rsidR="00840888" w:rsidRPr="00840888" w:rsidRDefault="00840888" w:rsidP="00840888">
            <w:pPr>
              <w:jc w:val="right"/>
              <w:rPr>
                <w:rFonts w:ascii="Arial" w:eastAsia="Times New Roman" w:hAnsi="Arial" w:cs="Arial"/>
                <w:color w:val="000000"/>
                <w:sz w:val="14"/>
                <w:szCs w:val="14"/>
                <w:lang w:val="cs-CZ" w:eastAsia="cs-CZ"/>
              </w:rPr>
            </w:pPr>
            <w:r w:rsidRPr="00840888">
              <w:rPr>
                <w:rFonts w:ascii="Arial" w:eastAsia="Times New Roman" w:hAnsi="Arial" w:cs="Arial"/>
                <w:color w:val="000000"/>
                <w:sz w:val="14"/>
                <w:szCs w:val="14"/>
                <w:lang w:val="cs-CZ" w:eastAsia="cs-CZ"/>
              </w:rPr>
              <w:t> </w:t>
            </w:r>
          </w:p>
        </w:tc>
      </w:tr>
    </w:tbl>
    <w:p w14:paraId="11838714" w14:textId="3C0E3183" w:rsidR="002D3536" w:rsidRDefault="002D3536" w:rsidP="009E49E6">
      <w:pPr>
        <w:ind w:right="108"/>
        <w:jc w:val="both"/>
        <w:rPr>
          <w:rFonts w:ascii="Arial" w:eastAsia="Arial" w:hAnsi="Arial" w:cs="Arial"/>
          <w:color w:val="000000"/>
          <w:sz w:val="20"/>
          <w:lang w:val="cs-CZ"/>
        </w:rPr>
      </w:pPr>
    </w:p>
    <w:p w14:paraId="078E3EC4" w14:textId="7EAD03F6" w:rsidR="00716644" w:rsidRDefault="00716644" w:rsidP="009E49E6">
      <w:pPr>
        <w:ind w:right="108"/>
        <w:jc w:val="both"/>
        <w:rPr>
          <w:rFonts w:ascii="Arial" w:eastAsia="Arial" w:hAnsi="Arial" w:cs="Arial"/>
          <w:color w:val="000000"/>
          <w:sz w:val="20"/>
          <w:lang w:val="cs-CZ"/>
        </w:rPr>
      </w:pPr>
    </w:p>
    <w:p w14:paraId="4E7DE6B5" w14:textId="77777777" w:rsidR="00716644" w:rsidRPr="002F2BE4" w:rsidRDefault="00716644" w:rsidP="009E49E6">
      <w:pPr>
        <w:ind w:right="108"/>
        <w:jc w:val="both"/>
        <w:rPr>
          <w:rFonts w:ascii="Arial" w:eastAsia="Arial" w:hAnsi="Arial" w:cs="Arial"/>
          <w:color w:val="000000"/>
          <w:sz w:val="20"/>
          <w:lang w:val="cs-CZ"/>
        </w:rPr>
      </w:pPr>
    </w:p>
    <w:p w14:paraId="39F7AD84" w14:textId="77777777" w:rsidR="00FD35AB" w:rsidRPr="002F2BE4" w:rsidRDefault="00FD35AB" w:rsidP="009E49E6">
      <w:pPr>
        <w:keepNext/>
        <w:ind w:left="115" w:right="106"/>
        <w:jc w:val="both"/>
        <w:rPr>
          <w:rFonts w:ascii="Arial" w:eastAsia="Arial" w:hAnsi="Arial" w:cs="Arial"/>
          <w:color w:val="000000"/>
          <w:sz w:val="20"/>
          <w:lang w:val="cs-CZ"/>
        </w:rPr>
      </w:pPr>
      <w:r w:rsidRPr="002F2BE4">
        <w:rPr>
          <w:rFonts w:ascii="Arial" w:eastAsia="Arial" w:hAnsi="Arial" w:cs="Arial"/>
          <w:color w:val="000000"/>
          <w:sz w:val="20"/>
          <w:lang w:val="cs-CZ"/>
        </w:rPr>
        <w:t>Investiční priorita: 03.5.125 Technická pomoc</w:t>
      </w:r>
    </w:p>
    <w:tbl>
      <w:tblPr>
        <w:tblW w:w="15780" w:type="dxa"/>
        <w:tblInd w:w="75" w:type="dxa"/>
        <w:tblCellMar>
          <w:left w:w="70" w:type="dxa"/>
          <w:right w:w="70" w:type="dxa"/>
        </w:tblCellMar>
        <w:tblLook w:val="04A0" w:firstRow="1" w:lastRow="0" w:firstColumn="1" w:lastColumn="0" w:noHBand="0" w:noVBand="1"/>
      </w:tblPr>
      <w:tblGrid>
        <w:gridCol w:w="638"/>
        <w:gridCol w:w="1803"/>
        <w:gridCol w:w="849"/>
        <w:gridCol w:w="977"/>
        <w:gridCol w:w="895"/>
        <w:gridCol w:w="874"/>
        <w:gridCol w:w="874"/>
        <w:gridCol w:w="874"/>
        <w:gridCol w:w="874"/>
        <w:gridCol w:w="874"/>
        <w:gridCol w:w="874"/>
        <w:gridCol w:w="874"/>
        <w:gridCol w:w="874"/>
        <w:gridCol w:w="874"/>
        <w:gridCol w:w="874"/>
        <w:gridCol w:w="1004"/>
        <w:gridCol w:w="874"/>
      </w:tblGrid>
      <w:tr w:rsidR="00716644" w:rsidRPr="00716644" w14:paraId="4DCCA655" w14:textId="77777777" w:rsidTr="00716644">
        <w:trPr>
          <w:trHeight w:val="20"/>
          <w:tblHeader/>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1B73B5"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ID</w:t>
            </w:r>
          </w:p>
        </w:tc>
        <w:tc>
          <w:tcPr>
            <w:tcW w:w="18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329716"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Indikátor</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BDAE08A"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Měrná jednotka</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6E4D4CB"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Kategorie regionu (je-li relevantní)</w:t>
            </w:r>
          </w:p>
        </w:tc>
        <w:tc>
          <w:tcPr>
            <w:tcW w:w="900" w:type="dxa"/>
            <w:tcBorders>
              <w:top w:val="single" w:sz="4" w:space="0" w:color="auto"/>
              <w:left w:val="nil"/>
              <w:bottom w:val="nil"/>
              <w:right w:val="single" w:sz="4" w:space="0" w:color="auto"/>
            </w:tcBorders>
            <w:shd w:val="clear" w:color="000000" w:fill="FFFFFF"/>
            <w:vAlign w:val="center"/>
            <w:hideMark/>
          </w:tcPr>
          <w:p w14:paraId="13C42E3D"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Cílová hodnota (2023)</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682EA05E"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2014</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FCB178E"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2015</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D538186"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2016</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79CAA79"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2017</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3044D806"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2018</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C201F84"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2019</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765F3C7"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2020</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7D45F78D"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2021</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0036C966"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2022</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14:paraId="50D8F431"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2023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2E1CE71A"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Kumulativní hodnota (vypočítána automaticky)</w:t>
            </w:r>
          </w:p>
        </w:tc>
        <w:tc>
          <w:tcPr>
            <w:tcW w:w="880" w:type="dxa"/>
            <w:tcBorders>
              <w:top w:val="single" w:sz="4" w:space="0" w:color="auto"/>
              <w:left w:val="nil"/>
              <w:bottom w:val="nil"/>
              <w:right w:val="single" w:sz="4" w:space="0" w:color="auto"/>
            </w:tcBorders>
            <w:shd w:val="clear" w:color="000000" w:fill="FFFFFF"/>
            <w:vAlign w:val="center"/>
            <w:hideMark/>
          </w:tcPr>
          <w:p w14:paraId="25DA9681"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Míra splnění</w:t>
            </w:r>
          </w:p>
        </w:tc>
      </w:tr>
      <w:tr w:rsidR="00716644" w:rsidRPr="00716644" w14:paraId="5D9C52E5" w14:textId="77777777" w:rsidTr="00716644">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3F15F20E" w14:textId="77777777" w:rsidR="00716644" w:rsidRPr="00716644" w:rsidRDefault="00716644" w:rsidP="00716644">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47F3E17F" w14:textId="77777777" w:rsidR="00716644" w:rsidRPr="00716644" w:rsidRDefault="00716644" w:rsidP="00716644">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721E99E1" w14:textId="77777777" w:rsidR="00716644" w:rsidRPr="00716644" w:rsidRDefault="00716644" w:rsidP="00716644">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B02374A" w14:textId="77777777" w:rsidR="00716644" w:rsidRPr="00716644" w:rsidRDefault="00716644" w:rsidP="00716644">
            <w:pPr>
              <w:rPr>
                <w:rFonts w:ascii="Arial" w:eastAsia="Times New Roman" w:hAnsi="Arial" w:cs="Arial"/>
                <w:b/>
                <w:bCs/>
                <w:color w:val="000000"/>
                <w:sz w:val="14"/>
                <w:szCs w:val="14"/>
                <w:lang w:val="cs-CZ" w:eastAsia="cs-CZ"/>
              </w:rPr>
            </w:pP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F0FD0BF"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0" w:type="dxa"/>
            <w:gridSpan w:val="10"/>
            <w:tcBorders>
              <w:top w:val="single" w:sz="4" w:space="0" w:color="auto"/>
              <w:left w:val="nil"/>
              <w:bottom w:val="single" w:sz="4" w:space="0" w:color="auto"/>
              <w:right w:val="single" w:sz="4" w:space="0" w:color="auto"/>
            </w:tcBorders>
            <w:shd w:val="clear" w:color="000000" w:fill="FFFFFF"/>
            <w:vAlign w:val="center"/>
            <w:hideMark/>
          </w:tcPr>
          <w:p w14:paraId="5CC8186F"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Roční hodnota</w:t>
            </w:r>
          </w:p>
        </w:tc>
        <w:tc>
          <w:tcPr>
            <w:tcW w:w="9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5E4D7E"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3CF9537"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r>
      <w:tr w:rsidR="00716644" w:rsidRPr="00716644" w14:paraId="317EA442" w14:textId="77777777" w:rsidTr="00716644">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5124F4F4" w14:textId="77777777" w:rsidR="00716644" w:rsidRPr="00716644" w:rsidRDefault="00716644" w:rsidP="00716644">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11D625B6" w14:textId="77777777" w:rsidR="00716644" w:rsidRPr="00716644" w:rsidRDefault="00716644" w:rsidP="00716644">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F716E43" w14:textId="77777777" w:rsidR="00716644" w:rsidRPr="00716644" w:rsidRDefault="00716644" w:rsidP="00716644">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D9FF48E" w14:textId="77777777" w:rsidR="00716644" w:rsidRPr="00716644" w:rsidRDefault="00716644" w:rsidP="00716644">
            <w:pPr>
              <w:rPr>
                <w:rFonts w:ascii="Arial" w:eastAsia="Times New Roman" w:hAnsi="Arial" w:cs="Arial"/>
                <w:b/>
                <w:bCs/>
                <w:color w:val="000000"/>
                <w:sz w:val="14"/>
                <w:szCs w:val="14"/>
                <w:lang w:val="cs-CZ" w:eastAsia="cs-CZ"/>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1C75BADD" w14:textId="77777777" w:rsidR="00716644" w:rsidRPr="00716644" w:rsidRDefault="00716644" w:rsidP="00716644">
            <w:pPr>
              <w:rPr>
                <w:rFonts w:ascii="Arial" w:eastAsia="Times New Roman" w:hAnsi="Arial" w:cs="Arial"/>
                <w:b/>
                <w:bCs/>
                <w:color w:val="000000"/>
                <w:sz w:val="14"/>
                <w:szCs w:val="14"/>
                <w:lang w:val="cs-CZ" w:eastAsia="cs-CZ"/>
              </w:rPr>
            </w:pPr>
          </w:p>
        </w:tc>
        <w:tc>
          <w:tcPr>
            <w:tcW w:w="880" w:type="dxa"/>
            <w:tcBorders>
              <w:top w:val="nil"/>
              <w:left w:val="nil"/>
              <w:bottom w:val="single" w:sz="4" w:space="0" w:color="auto"/>
              <w:right w:val="single" w:sz="4" w:space="0" w:color="auto"/>
            </w:tcBorders>
            <w:shd w:val="clear" w:color="000000" w:fill="FFFFFF"/>
            <w:vAlign w:val="center"/>
            <w:hideMark/>
          </w:tcPr>
          <w:p w14:paraId="6B8E6A81"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198B5DF"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6A861223"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472B8A9"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3022ED1C"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46EF0A1D"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B63C430"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D6A547C"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1337D3DE"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880" w:type="dxa"/>
            <w:tcBorders>
              <w:top w:val="nil"/>
              <w:left w:val="nil"/>
              <w:bottom w:val="single" w:sz="4" w:space="0" w:color="auto"/>
              <w:right w:val="single" w:sz="4" w:space="0" w:color="auto"/>
            </w:tcBorders>
            <w:shd w:val="clear" w:color="000000" w:fill="FFFFFF"/>
            <w:vAlign w:val="center"/>
            <w:hideMark/>
          </w:tcPr>
          <w:p w14:paraId="5FC7B5AD"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Celkem</w:t>
            </w:r>
          </w:p>
        </w:tc>
        <w:tc>
          <w:tcPr>
            <w:tcW w:w="940" w:type="dxa"/>
            <w:vMerge/>
            <w:tcBorders>
              <w:top w:val="nil"/>
              <w:left w:val="single" w:sz="4" w:space="0" w:color="auto"/>
              <w:bottom w:val="single" w:sz="4" w:space="0" w:color="000000"/>
              <w:right w:val="single" w:sz="4" w:space="0" w:color="auto"/>
            </w:tcBorders>
            <w:vAlign w:val="center"/>
            <w:hideMark/>
          </w:tcPr>
          <w:p w14:paraId="0B919960" w14:textId="77777777" w:rsidR="00716644" w:rsidRPr="00716644" w:rsidRDefault="00716644" w:rsidP="00716644">
            <w:pPr>
              <w:rPr>
                <w:rFonts w:ascii="Arial" w:eastAsia="Times New Roman" w:hAnsi="Arial" w:cs="Arial"/>
                <w:b/>
                <w:bCs/>
                <w:color w:val="000000"/>
                <w:sz w:val="14"/>
                <w:szCs w:val="14"/>
                <w:lang w:val="cs-CZ" w:eastAsia="cs-CZ"/>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14:paraId="6BB59E16" w14:textId="77777777" w:rsidR="00716644" w:rsidRPr="00716644" w:rsidRDefault="00716644" w:rsidP="00716644">
            <w:pPr>
              <w:rPr>
                <w:rFonts w:ascii="Arial" w:eastAsia="Times New Roman" w:hAnsi="Arial" w:cs="Arial"/>
                <w:b/>
                <w:bCs/>
                <w:color w:val="000000"/>
                <w:sz w:val="14"/>
                <w:szCs w:val="14"/>
                <w:lang w:val="cs-CZ" w:eastAsia="cs-CZ"/>
              </w:rPr>
            </w:pPr>
          </w:p>
        </w:tc>
      </w:tr>
      <w:tr w:rsidR="00716644" w:rsidRPr="00716644" w14:paraId="2EAF1D1D" w14:textId="77777777" w:rsidTr="00716644">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27051F7" w14:textId="77777777" w:rsidR="00716644" w:rsidRPr="00716644" w:rsidRDefault="00716644" w:rsidP="00716644">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A055058" w14:textId="77777777" w:rsidR="00716644" w:rsidRPr="00716644" w:rsidRDefault="00716644" w:rsidP="00716644">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08E7EAC2" w14:textId="77777777" w:rsidR="00716644" w:rsidRPr="00716644" w:rsidRDefault="00716644" w:rsidP="00716644">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4425BD16" w14:textId="77777777" w:rsidR="00716644" w:rsidRPr="00716644" w:rsidRDefault="00716644" w:rsidP="00716644">
            <w:pPr>
              <w:rPr>
                <w:rFonts w:ascii="Arial" w:eastAsia="Times New Roman" w:hAnsi="Arial" w:cs="Arial"/>
                <w:b/>
                <w:bCs/>
                <w:color w:val="000000"/>
                <w:sz w:val="14"/>
                <w:szCs w:val="14"/>
                <w:lang w:val="cs-CZ" w:eastAsia="cs-CZ"/>
              </w:rPr>
            </w:pPr>
          </w:p>
        </w:tc>
        <w:tc>
          <w:tcPr>
            <w:tcW w:w="900" w:type="dxa"/>
            <w:tcBorders>
              <w:top w:val="nil"/>
              <w:left w:val="nil"/>
              <w:bottom w:val="single" w:sz="4" w:space="0" w:color="auto"/>
              <w:right w:val="single" w:sz="4" w:space="0" w:color="auto"/>
            </w:tcBorders>
            <w:shd w:val="clear" w:color="000000" w:fill="FFFFFF"/>
            <w:vAlign w:val="center"/>
            <w:hideMark/>
          </w:tcPr>
          <w:p w14:paraId="76D3E010"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3947B54E"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F0355F8"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E05BC66"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0D195C77"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0FCF8AE"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23DCEE93"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6DB93C31"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64705E1"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1DB9801A"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074268E"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940" w:type="dxa"/>
            <w:tcBorders>
              <w:top w:val="nil"/>
              <w:left w:val="nil"/>
              <w:bottom w:val="single" w:sz="4" w:space="0" w:color="auto"/>
              <w:right w:val="single" w:sz="4" w:space="0" w:color="auto"/>
            </w:tcBorders>
            <w:shd w:val="clear" w:color="000000" w:fill="FFFFFF"/>
            <w:vAlign w:val="center"/>
            <w:hideMark/>
          </w:tcPr>
          <w:p w14:paraId="32F80FDF"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c>
          <w:tcPr>
            <w:tcW w:w="880" w:type="dxa"/>
            <w:tcBorders>
              <w:top w:val="nil"/>
              <w:left w:val="nil"/>
              <w:bottom w:val="single" w:sz="4" w:space="0" w:color="auto"/>
              <w:right w:val="single" w:sz="4" w:space="0" w:color="auto"/>
            </w:tcBorders>
            <w:shd w:val="clear" w:color="000000" w:fill="FFFFFF"/>
            <w:vAlign w:val="center"/>
            <w:hideMark/>
          </w:tcPr>
          <w:p w14:paraId="7185A245"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M</w:t>
            </w:r>
          </w:p>
        </w:tc>
      </w:tr>
      <w:tr w:rsidR="00716644" w:rsidRPr="00716644" w14:paraId="2979EB66" w14:textId="77777777" w:rsidTr="00716644">
        <w:trPr>
          <w:trHeight w:val="20"/>
          <w:tblHeader/>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0EFCB8AE" w14:textId="77777777" w:rsidR="00716644" w:rsidRPr="00716644" w:rsidRDefault="00716644" w:rsidP="00716644">
            <w:pPr>
              <w:rPr>
                <w:rFonts w:ascii="Arial" w:eastAsia="Times New Roman" w:hAnsi="Arial" w:cs="Arial"/>
                <w:b/>
                <w:bCs/>
                <w:color w:val="000000"/>
                <w:sz w:val="14"/>
                <w:szCs w:val="14"/>
                <w:lang w:val="cs-CZ" w:eastAsia="cs-CZ"/>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1045A835" w14:textId="77777777" w:rsidR="00716644" w:rsidRPr="00716644" w:rsidRDefault="00716644" w:rsidP="00716644">
            <w:pPr>
              <w:rPr>
                <w:rFonts w:ascii="Arial" w:eastAsia="Times New Roman" w:hAnsi="Arial" w:cs="Arial"/>
                <w:b/>
                <w:bCs/>
                <w:color w:val="000000"/>
                <w:sz w:val="14"/>
                <w:szCs w:val="14"/>
                <w:lang w:val="cs-CZ" w:eastAsia="cs-CZ"/>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B52A72F" w14:textId="77777777" w:rsidR="00716644" w:rsidRPr="00716644" w:rsidRDefault="00716644" w:rsidP="00716644">
            <w:pPr>
              <w:rPr>
                <w:rFonts w:ascii="Arial" w:eastAsia="Times New Roman" w:hAnsi="Arial" w:cs="Arial"/>
                <w:b/>
                <w:bCs/>
                <w:color w:val="000000"/>
                <w:sz w:val="14"/>
                <w:szCs w:val="14"/>
                <w:lang w:val="cs-CZ" w:eastAsia="cs-CZ"/>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0CE49D2E" w14:textId="77777777" w:rsidR="00716644" w:rsidRPr="00716644" w:rsidRDefault="00716644" w:rsidP="00716644">
            <w:pPr>
              <w:rPr>
                <w:rFonts w:ascii="Arial" w:eastAsia="Times New Roman" w:hAnsi="Arial" w:cs="Arial"/>
                <w:b/>
                <w:bCs/>
                <w:color w:val="000000"/>
                <w:sz w:val="14"/>
                <w:szCs w:val="14"/>
                <w:lang w:val="cs-CZ" w:eastAsia="cs-CZ"/>
              </w:rPr>
            </w:pPr>
          </w:p>
        </w:tc>
        <w:tc>
          <w:tcPr>
            <w:tcW w:w="900" w:type="dxa"/>
            <w:tcBorders>
              <w:top w:val="nil"/>
              <w:left w:val="nil"/>
              <w:bottom w:val="nil"/>
              <w:right w:val="single" w:sz="4" w:space="0" w:color="auto"/>
            </w:tcBorders>
            <w:shd w:val="clear" w:color="000000" w:fill="FFFFFF"/>
            <w:vAlign w:val="center"/>
            <w:hideMark/>
          </w:tcPr>
          <w:p w14:paraId="396E9ECA"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3CE843F"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4B44F10"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449DB0D"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0654B13"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78FE116F"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45EFC124"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9D1589F"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0F419DBD"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634D0432"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single" w:sz="4" w:space="0" w:color="auto"/>
              <w:right w:val="single" w:sz="4" w:space="0" w:color="auto"/>
            </w:tcBorders>
            <w:shd w:val="clear" w:color="000000" w:fill="FFFFFF"/>
            <w:vAlign w:val="center"/>
            <w:hideMark/>
          </w:tcPr>
          <w:p w14:paraId="1CA6D645"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940" w:type="dxa"/>
            <w:tcBorders>
              <w:top w:val="nil"/>
              <w:left w:val="nil"/>
              <w:bottom w:val="nil"/>
              <w:right w:val="single" w:sz="4" w:space="0" w:color="auto"/>
            </w:tcBorders>
            <w:shd w:val="clear" w:color="000000" w:fill="FFFFFF"/>
            <w:vAlign w:val="center"/>
            <w:hideMark/>
          </w:tcPr>
          <w:p w14:paraId="4776E251"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c>
          <w:tcPr>
            <w:tcW w:w="880" w:type="dxa"/>
            <w:tcBorders>
              <w:top w:val="nil"/>
              <w:left w:val="nil"/>
              <w:bottom w:val="nil"/>
              <w:right w:val="single" w:sz="4" w:space="0" w:color="auto"/>
            </w:tcBorders>
            <w:shd w:val="clear" w:color="000000" w:fill="FFFFFF"/>
            <w:vAlign w:val="center"/>
            <w:hideMark/>
          </w:tcPr>
          <w:p w14:paraId="36D521AE" w14:textId="77777777" w:rsidR="00716644" w:rsidRPr="00716644" w:rsidRDefault="00716644" w:rsidP="00716644">
            <w:pPr>
              <w:jc w:val="center"/>
              <w:rPr>
                <w:rFonts w:ascii="Arial" w:eastAsia="Times New Roman" w:hAnsi="Arial" w:cs="Arial"/>
                <w:b/>
                <w:bCs/>
                <w:color w:val="000000"/>
                <w:sz w:val="14"/>
                <w:szCs w:val="14"/>
                <w:lang w:val="cs-CZ" w:eastAsia="cs-CZ"/>
              </w:rPr>
            </w:pPr>
            <w:r w:rsidRPr="00716644">
              <w:rPr>
                <w:rFonts w:ascii="Arial" w:eastAsia="Times New Roman" w:hAnsi="Arial" w:cs="Arial"/>
                <w:b/>
                <w:bCs/>
                <w:color w:val="000000"/>
                <w:sz w:val="14"/>
                <w:szCs w:val="14"/>
                <w:lang w:val="cs-CZ" w:eastAsia="cs-CZ"/>
              </w:rPr>
              <w:t>Ž</w:t>
            </w:r>
          </w:p>
        </w:tc>
      </w:tr>
      <w:tr w:rsidR="00716644" w:rsidRPr="00716644" w14:paraId="7EAC1F78" w14:textId="77777777" w:rsidTr="00716644">
        <w:trPr>
          <w:trHeight w:val="230"/>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5488411" w14:textId="77777777" w:rsidR="00716644" w:rsidRPr="00716644" w:rsidRDefault="00716644" w:rsidP="00716644">
            <w:pPr>
              <w:jc w:val="cente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60000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09FF5C1E"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Celkový počet účastníků</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247D9981"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Osoby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176C2F5"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NR</w:t>
            </w:r>
          </w:p>
        </w:tc>
        <w:tc>
          <w:tcPr>
            <w:tcW w:w="900" w:type="dxa"/>
            <w:tcBorders>
              <w:top w:val="single" w:sz="4" w:space="0" w:color="auto"/>
              <w:left w:val="nil"/>
              <w:bottom w:val="nil"/>
              <w:right w:val="single" w:sz="4" w:space="0" w:color="auto"/>
            </w:tcBorders>
            <w:shd w:val="clear" w:color="auto" w:fill="auto"/>
            <w:vAlign w:val="center"/>
            <w:hideMark/>
          </w:tcPr>
          <w:p w14:paraId="4421E35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350,000</w:t>
            </w:r>
          </w:p>
        </w:tc>
        <w:tc>
          <w:tcPr>
            <w:tcW w:w="880" w:type="dxa"/>
            <w:tcBorders>
              <w:top w:val="nil"/>
              <w:left w:val="nil"/>
              <w:bottom w:val="nil"/>
              <w:right w:val="single" w:sz="4" w:space="0" w:color="auto"/>
            </w:tcBorders>
            <w:shd w:val="clear" w:color="auto" w:fill="auto"/>
            <w:vAlign w:val="center"/>
            <w:hideMark/>
          </w:tcPr>
          <w:p w14:paraId="631BF64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2C4978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0AF6E32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C75FED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549,000</w:t>
            </w:r>
          </w:p>
        </w:tc>
        <w:tc>
          <w:tcPr>
            <w:tcW w:w="880" w:type="dxa"/>
            <w:tcBorders>
              <w:top w:val="nil"/>
              <w:left w:val="nil"/>
              <w:bottom w:val="nil"/>
              <w:right w:val="single" w:sz="4" w:space="0" w:color="auto"/>
            </w:tcBorders>
            <w:shd w:val="clear" w:color="auto" w:fill="auto"/>
            <w:vAlign w:val="center"/>
            <w:hideMark/>
          </w:tcPr>
          <w:p w14:paraId="15BED24E"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86,000</w:t>
            </w:r>
          </w:p>
        </w:tc>
        <w:tc>
          <w:tcPr>
            <w:tcW w:w="880" w:type="dxa"/>
            <w:tcBorders>
              <w:top w:val="nil"/>
              <w:left w:val="nil"/>
              <w:bottom w:val="nil"/>
              <w:right w:val="single" w:sz="4" w:space="0" w:color="auto"/>
            </w:tcBorders>
            <w:shd w:val="clear" w:color="auto" w:fill="auto"/>
            <w:vAlign w:val="center"/>
            <w:hideMark/>
          </w:tcPr>
          <w:p w14:paraId="5496BD65"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64,000</w:t>
            </w:r>
          </w:p>
        </w:tc>
        <w:tc>
          <w:tcPr>
            <w:tcW w:w="880" w:type="dxa"/>
            <w:tcBorders>
              <w:top w:val="nil"/>
              <w:left w:val="nil"/>
              <w:bottom w:val="nil"/>
              <w:right w:val="single" w:sz="4" w:space="0" w:color="auto"/>
            </w:tcBorders>
            <w:shd w:val="clear" w:color="auto" w:fill="auto"/>
            <w:vAlign w:val="center"/>
            <w:hideMark/>
          </w:tcPr>
          <w:p w14:paraId="35ECBB56"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5DB9E71"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55A4AD6"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3F5E243"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single" w:sz="4" w:space="0" w:color="auto"/>
              <w:left w:val="nil"/>
              <w:bottom w:val="nil"/>
              <w:right w:val="single" w:sz="4" w:space="0" w:color="auto"/>
            </w:tcBorders>
            <w:shd w:val="clear" w:color="auto" w:fill="auto"/>
            <w:vAlign w:val="center"/>
            <w:hideMark/>
          </w:tcPr>
          <w:p w14:paraId="1AF5FB1C"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699,000</w:t>
            </w:r>
          </w:p>
        </w:tc>
        <w:tc>
          <w:tcPr>
            <w:tcW w:w="880" w:type="dxa"/>
            <w:tcBorders>
              <w:top w:val="single" w:sz="4" w:space="0" w:color="auto"/>
              <w:left w:val="nil"/>
              <w:bottom w:val="nil"/>
              <w:right w:val="single" w:sz="4" w:space="0" w:color="auto"/>
            </w:tcBorders>
            <w:shd w:val="clear" w:color="auto" w:fill="auto"/>
            <w:vAlign w:val="center"/>
            <w:hideMark/>
          </w:tcPr>
          <w:p w14:paraId="69AF21AF"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199,714</w:t>
            </w:r>
          </w:p>
        </w:tc>
      </w:tr>
      <w:tr w:rsidR="00716644" w:rsidRPr="00716644" w14:paraId="118BAEC8" w14:textId="77777777" w:rsidTr="00716644">
        <w:trPr>
          <w:trHeight w:val="230"/>
        </w:trPr>
        <w:tc>
          <w:tcPr>
            <w:tcW w:w="640" w:type="dxa"/>
            <w:vMerge/>
            <w:tcBorders>
              <w:top w:val="nil"/>
              <w:left w:val="single" w:sz="4" w:space="0" w:color="auto"/>
              <w:bottom w:val="single" w:sz="4" w:space="0" w:color="000000"/>
              <w:right w:val="single" w:sz="4" w:space="0" w:color="auto"/>
            </w:tcBorders>
            <w:vAlign w:val="center"/>
            <w:hideMark/>
          </w:tcPr>
          <w:p w14:paraId="2C404A30" w14:textId="77777777" w:rsidR="00716644" w:rsidRPr="00716644" w:rsidRDefault="00716644" w:rsidP="00716644">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96AD633" w14:textId="77777777" w:rsidR="00716644" w:rsidRPr="00716644" w:rsidRDefault="00716644" w:rsidP="00716644">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52A8364C" w14:textId="77777777" w:rsidR="00716644" w:rsidRPr="00716644" w:rsidRDefault="00716644" w:rsidP="00716644">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A37DE4C" w14:textId="77777777" w:rsidR="00716644" w:rsidRPr="00716644" w:rsidRDefault="00716644" w:rsidP="00716644">
            <w:pPr>
              <w:rPr>
                <w:rFonts w:ascii="Arial" w:eastAsia="Times New Roman" w:hAnsi="Arial" w:cs="Arial"/>
                <w:color w:val="000000"/>
                <w:sz w:val="14"/>
                <w:szCs w:val="14"/>
                <w:lang w:val="cs-CZ" w:eastAsia="cs-CZ"/>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C57D78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00F47904"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3DD344A0"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6CFC947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single" w:sz="4" w:space="0" w:color="auto"/>
              <w:left w:val="nil"/>
              <w:bottom w:val="single" w:sz="4" w:space="0" w:color="auto"/>
              <w:right w:val="single" w:sz="4" w:space="0" w:color="auto"/>
            </w:tcBorders>
            <w:shd w:val="clear" w:color="auto" w:fill="auto"/>
            <w:hideMark/>
          </w:tcPr>
          <w:p w14:paraId="30D8F645"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143,000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E6C88E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20,000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4CD364C"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8,000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FA8F1C6"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F5035F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333E48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8D3030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2282AA3"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171,000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F89C29"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r>
      <w:tr w:rsidR="00716644" w:rsidRPr="00716644" w14:paraId="76E82F48" w14:textId="77777777" w:rsidTr="00716644">
        <w:trPr>
          <w:trHeight w:val="230"/>
        </w:trPr>
        <w:tc>
          <w:tcPr>
            <w:tcW w:w="640" w:type="dxa"/>
            <w:vMerge/>
            <w:tcBorders>
              <w:top w:val="nil"/>
              <w:left w:val="single" w:sz="4" w:space="0" w:color="auto"/>
              <w:bottom w:val="single" w:sz="4" w:space="0" w:color="000000"/>
              <w:right w:val="single" w:sz="4" w:space="0" w:color="auto"/>
            </w:tcBorders>
            <w:vAlign w:val="center"/>
            <w:hideMark/>
          </w:tcPr>
          <w:p w14:paraId="36BCF8FC" w14:textId="77777777" w:rsidR="00716644" w:rsidRPr="00716644" w:rsidRDefault="00716644" w:rsidP="00716644">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0AA8BC95" w14:textId="77777777" w:rsidR="00716644" w:rsidRPr="00716644" w:rsidRDefault="00716644" w:rsidP="00716644">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06575C3A" w14:textId="77777777" w:rsidR="00716644" w:rsidRPr="00716644" w:rsidRDefault="00716644" w:rsidP="00716644">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079C41B" w14:textId="77777777" w:rsidR="00716644" w:rsidRPr="00716644" w:rsidRDefault="00716644" w:rsidP="00716644">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auto" w:fill="auto"/>
            <w:vAlign w:val="center"/>
            <w:hideMark/>
          </w:tcPr>
          <w:p w14:paraId="3A653200"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573BFCF2"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3363ACA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11E43DBF"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single" w:sz="4" w:space="0" w:color="auto"/>
              <w:right w:val="single" w:sz="4" w:space="0" w:color="auto"/>
            </w:tcBorders>
            <w:shd w:val="clear" w:color="auto" w:fill="auto"/>
            <w:hideMark/>
          </w:tcPr>
          <w:p w14:paraId="7C217424"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406,000</w:t>
            </w:r>
          </w:p>
        </w:tc>
        <w:tc>
          <w:tcPr>
            <w:tcW w:w="880" w:type="dxa"/>
            <w:tcBorders>
              <w:top w:val="nil"/>
              <w:left w:val="nil"/>
              <w:bottom w:val="single" w:sz="4" w:space="0" w:color="auto"/>
              <w:right w:val="single" w:sz="4" w:space="0" w:color="auto"/>
            </w:tcBorders>
            <w:shd w:val="clear" w:color="auto" w:fill="auto"/>
            <w:vAlign w:val="center"/>
            <w:hideMark/>
          </w:tcPr>
          <w:p w14:paraId="2A718C47"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66,000</w:t>
            </w:r>
          </w:p>
        </w:tc>
        <w:tc>
          <w:tcPr>
            <w:tcW w:w="880" w:type="dxa"/>
            <w:tcBorders>
              <w:top w:val="nil"/>
              <w:left w:val="nil"/>
              <w:bottom w:val="single" w:sz="4" w:space="0" w:color="auto"/>
              <w:right w:val="single" w:sz="4" w:space="0" w:color="auto"/>
            </w:tcBorders>
            <w:shd w:val="clear" w:color="auto" w:fill="auto"/>
            <w:vAlign w:val="center"/>
            <w:hideMark/>
          </w:tcPr>
          <w:p w14:paraId="611F5BB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56,000</w:t>
            </w:r>
          </w:p>
        </w:tc>
        <w:tc>
          <w:tcPr>
            <w:tcW w:w="880" w:type="dxa"/>
            <w:tcBorders>
              <w:top w:val="nil"/>
              <w:left w:val="nil"/>
              <w:bottom w:val="single" w:sz="4" w:space="0" w:color="auto"/>
              <w:right w:val="single" w:sz="4" w:space="0" w:color="auto"/>
            </w:tcBorders>
            <w:shd w:val="clear" w:color="auto" w:fill="auto"/>
            <w:vAlign w:val="center"/>
            <w:hideMark/>
          </w:tcPr>
          <w:p w14:paraId="0B0EE9E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6301C02"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0EAF5172"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6D43849"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4680395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528,000</w:t>
            </w:r>
          </w:p>
        </w:tc>
        <w:tc>
          <w:tcPr>
            <w:tcW w:w="880" w:type="dxa"/>
            <w:tcBorders>
              <w:top w:val="nil"/>
              <w:left w:val="nil"/>
              <w:bottom w:val="single" w:sz="4" w:space="0" w:color="auto"/>
              <w:right w:val="single" w:sz="4" w:space="0" w:color="auto"/>
            </w:tcBorders>
            <w:shd w:val="clear" w:color="auto" w:fill="auto"/>
            <w:vAlign w:val="center"/>
            <w:hideMark/>
          </w:tcPr>
          <w:p w14:paraId="40256D8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r>
      <w:tr w:rsidR="00716644" w:rsidRPr="00716644" w14:paraId="486B13FE" w14:textId="77777777" w:rsidTr="00716644">
        <w:trPr>
          <w:trHeight w:hRule="exact" w:val="284"/>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446AC96D" w14:textId="77777777" w:rsidR="00716644" w:rsidRPr="00716644" w:rsidRDefault="00716644" w:rsidP="00716644">
            <w:pPr>
              <w:jc w:val="cente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80500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FBE4692"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Počet napsaných a zveřejněných analytických a strategických dokumentů (vč. evaluačních)</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51A61F10"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Dokumenty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6D028259"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NR</w:t>
            </w:r>
          </w:p>
        </w:tc>
        <w:tc>
          <w:tcPr>
            <w:tcW w:w="900" w:type="dxa"/>
            <w:tcBorders>
              <w:top w:val="nil"/>
              <w:left w:val="nil"/>
              <w:bottom w:val="nil"/>
              <w:right w:val="single" w:sz="4" w:space="0" w:color="auto"/>
            </w:tcBorders>
            <w:shd w:val="clear" w:color="auto" w:fill="auto"/>
            <w:vAlign w:val="center"/>
            <w:hideMark/>
          </w:tcPr>
          <w:p w14:paraId="144F92DC"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40,000</w:t>
            </w:r>
          </w:p>
        </w:tc>
        <w:tc>
          <w:tcPr>
            <w:tcW w:w="880" w:type="dxa"/>
            <w:tcBorders>
              <w:top w:val="nil"/>
              <w:left w:val="nil"/>
              <w:bottom w:val="nil"/>
              <w:right w:val="single" w:sz="4" w:space="0" w:color="auto"/>
            </w:tcBorders>
            <w:shd w:val="clear" w:color="auto" w:fill="auto"/>
            <w:vAlign w:val="center"/>
            <w:hideMark/>
          </w:tcPr>
          <w:p w14:paraId="4BC1C595"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63C5BFC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45BA05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3A232264"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12,000</w:t>
            </w:r>
          </w:p>
        </w:tc>
        <w:tc>
          <w:tcPr>
            <w:tcW w:w="880" w:type="dxa"/>
            <w:tcBorders>
              <w:top w:val="nil"/>
              <w:left w:val="nil"/>
              <w:bottom w:val="nil"/>
              <w:right w:val="single" w:sz="4" w:space="0" w:color="auto"/>
            </w:tcBorders>
            <w:shd w:val="clear" w:color="auto" w:fill="auto"/>
            <w:vAlign w:val="center"/>
            <w:hideMark/>
          </w:tcPr>
          <w:p w14:paraId="70EB28AC"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11,000</w:t>
            </w:r>
          </w:p>
        </w:tc>
        <w:tc>
          <w:tcPr>
            <w:tcW w:w="880" w:type="dxa"/>
            <w:tcBorders>
              <w:top w:val="nil"/>
              <w:left w:val="nil"/>
              <w:bottom w:val="nil"/>
              <w:right w:val="single" w:sz="4" w:space="0" w:color="auto"/>
            </w:tcBorders>
            <w:shd w:val="clear" w:color="auto" w:fill="auto"/>
            <w:vAlign w:val="center"/>
            <w:hideMark/>
          </w:tcPr>
          <w:p w14:paraId="0884403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5,000</w:t>
            </w:r>
          </w:p>
        </w:tc>
        <w:tc>
          <w:tcPr>
            <w:tcW w:w="880" w:type="dxa"/>
            <w:tcBorders>
              <w:top w:val="nil"/>
              <w:left w:val="nil"/>
              <w:bottom w:val="nil"/>
              <w:right w:val="single" w:sz="4" w:space="0" w:color="auto"/>
            </w:tcBorders>
            <w:shd w:val="clear" w:color="auto" w:fill="auto"/>
            <w:vAlign w:val="center"/>
            <w:hideMark/>
          </w:tcPr>
          <w:p w14:paraId="54A0C0B8"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360E2FE8"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5950A1AF"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05579E94"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0D6B4BBE"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28,000</w:t>
            </w:r>
          </w:p>
        </w:tc>
        <w:tc>
          <w:tcPr>
            <w:tcW w:w="880" w:type="dxa"/>
            <w:tcBorders>
              <w:top w:val="nil"/>
              <w:left w:val="nil"/>
              <w:bottom w:val="nil"/>
              <w:right w:val="single" w:sz="4" w:space="0" w:color="auto"/>
            </w:tcBorders>
            <w:shd w:val="clear" w:color="auto" w:fill="auto"/>
            <w:vAlign w:val="center"/>
            <w:hideMark/>
          </w:tcPr>
          <w:p w14:paraId="68455F6F"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70,000</w:t>
            </w:r>
          </w:p>
        </w:tc>
      </w:tr>
      <w:tr w:rsidR="00716644" w:rsidRPr="00716644" w14:paraId="4F49EE8B" w14:textId="77777777" w:rsidTr="00716644">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4EEADBFA" w14:textId="77777777" w:rsidR="00716644" w:rsidRPr="00716644" w:rsidRDefault="00716644" w:rsidP="00716644">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2305E475" w14:textId="77777777" w:rsidR="00716644" w:rsidRPr="00716644" w:rsidRDefault="00716644" w:rsidP="00716644">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341A1FCA" w14:textId="77777777" w:rsidR="00716644" w:rsidRPr="00716644" w:rsidRDefault="00716644" w:rsidP="00716644">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69426691" w14:textId="77777777" w:rsidR="00716644" w:rsidRPr="00716644" w:rsidRDefault="00716644" w:rsidP="00716644">
            <w:pPr>
              <w:rPr>
                <w:rFonts w:ascii="Arial" w:eastAsia="Times New Roman" w:hAnsi="Arial" w:cs="Arial"/>
                <w:color w:val="000000"/>
                <w:sz w:val="14"/>
                <w:szCs w:val="14"/>
                <w:lang w:val="cs-CZ" w:eastAsia="cs-CZ"/>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365AEE1"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EF2BE49"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17ADA7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11C39A4"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2DBE859"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96D78C6"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7BF0C20"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740EEA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10845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1B2BBC1"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0D9980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76AA383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B3C31A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r>
      <w:tr w:rsidR="00716644" w:rsidRPr="00716644" w14:paraId="560330A3" w14:textId="77777777" w:rsidTr="00716644">
        <w:trPr>
          <w:trHeight w:hRule="exact" w:val="284"/>
        </w:trPr>
        <w:tc>
          <w:tcPr>
            <w:tcW w:w="640" w:type="dxa"/>
            <w:vMerge/>
            <w:tcBorders>
              <w:top w:val="nil"/>
              <w:left w:val="single" w:sz="4" w:space="0" w:color="auto"/>
              <w:bottom w:val="single" w:sz="4" w:space="0" w:color="000000"/>
              <w:right w:val="single" w:sz="4" w:space="0" w:color="auto"/>
            </w:tcBorders>
            <w:vAlign w:val="center"/>
            <w:hideMark/>
          </w:tcPr>
          <w:p w14:paraId="625135B7" w14:textId="77777777" w:rsidR="00716644" w:rsidRPr="00716644" w:rsidRDefault="00716644" w:rsidP="00716644">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6086AAE9" w14:textId="77777777" w:rsidR="00716644" w:rsidRPr="00716644" w:rsidRDefault="00716644" w:rsidP="00716644">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29578908" w14:textId="77777777" w:rsidR="00716644" w:rsidRPr="00716644" w:rsidRDefault="00716644" w:rsidP="00716644">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1E30D053" w14:textId="77777777" w:rsidR="00716644" w:rsidRPr="00716644" w:rsidRDefault="00716644" w:rsidP="00716644">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auto" w:fill="auto"/>
            <w:vAlign w:val="center"/>
            <w:hideMark/>
          </w:tcPr>
          <w:p w14:paraId="51B4C084"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E4A62E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C1987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C03689E"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9D16F9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B3710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9045D6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7803147"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BEF4A1C"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5FADB6E"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3C0DAD6"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58980F58"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91875F"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r>
      <w:tr w:rsidR="00716644" w:rsidRPr="00716644" w14:paraId="05C71CD8" w14:textId="77777777" w:rsidTr="00716644">
        <w:trPr>
          <w:trHeight w:val="230"/>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14:paraId="536DB0FC" w14:textId="77777777" w:rsidR="00716644" w:rsidRPr="00716644" w:rsidRDefault="00716644" w:rsidP="00716644">
            <w:pPr>
              <w:jc w:val="cente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82000</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14:paraId="322B903C"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Počet uskutečněných školení, seminářů, workshopů a konferencí</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14:paraId="4C491BB9"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Aktivity</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BB95E73"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Méně rozvinuté regiony</w:t>
            </w:r>
          </w:p>
        </w:tc>
        <w:tc>
          <w:tcPr>
            <w:tcW w:w="900" w:type="dxa"/>
            <w:tcBorders>
              <w:top w:val="nil"/>
              <w:left w:val="nil"/>
              <w:bottom w:val="nil"/>
              <w:right w:val="single" w:sz="4" w:space="0" w:color="auto"/>
            </w:tcBorders>
            <w:shd w:val="clear" w:color="auto" w:fill="auto"/>
            <w:vAlign w:val="center"/>
            <w:hideMark/>
          </w:tcPr>
          <w:p w14:paraId="01693E3E"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220,000</w:t>
            </w:r>
          </w:p>
        </w:tc>
        <w:tc>
          <w:tcPr>
            <w:tcW w:w="880" w:type="dxa"/>
            <w:tcBorders>
              <w:top w:val="nil"/>
              <w:left w:val="nil"/>
              <w:bottom w:val="nil"/>
              <w:right w:val="single" w:sz="4" w:space="0" w:color="auto"/>
            </w:tcBorders>
            <w:shd w:val="clear" w:color="auto" w:fill="auto"/>
            <w:vAlign w:val="center"/>
            <w:hideMark/>
          </w:tcPr>
          <w:p w14:paraId="3D85898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46FA7C1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0,000</w:t>
            </w:r>
          </w:p>
        </w:tc>
        <w:tc>
          <w:tcPr>
            <w:tcW w:w="880" w:type="dxa"/>
            <w:tcBorders>
              <w:top w:val="nil"/>
              <w:left w:val="nil"/>
              <w:bottom w:val="nil"/>
              <w:right w:val="single" w:sz="4" w:space="0" w:color="auto"/>
            </w:tcBorders>
            <w:shd w:val="clear" w:color="auto" w:fill="auto"/>
            <w:vAlign w:val="center"/>
            <w:hideMark/>
          </w:tcPr>
          <w:p w14:paraId="1277D840"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53,000</w:t>
            </w:r>
          </w:p>
        </w:tc>
        <w:tc>
          <w:tcPr>
            <w:tcW w:w="880" w:type="dxa"/>
            <w:tcBorders>
              <w:top w:val="nil"/>
              <w:left w:val="nil"/>
              <w:bottom w:val="nil"/>
              <w:right w:val="single" w:sz="4" w:space="0" w:color="auto"/>
            </w:tcBorders>
            <w:shd w:val="clear" w:color="auto" w:fill="auto"/>
            <w:vAlign w:val="center"/>
            <w:hideMark/>
          </w:tcPr>
          <w:p w14:paraId="1AAFCAD2"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95,000</w:t>
            </w:r>
          </w:p>
        </w:tc>
        <w:tc>
          <w:tcPr>
            <w:tcW w:w="880" w:type="dxa"/>
            <w:tcBorders>
              <w:top w:val="nil"/>
              <w:left w:val="nil"/>
              <w:bottom w:val="nil"/>
              <w:right w:val="single" w:sz="4" w:space="0" w:color="auto"/>
            </w:tcBorders>
            <w:shd w:val="clear" w:color="auto" w:fill="auto"/>
            <w:vAlign w:val="center"/>
            <w:hideMark/>
          </w:tcPr>
          <w:p w14:paraId="65049D46"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82,000</w:t>
            </w:r>
          </w:p>
        </w:tc>
        <w:tc>
          <w:tcPr>
            <w:tcW w:w="880" w:type="dxa"/>
            <w:tcBorders>
              <w:top w:val="nil"/>
              <w:left w:val="nil"/>
              <w:bottom w:val="nil"/>
              <w:right w:val="single" w:sz="4" w:space="0" w:color="auto"/>
            </w:tcBorders>
            <w:shd w:val="clear" w:color="auto" w:fill="auto"/>
            <w:vAlign w:val="center"/>
            <w:hideMark/>
          </w:tcPr>
          <w:p w14:paraId="7D126F1A"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43,000</w:t>
            </w:r>
          </w:p>
        </w:tc>
        <w:tc>
          <w:tcPr>
            <w:tcW w:w="880" w:type="dxa"/>
            <w:tcBorders>
              <w:top w:val="nil"/>
              <w:left w:val="nil"/>
              <w:bottom w:val="nil"/>
              <w:right w:val="single" w:sz="4" w:space="0" w:color="auto"/>
            </w:tcBorders>
            <w:shd w:val="clear" w:color="auto" w:fill="auto"/>
            <w:vAlign w:val="center"/>
            <w:hideMark/>
          </w:tcPr>
          <w:p w14:paraId="473D2F22"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1145FA67"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44A40D18"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nil"/>
              <w:right w:val="single" w:sz="4" w:space="0" w:color="auto"/>
            </w:tcBorders>
            <w:shd w:val="clear" w:color="auto" w:fill="auto"/>
            <w:vAlign w:val="center"/>
            <w:hideMark/>
          </w:tcPr>
          <w:p w14:paraId="64973D17" w14:textId="77777777" w:rsidR="00716644" w:rsidRPr="00716644" w:rsidRDefault="00716644" w:rsidP="00716644">
            <w:pPr>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90F805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273,000</w:t>
            </w:r>
          </w:p>
        </w:tc>
        <w:tc>
          <w:tcPr>
            <w:tcW w:w="880" w:type="dxa"/>
            <w:tcBorders>
              <w:top w:val="nil"/>
              <w:left w:val="nil"/>
              <w:bottom w:val="nil"/>
              <w:right w:val="single" w:sz="4" w:space="0" w:color="auto"/>
            </w:tcBorders>
            <w:shd w:val="clear" w:color="auto" w:fill="auto"/>
            <w:vAlign w:val="center"/>
            <w:hideMark/>
          </w:tcPr>
          <w:p w14:paraId="02BC1D92"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124,091</w:t>
            </w:r>
          </w:p>
        </w:tc>
      </w:tr>
      <w:tr w:rsidR="00716644" w:rsidRPr="00716644" w14:paraId="417D48A7" w14:textId="77777777" w:rsidTr="00716644">
        <w:trPr>
          <w:trHeight w:val="230"/>
        </w:trPr>
        <w:tc>
          <w:tcPr>
            <w:tcW w:w="640" w:type="dxa"/>
            <w:vMerge/>
            <w:tcBorders>
              <w:top w:val="nil"/>
              <w:left w:val="single" w:sz="4" w:space="0" w:color="auto"/>
              <w:bottom w:val="single" w:sz="4" w:space="0" w:color="000000"/>
              <w:right w:val="single" w:sz="4" w:space="0" w:color="auto"/>
            </w:tcBorders>
            <w:vAlign w:val="center"/>
            <w:hideMark/>
          </w:tcPr>
          <w:p w14:paraId="42AA43CB" w14:textId="77777777" w:rsidR="00716644" w:rsidRPr="00716644" w:rsidRDefault="00716644" w:rsidP="00716644">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18F78B7F" w14:textId="77777777" w:rsidR="00716644" w:rsidRPr="00716644" w:rsidRDefault="00716644" w:rsidP="00716644">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6BAF39A3" w14:textId="77777777" w:rsidR="00716644" w:rsidRPr="00716644" w:rsidRDefault="00716644" w:rsidP="00716644">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3C430C64" w14:textId="77777777" w:rsidR="00716644" w:rsidRPr="00716644" w:rsidRDefault="00716644" w:rsidP="00716644">
            <w:pPr>
              <w:rPr>
                <w:rFonts w:ascii="Arial" w:eastAsia="Times New Roman" w:hAnsi="Arial" w:cs="Arial"/>
                <w:color w:val="000000"/>
                <w:sz w:val="14"/>
                <w:szCs w:val="14"/>
                <w:lang w:val="cs-CZ" w:eastAsia="cs-CZ"/>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733F1AA3"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6EDD5E6"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D33CDF7"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7716EC5"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5B36716"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E86A9EF"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F3201B9"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3C79167C"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C606BB1"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A101434"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5E403DC"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1774B0C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2AF131E"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r>
      <w:tr w:rsidR="00716644" w:rsidRPr="00716644" w14:paraId="0A38B698" w14:textId="77777777" w:rsidTr="00716644">
        <w:trPr>
          <w:trHeight w:val="230"/>
        </w:trPr>
        <w:tc>
          <w:tcPr>
            <w:tcW w:w="640" w:type="dxa"/>
            <w:vMerge/>
            <w:tcBorders>
              <w:top w:val="nil"/>
              <w:left w:val="single" w:sz="4" w:space="0" w:color="auto"/>
              <w:bottom w:val="single" w:sz="4" w:space="0" w:color="000000"/>
              <w:right w:val="single" w:sz="4" w:space="0" w:color="auto"/>
            </w:tcBorders>
            <w:vAlign w:val="center"/>
            <w:hideMark/>
          </w:tcPr>
          <w:p w14:paraId="7E591817" w14:textId="77777777" w:rsidR="00716644" w:rsidRPr="00716644" w:rsidRDefault="00716644" w:rsidP="00716644">
            <w:pPr>
              <w:rPr>
                <w:rFonts w:ascii="Arial" w:eastAsia="Times New Roman" w:hAnsi="Arial" w:cs="Arial"/>
                <w:color w:val="000000"/>
                <w:sz w:val="14"/>
                <w:szCs w:val="14"/>
                <w:lang w:val="cs-CZ" w:eastAsia="cs-CZ"/>
              </w:rPr>
            </w:pPr>
          </w:p>
        </w:tc>
        <w:tc>
          <w:tcPr>
            <w:tcW w:w="1820" w:type="dxa"/>
            <w:vMerge/>
            <w:tcBorders>
              <w:top w:val="nil"/>
              <w:left w:val="single" w:sz="4" w:space="0" w:color="auto"/>
              <w:bottom w:val="single" w:sz="4" w:space="0" w:color="000000"/>
              <w:right w:val="single" w:sz="4" w:space="0" w:color="auto"/>
            </w:tcBorders>
            <w:vAlign w:val="center"/>
            <w:hideMark/>
          </w:tcPr>
          <w:p w14:paraId="3AFE1A00" w14:textId="77777777" w:rsidR="00716644" w:rsidRPr="00716644" w:rsidRDefault="00716644" w:rsidP="00716644">
            <w:pPr>
              <w:rPr>
                <w:rFonts w:ascii="Arial" w:eastAsia="Times New Roman" w:hAnsi="Arial" w:cs="Arial"/>
                <w:color w:val="000000"/>
                <w:sz w:val="14"/>
                <w:szCs w:val="14"/>
                <w:lang w:val="cs-CZ" w:eastAsia="cs-CZ"/>
              </w:rPr>
            </w:pPr>
          </w:p>
        </w:tc>
        <w:tc>
          <w:tcPr>
            <w:tcW w:w="820" w:type="dxa"/>
            <w:vMerge/>
            <w:tcBorders>
              <w:top w:val="nil"/>
              <w:left w:val="single" w:sz="4" w:space="0" w:color="auto"/>
              <w:bottom w:val="single" w:sz="4" w:space="0" w:color="000000"/>
              <w:right w:val="single" w:sz="4" w:space="0" w:color="auto"/>
            </w:tcBorders>
            <w:vAlign w:val="center"/>
            <w:hideMark/>
          </w:tcPr>
          <w:p w14:paraId="41383E5A" w14:textId="77777777" w:rsidR="00716644" w:rsidRPr="00716644" w:rsidRDefault="00716644" w:rsidP="00716644">
            <w:pPr>
              <w:rPr>
                <w:rFonts w:ascii="Arial" w:eastAsia="Times New Roman" w:hAnsi="Arial" w:cs="Arial"/>
                <w:color w:val="000000"/>
                <w:sz w:val="14"/>
                <w:szCs w:val="14"/>
                <w:lang w:val="cs-CZ" w:eastAsia="cs-CZ"/>
              </w:rPr>
            </w:pPr>
          </w:p>
        </w:tc>
        <w:tc>
          <w:tcPr>
            <w:tcW w:w="980" w:type="dxa"/>
            <w:vMerge/>
            <w:tcBorders>
              <w:top w:val="nil"/>
              <w:left w:val="single" w:sz="4" w:space="0" w:color="auto"/>
              <w:bottom w:val="single" w:sz="4" w:space="0" w:color="000000"/>
              <w:right w:val="single" w:sz="4" w:space="0" w:color="auto"/>
            </w:tcBorders>
            <w:vAlign w:val="center"/>
            <w:hideMark/>
          </w:tcPr>
          <w:p w14:paraId="25BCE00F" w14:textId="77777777" w:rsidR="00716644" w:rsidRPr="00716644" w:rsidRDefault="00716644" w:rsidP="00716644">
            <w:pPr>
              <w:rPr>
                <w:rFonts w:ascii="Arial" w:eastAsia="Times New Roman" w:hAnsi="Arial" w:cs="Arial"/>
                <w:color w:val="000000"/>
                <w:sz w:val="14"/>
                <w:szCs w:val="14"/>
                <w:lang w:val="cs-CZ" w:eastAsia="cs-CZ"/>
              </w:rPr>
            </w:pPr>
          </w:p>
        </w:tc>
        <w:tc>
          <w:tcPr>
            <w:tcW w:w="900" w:type="dxa"/>
            <w:tcBorders>
              <w:top w:val="nil"/>
              <w:left w:val="nil"/>
              <w:bottom w:val="single" w:sz="4" w:space="0" w:color="auto"/>
              <w:right w:val="single" w:sz="4" w:space="0" w:color="auto"/>
            </w:tcBorders>
            <w:shd w:val="clear" w:color="auto" w:fill="auto"/>
            <w:vAlign w:val="center"/>
            <w:hideMark/>
          </w:tcPr>
          <w:p w14:paraId="59EC5F5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C134A4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6B164BCE"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16703E3"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80D0496"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675E8A1"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46A1EF7"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6329F3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1F136870"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69A4789"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27B72B1D"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940" w:type="dxa"/>
            <w:tcBorders>
              <w:top w:val="nil"/>
              <w:left w:val="nil"/>
              <w:bottom w:val="single" w:sz="4" w:space="0" w:color="auto"/>
              <w:right w:val="single" w:sz="4" w:space="0" w:color="auto"/>
            </w:tcBorders>
            <w:shd w:val="clear" w:color="auto" w:fill="auto"/>
            <w:vAlign w:val="center"/>
            <w:hideMark/>
          </w:tcPr>
          <w:p w14:paraId="38FDB0EE"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7779798B" w14:textId="77777777" w:rsidR="00716644" w:rsidRPr="00716644" w:rsidRDefault="00716644" w:rsidP="00716644">
            <w:pPr>
              <w:jc w:val="right"/>
              <w:rPr>
                <w:rFonts w:ascii="Arial" w:eastAsia="Times New Roman" w:hAnsi="Arial" w:cs="Arial"/>
                <w:color w:val="000000"/>
                <w:sz w:val="14"/>
                <w:szCs w:val="14"/>
                <w:lang w:val="cs-CZ" w:eastAsia="cs-CZ"/>
              </w:rPr>
            </w:pPr>
            <w:r w:rsidRPr="00716644">
              <w:rPr>
                <w:rFonts w:ascii="Arial" w:eastAsia="Times New Roman" w:hAnsi="Arial" w:cs="Arial"/>
                <w:color w:val="000000"/>
                <w:sz w:val="14"/>
                <w:szCs w:val="14"/>
                <w:lang w:val="cs-CZ" w:eastAsia="cs-CZ"/>
              </w:rPr>
              <w:t> </w:t>
            </w:r>
          </w:p>
        </w:tc>
      </w:tr>
    </w:tbl>
    <w:p w14:paraId="39070E50" w14:textId="1D2C9196" w:rsidR="002E6E2A" w:rsidRDefault="002E6E2A" w:rsidP="009E49E6">
      <w:pPr>
        <w:tabs>
          <w:tab w:val="left" w:pos="1675"/>
        </w:tabs>
        <w:ind w:right="108"/>
        <w:rPr>
          <w:rFonts w:ascii="Arial" w:eastAsia="Arial" w:hAnsi="Arial" w:cs="Arial"/>
          <w:color w:val="000000"/>
          <w:sz w:val="20"/>
        </w:rPr>
      </w:pPr>
    </w:p>
    <w:p w14:paraId="604CEB1E" w14:textId="77777777" w:rsidR="00A2351A" w:rsidRDefault="002D5C25">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403AC26B" w14:textId="19115079" w:rsidR="002D3536" w:rsidRDefault="002D5C25" w:rsidP="002D3536">
      <w:pPr>
        <w:tabs>
          <w:tab w:val="left" w:pos="1675"/>
        </w:tabs>
        <w:ind w:right="106"/>
        <w:rPr>
          <w:rFonts w:ascii="Arial" w:eastAsia="Arial" w:hAnsi="Arial" w:cs="Arial"/>
          <w:color w:val="000000"/>
          <w:sz w:val="16"/>
        </w:rPr>
      </w:pPr>
      <w:r>
        <w:rPr>
          <w:rFonts w:ascii="Arial" w:eastAsia="Arial" w:hAnsi="Arial" w:cs="Arial"/>
          <w:color w:val="000000"/>
          <w:sz w:val="16"/>
        </w:rPr>
        <w:t>9 - Strukturované údaje požadované pro zprávu o YEI, která má být předložena v dubnu 2015 v souladu s čl. 19 odst. 3 a příloho</w:t>
      </w:r>
      <w:r w:rsidR="009E49E6">
        <w:rPr>
          <w:rFonts w:ascii="Arial" w:eastAsia="Arial" w:hAnsi="Arial" w:cs="Arial"/>
          <w:color w:val="000000"/>
          <w:sz w:val="16"/>
        </w:rPr>
        <w:t>u II nařízení (EU) č. 1304/2013</w:t>
      </w:r>
    </w:p>
    <w:p w14:paraId="4848E548" w14:textId="7902B052" w:rsidR="00A91BEF" w:rsidRDefault="00A91BEF" w:rsidP="002D3536">
      <w:pPr>
        <w:tabs>
          <w:tab w:val="left" w:pos="1675"/>
        </w:tabs>
        <w:ind w:right="106"/>
        <w:rPr>
          <w:rFonts w:ascii="Arial" w:eastAsia="Arial" w:hAnsi="Arial" w:cs="Arial"/>
          <w:color w:val="000000"/>
          <w:sz w:val="16"/>
        </w:rPr>
      </w:pPr>
    </w:p>
    <w:p w14:paraId="773340CF" w14:textId="19BB6845" w:rsidR="00A91BEF" w:rsidRDefault="00A91BEF" w:rsidP="002D3536">
      <w:pPr>
        <w:tabs>
          <w:tab w:val="left" w:pos="1675"/>
        </w:tabs>
        <w:ind w:right="106"/>
        <w:rPr>
          <w:rFonts w:ascii="Arial" w:eastAsia="Arial" w:hAnsi="Arial" w:cs="Arial"/>
          <w:color w:val="000000"/>
          <w:sz w:val="16"/>
        </w:rPr>
      </w:pPr>
    </w:p>
    <w:p w14:paraId="459BCFBB" w14:textId="60C2CC1A" w:rsidR="00A91BEF" w:rsidRDefault="00A91BEF" w:rsidP="002D3536">
      <w:pPr>
        <w:tabs>
          <w:tab w:val="left" w:pos="1675"/>
        </w:tabs>
        <w:ind w:right="106"/>
        <w:rPr>
          <w:rFonts w:ascii="Arial" w:eastAsia="Arial" w:hAnsi="Arial" w:cs="Arial"/>
          <w:color w:val="000000"/>
          <w:sz w:val="16"/>
        </w:rPr>
      </w:pPr>
    </w:p>
    <w:p w14:paraId="2C1CF7FC" w14:textId="6DF10545" w:rsidR="00A91BEF" w:rsidRDefault="00A91BEF" w:rsidP="002D3536">
      <w:pPr>
        <w:tabs>
          <w:tab w:val="left" w:pos="1675"/>
        </w:tabs>
        <w:ind w:right="106"/>
        <w:rPr>
          <w:rFonts w:ascii="Arial" w:eastAsia="Arial" w:hAnsi="Arial" w:cs="Arial"/>
          <w:color w:val="000000"/>
          <w:sz w:val="16"/>
        </w:rPr>
      </w:pPr>
    </w:p>
    <w:p w14:paraId="5264196F" w14:textId="304BFD9B" w:rsidR="00A91BEF" w:rsidRDefault="00A91BEF" w:rsidP="002D3536">
      <w:pPr>
        <w:tabs>
          <w:tab w:val="left" w:pos="1675"/>
        </w:tabs>
        <w:ind w:right="106"/>
        <w:rPr>
          <w:rFonts w:ascii="Arial" w:eastAsia="Arial" w:hAnsi="Arial" w:cs="Arial"/>
          <w:color w:val="000000"/>
          <w:sz w:val="16"/>
        </w:rPr>
      </w:pPr>
    </w:p>
    <w:p w14:paraId="6E4CDDE6" w14:textId="0103E4E7" w:rsidR="00A91BEF" w:rsidRDefault="00A91BEF" w:rsidP="002D3536">
      <w:pPr>
        <w:tabs>
          <w:tab w:val="left" w:pos="1675"/>
        </w:tabs>
        <w:ind w:right="106"/>
        <w:rPr>
          <w:rFonts w:ascii="Arial" w:eastAsia="Arial" w:hAnsi="Arial" w:cs="Arial"/>
          <w:color w:val="000000"/>
          <w:sz w:val="16"/>
        </w:rPr>
      </w:pPr>
    </w:p>
    <w:p w14:paraId="0D711463" w14:textId="58FD4305" w:rsidR="00A91BEF" w:rsidRDefault="00A91BEF" w:rsidP="002D3536">
      <w:pPr>
        <w:tabs>
          <w:tab w:val="left" w:pos="1675"/>
        </w:tabs>
        <w:ind w:right="106"/>
        <w:rPr>
          <w:rFonts w:ascii="Arial" w:eastAsia="Arial" w:hAnsi="Arial" w:cs="Arial"/>
          <w:color w:val="000000"/>
          <w:sz w:val="16"/>
        </w:rPr>
      </w:pPr>
    </w:p>
    <w:p w14:paraId="0700EFE9" w14:textId="29937EBE" w:rsidR="00A91BEF" w:rsidRDefault="00A91BEF" w:rsidP="002D3536">
      <w:pPr>
        <w:tabs>
          <w:tab w:val="left" w:pos="1675"/>
        </w:tabs>
        <w:ind w:right="106"/>
        <w:rPr>
          <w:rFonts w:ascii="Arial" w:eastAsia="Arial" w:hAnsi="Arial" w:cs="Arial"/>
          <w:color w:val="000000"/>
          <w:sz w:val="16"/>
        </w:rPr>
      </w:pPr>
    </w:p>
    <w:p w14:paraId="1A71F679" w14:textId="411840C6" w:rsidR="00A91BEF" w:rsidRDefault="00A91BEF" w:rsidP="002D3536">
      <w:pPr>
        <w:tabs>
          <w:tab w:val="left" w:pos="1675"/>
        </w:tabs>
        <w:ind w:right="106"/>
        <w:rPr>
          <w:rFonts w:ascii="Arial" w:eastAsia="Arial" w:hAnsi="Arial" w:cs="Arial"/>
          <w:color w:val="000000"/>
          <w:sz w:val="16"/>
        </w:rPr>
      </w:pPr>
    </w:p>
    <w:p w14:paraId="5A79C6AB" w14:textId="27576F38" w:rsidR="00A91BEF" w:rsidRDefault="00A91BEF" w:rsidP="002D3536">
      <w:pPr>
        <w:tabs>
          <w:tab w:val="left" w:pos="1675"/>
        </w:tabs>
        <w:ind w:right="106"/>
        <w:rPr>
          <w:rFonts w:ascii="Arial" w:eastAsia="Arial" w:hAnsi="Arial" w:cs="Arial"/>
          <w:color w:val="000000"/>
          <w:sz w:val="16"/>
        </w:rPr>
      </w:pPr>
    </w:p>
    <w:p w14:paraId="60527E00" w14:textId="161FDA68" w:rsidR="00A91BEF" w:rsidRDefault="00A91BEF" w:rsidP="002D3536">
      <w:pPr>
        <w:tabs>
          <w:tab w:val="left" w:pos="1675"/>
        </w:tabs>
        <w:ind w:right="106"/>
        <w:rPr>
          <w:rFonts w:ascii="Arial" w:eastAsia="Arial" w:hAnsi="Arial" w:cs="Arial"/>
          <w:color w:val="000000"/>
          <w:sz w:val="16"/>
        </w:rPr>
      </w:pPr>
    </w:p>
    <w:p w14:paraId="5F0A8020" w14:textId="48BA3FA7" w:rsidR="00A91BEF" w:rsidRDefault="00A91BEF" w:rsidP="002D3536">
      <w:pPr>
        <w:tabs>
          <w:tab w:val="left" w:pos="1675"/>
        </w:tabs>
        <w:ind w:right="106"/>
        <w:rPr>
          <w:rFonts w:ascii="Arial" w:eastAsia="Arial" w:hAnsi="Arial" w:cs="Arial"/>
          <w:color w:val="000000"/>
          <w:sz w:val="16"/>
        </w:rPr>
      </w:pPr>
    </w:p>
    <w:p w14:paraId="2C28B57F" w14:textId="5D9D0392" w:rsidR="00A91BEF" w:rsidRDefault="00A91BEF" w:rsidP="002D3536">
      <w:pPr>
        <w:tabs>
          <w:tab w:val="left" w:pos="1675"/>
        </w:tabs>
        <w:ind w:right="106"/>
        <w:rPr>
          <w:rFonts w:ascii="Arial" w:eastAsia="Arial" w:hAnsi="Arial" w:cs="Arial"/>
          <w:color w:val="000000"/>
          <w:sz w:val="16"/>
        </w:rPr>
      </w:pPr>
    </w:p>
    <w:p w14:paraId="6B9ED446" w14:textId="437C8302" w:rsidR="00A91BEF" w:rsidRDefault="00A91BEF" w:rsidP="002D3536">
      <w:pPr>
        <w:tabs>
          <w:tab w:val="left" w:pos="1675"/>
        </w:tabs>
        <w:ind w:right="106"/>
        <w:rPr>
          <w:rFonts w:ascii="Arial" w:eastAsia="Arial" w:hAnsi="Arial" w:cs="Arial"/>
          <w:color w:val="000000"/>
          <w:sz w:val="16"/>
        </w:rPr>
      </w:pPr>
    </w:p>
    <w:p w14:paraId="1ABAC01E" w14:textId="341475C3" w:rsidR="00A91BEF" w:rsidRDefault="00A91BEF" w:rsidP="002D3536">
      <w:pPr>
        <w:tabs>
          <w:tab w:val="left" w:pos="1675"/>
        </w:tabs>
        <w:ind w:right="106"/>
        <w:rPr>
          <w:rFonts w:ascii="Arial" w:eastAsia="Arial" w:hAnsi="Arial" w:cs="Arial"/>
          <w:color w:val="000000"/>
          <w:sz w:val="16"/>
        </w:rPr>
      </w:pPr>
    </w:p>
    <w:p w14:paraId="0FF681D9" w14:textId="4106A76F" w:rsidR="00A91BEF" w:rsidRDefault="00A91BEF" w:rsidP="002D3536">
      <w:pPr>
        <w:tabs>
          <w:tab w:val="left" w:pos="1675"/>
        </w:tabs>
        <w:ind w:right="106"/>
        <w:rPr>
          <w:rFonts w:ascii="Arial" w:eastAsia="Arial" w:hAnsi="Arial" w:cs="Arial"/>
          <w:color w:val="000000"/>
          <w:sz w:val="16"/>
        </w:rPr>
      </w:pPr>
    </w:p>
    <w:p w14:paraId="37521542" w14:textId="1CD0D580" w:rsidR="00A91BEF" w:rsidRDefault="00A91BEF" w:rsidP="002D3536">
      <w:pPr>
        <w:tabs>
          <w:tab w:val="left" w:pos="1675"/>
        </w:tabs>
        <w:ind w:right="106"/>
        <w:rPr>
          <w:rFonts w:ascii="Arial" w:eastAsia="Arial" w:hAnsi="Arial" w:cs="Arial"/>
          <w:color w:val="000000"/>
          <w:sz w:val="16"/>
        </w:rPr>
      </w:pPr>
    </w:p>
    <w:p w14:paraId="129B6273" w14:textId="18892D02" w:rsidR="00A91BEF" w:rsidRDefault="00A91BEF" w:rsidP="002D3536">
      <w:pPr>
        <w:tabs>
          <w:tab w:val="left" w:pos="1675"/>
        </w:tabs>
        <w:ind w:right="106"/>
        <w:rPr>
          <w:rFonts w:ascii="Arial" w:eastAsia="Arial" w:hAnsi="Arial" w:cs="Arial"/>
          <w:color w:val="000000"/>
          <w:sz w:val="16"/>
        </w:rPr>
      </w:pPr>
    </w:p>
    <w:p w14:paraId="61906018" w14:textId="2EEE3387" w:rsidR="00A91BEF" w:rsidRDefault="00A91BEF" w:rsidP="002D3536">
      <w:pPr>
        <w:tabs>
          <w:tab w:val="left" w:pos="1675"/>
        </w:tabs>
        <w:ind w:right="106"/>
        <w:rPr>
          <w:rFonts w:ascii="Arial" w:eastAsia="Arial" w:hAnsi="Arial" w:cs="Arial"/>
          <w:color w:val="000000"/>
          <w:sz w:val="16"/>
        </w:rPr>
      </w:pPr>
    </w:p>
    <w:p w14:paraId="033B8183" w14:textId="58D281A5" w:rsidR="00A91BEF" w:rsidRDefault="00A91BEF" w:rsidP="002D3536">
      <w:pPr>
        <w:tabs>
          <w:tab w:val="left" w:pos="1675"/>
        </w:tabs>
        <w:ind w:right="106"/>
        <w:rPr>
          <w:rFonts w:ascii="Arial" w:eastAsia="Arial" w:hAnsi="Arial" w:cs="Arial"/>
          <w:color w:val="000000"/>
          <w:sz w:val="16"/>
        </w:rPr>
      </w:pPr>
    </w:p>
    <w:p w14:paraId="1EC48936" w14:textId="68F5CDAB" w:rsidR="00A91BEF" w:rsidRDefault="00A91BEF" w:rsidP="002D3536">
      <w:pPr>
        <w:tabs>
          <w:tab w:val="left" w:pos="1675"/>
        </w:tabs>
        <w:ind w:right="106"/>
        <w:rPr>
          <w:rFonts w:ascii="Arial" w:eastAsia="Arial" w:hAnsi="Arial" w:cs="Arial"/>
          <w:color w:val="000000"/>
          <w:sz w:val="16"/>
        </w:rPr>
      </w:pPr>
    </w:p>
    <w:p w14:paraId="38E001E0" w14:textId="77777777" w:rsidR="00A91BEF" w:rsidRPr="009E49E6" w:rsidRDefault="00A91BEF" w:rsidP="002D3536">
      <w:pPr>
        <w:tabs>
          <w:tab w:val="left" w:pos="1675"/>
        </w:tabs>
        <w:ind w:right="106"/>
        <w:rPr>
          <w:rFonts w:ascii="Arial" w:eastAsia="Arial" w:hAnsi="Arial" w:cs="Arial"/>
          <w:color w:val="000000"/>
          <w:sz w:val="16"/>
        </w:rPr>
      </w:pPr>
    </w:p>
    <w:p w14:paraId="42D90C40" w14:textId="77777777" w:rsidR="00A2351A" w:rsidRDefault="002D5C25" w:rsidP="006F3CBE">
      <w:pPr>
        <w:pStyle w:val="Nadpis2"/>
        <w:spacing w:before="0" w:after="0"/>
      </w:pPr>
      <w:bookmarkStart w:id="11" w:name="_Toc39495067"/>
      <w:r>
        <w:t>Milníky a cíle stanovené ve výkonnostním rámci (čl. 50 odst. 2 nařízení (EU) č. 1303/2013) – předloženo ve výročních zprávách o implementaci od roku 2017</w:t>
      </w:r>
      <w:bookmarkEnd w:id="11"/>
    </w:p>
    <w:p w14:paraId="72B75162" w14:textId="488A3C6F" w:rsidR="00A2351A" w:rsidRDefault="002D5C25" w:rsidP="00152B3D">
      <w:pPr>
        <w:ind w:left="115" w:right="812"/>
        <w:jc w:val="both"/>
        <w:rPr>
          <w:rFonts w:ascii="Arial" w:eastAsia="Arial" w:hAnsi="Arial" w:cs="Arial"/>
          <w:color w:val="000000"/>
          <w:sz w:val="20"/>
        </w:rPr>
      </w:pPr>
      <w:r>
        <w:rPr>
          <w:rFonts w:ascii="Arial" w:eastAsia="Arial" w:hAnsi="Arial" w:cs="Arial"/>
          <w:color w:val="000000"/>
          <w:sz w:val="20"/>
        </w:rPr>
        <w:t>Poskytnutí údajů o finančních ukazatelích, klíčových prováděcích krocích, indikátorech výstupů a výsledků jako milníků a cílů pro výkonnostní rámec (počínaje zprávami, které mají být předloženy v roce 2017).</w:t>
      </w:r>
    </w:p>
    <w:p w14:paraId="7A3D5772" w14:textId="77777777" w:rsidR="00A91BEF" w:rsidRDefault="00A91BEF" w:rsidP="00152B3D">
      <w:pPr>
        <w:ind w:left="115" w:right="812"/>
        <w:jc w:val="both"/>
        <w:rPr>
          <w:rFonts w:ascii="Arial" w:eastAsia="Arial" w:hAnsi="Arial" w:cs="Arial"/>
          <w:color w:val="000000"/>
          <w:sz w:val="20"/>
        </w:rPr>
      </w:pPr>
    </w:p>
    <w:p w14:paraId="7DBA220C" w14:textId="77777777" w:rsidR="00A2351A" w:rsidRDefault="002D5C25">
      <w:pPr>
        <w:keepNext/>
        <w:tabs>
          <w:tab w:val="left" w:pos="1675"/>
        </w:tabs>
        <w:ind w:left="115" w:right="106"/>
        <w:rPr>
          <w:rFonts w:ascii="Arial" w:eastAsia="Arial" w:hAnsi="Arial" w:cs="Arial"/>
          <w:b/>
          <w:bCs/>
          <w:i/>
          <w:iCs/>
          <w:color w:val="000000"/>
          <w:sz w:val="20"/>
        </w:rPr>
      </w:pPr>
      <w:r>
        <w:rPr>
          <w:rFonts w:ascii="Arial" w:eastAsia="Arial" w:hAnsi="Arial" w:cs="Arial"/>
          <w:b/>
          <w:bCs/>
          <w:i/>
          <w:iCs/>
          <w:color w:val="000000"/>
          <w:sz w:val="20"/>
        </w:rPr>
        <w:t>Tabulka 5: Informace o milnících a cílech stanovených ve výkonnostním rámci</w:t>
      </w:r>
    </w:p>
    <w:tbl>
      <w:tblPr>
        <w:tblW w:w="15958" w:type="dxa"/>
        <w:tblInd w:w="80" w:type="dxa"/>
        <w:tblCellMar>
          <w:left w:w="70" w:type="dxa"/>
          <w:right w:w="70" w:type="dxa"/>
        </w:tblCellMar>
        <w:tblLook w:val="04A0" w:firstRow="1" w:lastRow="0" w:firstColumn="1" w:lastColumn="0" w:noHBand="0" w:noVBand="1"/>
      </w:tblPr>
      <w:tblGrid>
        <w:gridCol w:w="677"/>
        <w:gridCol w:w="771"/>
        <w:gridCol w:w="568"/>
        <w:gridCol w:w="1066"/>
        <w:gridCol w:w="716"/>
        <w:gridCol w:w="483"/>
        <w:gridCol w:w="934"/>
        <w:gridCol w:w="946"/>
        <w:gridCol w:w="946"/>
        <w:gridCol w:w="6"/>
        <w:gridCol w:w="665"/>
        <w:gridCol w:w="671"/>
        <w:gridCol w:w="776"/>
        <w:gridCol w:w="1036"/>
        <w:gridCol w:w="776"/>
        <w:gridCol w:w="976"/>
        <w:gridCol w:w="776"/>
        <w:gridCol w:w="776"/>
        <w:gridCol w:w="776"/>
        <w:gridCol w:w="777"/>
        <w:gridCol w:w="833"/>
        <w:gridCol w:w="7"/>
      </w:tblGrid>
      <w:tr w:rsidR="00584BDC" w:rsidRPr="00584BDC" w14:paraId="4E753E1A" w14:textId="77777777" w:rsidTr="0025557F">
        <w:trPr>
          <w:trHeight w:val="179"/>
          <w:tblHeader/>
        </w:trPr>
        <w:tc>
          <w:tcPr>
            <w:tcW w:w="7113" w:type="dxa"/>
            <w:gridSpan w:val="10"/>
            <w:tcBorders>
              <w:top w:val="single" w:sz="8" w:space="0" w:color="auto"/>
              <w:left w:val="single" w:sz="8" w:space="0" w:color="auto"/>
              <w:bottom w:val="single" w:sz="8" w:space="0" w:color="auto"/>
              <w:right w:val="single" w:sz="8" w:space="0" w:color="000000"/>
            </w:tcBorders>
            <w:shd w:val="clear" w:color="000000" w:fill="FFFFFF"/>
            <w:vAlign w:val="center"/>
            <w:hideMark/>
          </w:tcPr>
          <w:p w14:paraId="1BB81628" w14:textId="77777777" w:rsidR="00584BDC" w:rsidRPr="00584BDC" w:rsidRDefault="00584BDC" w:rsidP="00584BDC">
            <w:pPr>
              <w:jc w:val="center"/>
              <w:rPr>
                <w:rFonts w:ascii="Calibri" w:eastAsia="Times New Roman" w:hAnsi="Calibri" w:cs="Calibri"/>
                <w:color w:val="000000"/>
                <w:lang w:val="cs-CZ" w:eastAsia="cs-CZ"/>
              </w:rPr>
            </w:pPr>
            <w:r w:rsidRPr="00584BDC">
              <w:rPr>
                <w:rFonts w:ascii="Calibri" w:eastAsia="Times New Roman" w:hAnsi="Calibri" w:cs="Calibri"/>
                <w:color w:val="000000"/>
                <w:lang w:val="cs-CZ" w:eastAsia="cs-CZ"/>
              </w:rPr>
              <w:t> </w:t>
            </w:r>
          </w:p>
        </w:tc>
        <w:tc>
          <w:tcPr>
            <w:tcW w:w="8845" w:type="dxa"/>
            <w:gridSpan w:val="12"/>
            <w:tcBorders>
              <w:top w:val="single" w:sz="8" w:space="0" w:color="auto"/>
              <w:left w:val="nil"/>
              <w:bottom w:val="single" w:sz="8" w:space="0" w:color="auto"/>
              <w:right w:val="single" w:sz="8" w:space="0" w:color="000000"/>
            </w:tcBorders>
            <w:shd w:val="clear" w:color="000000" w:fill="FFFFFF"/>
            <w:vAlign w:val="center"/>
            <w:hideMark/>
          </w:tcPr>
          <w:p w14:paraId="0036B974"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Dosažená hodnota *</w:t>
            </w:r>
          </w:p>
        </w:tc>
      </w:tr>
      <w:tr w:rsidR="00584BDC" w:rsidRPr="00584BDC" w14:paraId="214B10B3" w14:textId="77777777" w:rsidTr="0025557F">
        <w:trPr>
          <w:gridAfter w:val="1"/>
          <w:wAfter w:w="7" w:type="dxa"/>
          <w:trHeight w:val="179"/>
          <w:tblHeader/>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2DC56AC"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Prioritní osa</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9F5C393"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Druh ukazatele</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45CB5FF"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ID</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3BECF14"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Ukazatel nebo klíčový prováděcí krok</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A1B0B2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Měrná jednotka</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A86DB2A"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Fond</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2929C7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Kategorie regionu</w:t>
            </w:r>
          </w:p>
        </w:tc>
        <w:tc>
          <w:tcPr>
            <w:tcW w:w="94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D8A7D7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Milník pro rok 2018</w:t>
            </w:r>
          </w:p>
        </w:tc>
        <w:tc>
          <w:tcPr>
            <w:tcW w:w="94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4FD1DF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Cílová hodnota (2023)</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D729837"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2014</w:t>
            </w:r>
          </w:p>
        </w:tc>
        <w:tc>
          <w:tcPr>
            <w:tcW w:w="671" w:type="dxa"/>
            <w:tcBorders>
              <w:top w:val="nil"/>
              <w:left w:val="nil"/>
              <w:bottom w:val="single" w:sz="8" w:space="0" w:color="auto"/>
              <w:right w:val="single" w:sz="8" w:space="0" w:color="auto"/>
            </w:tcBorders>
            <w:shd w:val="clear" w:color="000000" w:fill="FFFFFF"/>
            <w:vAlign w:val="center"/>
            <w:hideMark/>
          </w:tcPr>
          <w:p w14:paraId="604664DF"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2015</w:t>
            </w:r>
          </w:p>
        </w:tc>
        <w:tc>
          <w:tcPr>
            <w:tcW w:w="776" w:type="dxa"/>
            <w:tcBorders>
              <w:top w:val="nil"/>
              <w:left w:val="nil"/>
              <w:bottom w:val="single" w:sz="8" w:space="0" w:color="auto"/>
              <w:right w:val="single" w:sz="8" w:space="0" w:color="auto"/>
            </w:tcBorders>
            <w:shd w:val="clear" w:color="000000" w:fill="FFFFFF"/>
            <w:vAlign w:val="center"/>
            <w:hideMark/>
          </w:tcPr>
          <w:p w14:paraId="0798B8A0"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2016</w:t>
            </w:r>
          </w:p>
        </w:tc>
        <w:tc>
          <w:tcPr>
            <w:tcW w:w="1036" w:type="dxa"/>
            <w:tcBorders>
              <w:top w:val="nil"/>
              <w:left w:val="nil"/>
              <w:bottom w:val="single" w:sz="8" w:space="0" w:color="auto"/>
              <w:right w:val="single" w:sz="8" w:space="0" w:color="auto"/>
            </w:tcBorders>
            <w:shd w:val="clear" w:color="000000" w:fill="FFFFFF"/>
            <w:vAlign w:val="center"/>
            <w:hideMark/>
          </w:tcPr>
          <w:p w14:paraId="08EF7E09"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2017</w:t>
            </w:r>
          </w:p>
        </w:tc>
        <w:tc>
          <w:tcPr>
            <w:tcW w:w="776" w:type="dxa"/>
            <w:tcBorders>
              <w:top w:val="nil"/>
              <w:left w:val="nil"/>
              <w:bottom w:val="single" w:sz="8" w:space="0" w:color="auto"/>
              <w:right w:val="single" w:sz="8" w:space="0" w:color="auto"/>
            </w:tcBorders>
            <w:shd w:val="clear" w:color="auto" w:fill="auto"/>
            <w:vAlign w:val="center"/>
            <w:hideMark/>
          </w:tcPr>
          <w:p w14:paraId="66C2E3AD"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2018</w:t>
            </w:r>
          </w:p>
        </w:tc>
        <w:tc>
          <w:tcPr>
            <w:tcW w:w="976" w:type="dxa"/>
            <w:tcBorders>
              <w:top w:val="nil"/>
              <w:left w:val="nil"/>
              <w:bottom w:val="single" w:sz="8" w:space="0" w:color="auto"/>
              <w:right w:val="single" w:sz="8" w:space="0" w:color="auto"/>
            </w:tcBorders>
            <w:shd w:val="clear" w:color="000000" w:fill="FFFFFF"/>
            <w:vAlign w:val="center"/>
            <w:hideMark/>
          </w:tcPr>
          <w:p w14:paraId="5DA55DD4"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2019</w:t>
            </w:r>
          </w:p>
        </w:tc>
        <w:tc>
          <w:tcPr>
            <w:tcW w:w="776" w:type="dxa"/>
            <w:tcBorders>
              <w:top w:val="nil"/>
              <w:left w:val="nil"/>
              <w:bottom w:val="single" w:sz="8" w:space="0" w:color="auto"/>
              <w:right w:val="single" w:sz="8" w:space="0" w:color="auto"/>
            </w:tcBorders>
            <w:shd w:val="clear" w:color="000000" w:fill="FFFFFF"/>
            <w:vAlign w:val="center"/>
            <w:hideMark/>
          </w:tcPr>
          <w:p w14:paraId="2C0D8321"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2020</w:t>
            </w:r>
          </w:p>
        </w:tc>
        <w:tc>
          <w:tcPr>
            <w:tcW w:w="776" w:type="dxa"/>
            <w:tcBorders>
              <w:top w:val="nil"/>
              <w:left w:val="nil"/>
              <w:bottom w:val="single" w:sz="8" w:space="0" w:color="auto"/>
              <w:right w:val="single" w:sz="8" w:space="0" w:color="auto"/>
            </w:tcBorders>
            <w:shd w:val="clear" w:color="000000" w:fill="FFFFFF"/>
            <w:vAlign w:val="center"/>
            <w:hideMark/>
          </w:tcPr>
          <w:p w14:paraId="1D6C5F29"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2021</w:t>
            </w:r>
          </w:p>
        </w:tc>
        <w:tc>
          <w:tcPr>
            <w:tcW w:w="776" w:type="dxa"/>
            <w:tcBorders>
              <w:top w:val="nil"/>
              <w:left w:val="nil"/>
              <w:bottom w:val="single" w:sz="8" w:space="0" w:color="auto"/>
              <w:right w:val="single" w:sz="8" w:space="0" w:color="auto"/>
            </w:tcBorders>
            <w:shd w:val="clear" w:color="000000" w:fill="FFFFFF"/>
            <w:vAlign w:val="center"/>
            <w:hideMark/>
          </w:tcPr>
          <w:p w14:paraId="618B5706"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2022</w:t>
            </w:r>
          </w:p>
        </w:tc>
        <w:tc>
          <w:tcPr>
            <w:tcW w:w="777" w:type="dxa"/>
            <w:tcBorders>
              <w:top w:val="nil"/>
              <w:left w:val="nil"/>
              <w:bottom w:val="single" w:sz="8" w:space="0" w:color="auto"/>
              <w:right w:val="single" w:sz="8" w:space="0" w:color="auto"/>
            </w:tcBorders>
            <w:shd w:val="clear" w:color="000000" w:fill="FFFFFF"/>
            <w:vAlign w:val="center"/>
            <w:hideMark/>
          </w:tcPr>
          <w:p w14:paraId="399664AF"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2023</w:t>
            </w:r>
          </w:p>
        </w:tc>
        <w:tc>
          <w:tcPr>
            <w:tcW w:w="83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9A16FC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Vysvětlení (v přadě potřeby)</w:t>
            </w:r>
          </w:p>
        </w:tc>
      </w:tr>
      <w:tr w:rsidR="00584BDC" w:rsidRPr="00584BDC" w14:paraId="2C46FA6C" w14:textId="77777777" w:rsidTr="0025557F">
        <w:trPr>
          <w:gridAfter w:val="1"/>
          <w:wAfter w:w="7" w:type="dxa"/>
          <w:trHeight w:val="179"/>
          <w:tblHeader/>
        </w:trPr>
        <w:tc>
          <w:tcPr>
            <w:tcW w:w="677" w:type="dxa"/>
            <w:vMerge/>
            <w:tcBorders>
              <w:top w:val="nil"/>
              <w:left w:val="single" w:sz="8" w:space="0" w:color="auto"/>
              <w:bottom w:val="single" w:sz="8" w:space="0" w:color="000000"/>
              <w:right w:val="single" w:sz="8" w:space="0" w:color="auto"/>
            </w:tcBorders>
            <w:vAlign w:val="center"/>
            <w:hideMark/>
          </w:tcPr>
          <w:p w14:paraId="57CC54DB" w14:textId="77777777" w:rsidR="00584BDC" w:rsidRPr="00584BDC" w:rsidRDefault="00584BDC" w:rsidP="00584BDC">
            <w:pPr>
              <w:rPr>
                <w:rFonts w:ascii="Arial" w:eastAsia="Times New Roman" w:hAnsi="Arial" w:cs="Arial"/>
                <w:b/>
                <w:bCs/>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4E02761" w14:textId="77777777" w:rsidR="00584BDC" w:rsidRPr="00584BDC" w:rsidRDefault="00584BDC" w:rsidP="00584BDC">
            <w:pPr>
              <w:rPr>
                <w:rFonts w:ascii="Arial" w:eastAsia="Times New Roman" w:hAnsi="Arial" w:cs="Arial"/>
                <w:b/>
                <w:bCs/>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6539B91" w14:textId="77777777" w:rsidR="00584BDC" w:rsidRPr="00584BDC" w:rsidRDefault="00584BDC" w:rsidP="00584BDC">
            <w:pPr>
              <w:rPr>
                <w:rFonts w:ascii="Arial" w:eastAsia="Times New Roman" w:hAnsi="Arial" w:cs="Arial"/>
                <w:b/>
                <w:bCs/>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083CFA9" w14:textId="77777777" w:rsidR="00584BDC" w:rsidRPr="00584BDC" w:rsidRDefault="00584BDC" w:rsidP="00584BDC">
            <w:pPr>
              <w:rPr>
                <w:rFonts w:ascii="Arial" w:eastAsia="Times New Roman" w:hAnsi="Arial" w:cs="Arial"/>
                <w:b/>
                <w:bCs/>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BC252E6" w14:textId="77777777" w:rsidR="00584BDC" w:rsidRPr="00584BDC" w:rsidRDefault="00584BDC" w:rsidP="00584BDC">
            <w:pPr>
              <w:rPr>
                <w:rFonts w:ascii="Arial" w:eastAsia="Times New Roman" w:hAnsi="Arial" w:cs="Arial"/>
                <w:b/>
                <w:bCs/>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8F3067E" w14:textId="77777777" w:rsidR="00584BDC" w:rsidRPr="00584BDC" w:rsidRDefault="00584BDC" w:rsidP="00584BDC">
            <w:pPr>
              <w:rPr>
                <w:rFonts w:ascii="Arial" w:eastAsia="Times New Roman" w:hAnsi="Arial" w:cs="Arial"/>
                <w:b/>
                <w:bCs/>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E4CC771"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28C38AF"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8674427" w14:textId="77777777" w:rsidR="00584BDC" w:rsidRPr="00584BDC" w:rsidRDefault="00584BDC" w:rsidP="00584BDC">
            <w:pPr>
              <w:rPr>
                <w:rFonts w:ascii="Arial" w:eastAsia="Times New Roman" w:hAnsi="Arial" w:cs="Arial"/>
                <w:b/>
                <w:bCs/>
                <w:color w:val="000000"/>
                <w:sz w:val="14"/>
                <w:szCs w:val="14"/>
                <w:lang w:val="cs-CZ" w:eastAsia="cs-CZ"/>
              </w:rPr>
            </w:pPr>
          </w:p>
        </w:tc>
        <w:tc>
          <w:tcPr>
            <w:tcW w:w="8011" w:type="dxa"/>
            <w:gridSpan w:val="11"/>
            <w:tcBorders>
              <w:top w:val="single" w:sz="8" w:space="0" w:color="auto"/>
              <w:left w:val="nil"/>
              <w:bottom w:val="single" w:sz="8" w:space="0" w:color="auto"/>
              <w:right w:val="nil"/>
            </w:tcBorders>
            <w:shd w:val="clear" w:color="000000" w:fill="FFFFFF"/>
            <w:vAlign w:val="center"/>
            <w:hideMark/>
          </w:tcPr>
          <w:p w14:paraId="1CAE56F3"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Roční hodnota</w:t>
            </w:r>
          </w:p>
        </w:tc>
        <w:tc>
          <w:tcPr>
            <w:tcW w:w="833" w:type="dxa"/>
            <w:vMerge/>
            <w:tcBorders>
              <w:top w:val="nil"/>
              <w:left w:val="single" w:sz="8" w:space="0" w:color="auto"/>
              <w:bottom w:val="single" w:sz="8" w:space="0" w:color="000000"/>
              <w:right w:val="single" w:sz="8" w:space="0" w:color="auto"/>
            </w:tcBorders>
            <w:vAlign w:val="center"/>
            <w:hideMark/>
          </w:tcPr>
          <w:p w14:paraId="674A6664" w14:textId="77777777" w:rsidR="00584BDC" w:rsidRPr="00584BDC" w:rsidRDefault="00584BDC" w:rsidP="00584BDC">
            <w:pPr>
              <w:rPr>
                <w:rFonts w:ascii="Arial" w:eastAsia="Times New Roman" w:hAnsi="Arial" w:cs="Arial"/>
                <w:b/>
                <w:bCs/>
                <w:color w:val="000000"/>
                <w:sz w:val="14"/>
                <w:szCs w:val="14"/>
                <w:lang w:val="cs-CZ" w:eastAsia="cs-CZ"/>
              </w:rPr>
            </w:pPr>
          </w:p>
        </w:tc>
      </w:tr>
      <w:tr w:rsidR="00584BDC" w:rsidRPr="00584BDC" w14:paraId="6747F100" w14:textId="77777777" w:rsidTr="0025557F">
        <w:trPr>
          <w:gridAfter w:val="1"/>
          <w:wAfter w:w="7" w:type="dxa"/>
          <w:trHeight w:val="179"/>
          <w:tblHeader/>
        </w:trPr>
        <w:tc>
          <w:tcPr>
            <w:tcW w:w="677" w:type="dxa"/>
            <w:vMerge/>
            <w:tcBorders>
              <w:top w:val="nil"/>
              <w:left w:val="single" w:sz="8" w:space="0" w:color="auto"/>
              <w:bottom w:val="single" w:sz="8" w:space="0" w:color="000000"/>
              <w:right w:val="single" w:sz="8" w:space="0" w:color="auto"/>
            </w:tcBorders>
            <w:vAlign w:val="center"/>
            <w:hideMark/>
          </w:tcPr>
          <w:p w14:paraId="3A01D0E2" w14:textId="77777777" w:rsidR="00584BDC" w:rsidRPr="00584BDC" w:rsidRDefault="00584BDC" w:rsidP="00584BDC">
            <w:pPr>
              <w:rPr>
                <w:rFonts w:ascii="Arial" w:eastAsia="Times New Roman" w:hAnsi="Arial" w:cs="Arial"/>
                <w:b/>
                <w:bCs/>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2B74B29" w14:textId="77777777" w:rsidR="00584BDC" w:rsidRPr="00584BDC" w:rsidRDefault="00584BDC" w:rsidP="00584BDC">
            <w:pPr>
              <w:rPr>
                <w:rFonts w:ascii="Arial" w:eastAsia="Times New Roman" w:hAnsi="Arial" w:cs="Arial"/>
                <w:b/>
                <w:bCs/>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CCB54A9" w14:textId="77777777" w:rsidR="00584BDC" w:rsidRPr="00584BDC" w:rsidRDefault="00584BDC" w:rsidP="00584BDC">
            <w:pPr>
              <w:rPr>
                <w:rFonts w:ascii="Arial" w:eastAsia="Times New Roman" w:hAnsi="Arial" w:cs="Arial"/>
                <w:b/>
                <w:bCs/>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F7BBF79" w14:textId="77777777" w:rsidR="00584BDC" w:rsidRPr="00584BDC" w:rsidRDefault="00584BDC" w:rsidP="00584BDC">
            <w:pPr>
              <w:rPr>
                <w:rFonts w:ascii="Arial" w:eastAsia="Times New Roman" w:hAnsi="Arial" w:cs="Arial"/>
                <w:b/>
                <w:bCs/>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96D43F8" w14:textId="77777777" w:rsidR="00584BDC" w:rsidRPr="00584BDC" w:rsidRDefault="00584BDC" w:rsidP="00584BDC">
            <w:pPr>
              <w:rPr>
                <w:rFonts w:ascii="Arial" w:eastAsia="Times New Roman" w:hAnsi="Arial" w:cs="Arial"/>
                <w:b/>
                <w:bCs/>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FD57815" w14:textId="77777777" w:rsidR="00584BDC" w:rsidRPr="00584BDC" w:rsidRDefault="00584BDC" w:rsidP="00584BDC">
            <w:pPr>
              <w:rPr>
                <w:rFonts w:ascii="Arial" w:eastAsia="Times New Roman" w:hAnsi="Arial" w:cs="Arial"/>
                <w:b/>
                <w:bCs/>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B6C8230"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CCB4CFE"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E559925" w14:textId="77777777" w:rsidR="00584BDC" w:rsidRPr="00584BDC" w:rsidRDefault="00584BDC" w:rsidP="00584BDC">
            <w:pPr>
              <w:rPr>
                <w:rFonts w:ascii="Arial" w:eastAsia="Times New Roman" w:hAnsi="Arial" w:cs="Arial"/>
                <w:b/>
                <w:bCs/>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44E0F76F"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671" w:type="dxa"/>
            <w:tcBorders>
              <w:top w:val="nil"/>
              <w:left w:val="nil"/>
              <w:bottom w:val="single" w:sz="8" w:space="0" w:color="auto"/>
              <w:right w:val="single" w:sz="8" w:space="0" w:color="auto"/>
            </w:tcBorders>
            <w:shd w:val="clear" w:color="000000" w:fill="E7E6E6"/>
            <w:vAlign w:val="center"/>
            <w:hideMark/>
          </w:tcPr>
          <w:p w14:paraId="058132BF"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48847F8F"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1036" w:type="dxa"/>
            <w:tcBorders>
              <w:top w:val="nil"/>
              <w:left w:val="nil"/>
              <w:bottom w:val="single" w:sz="8" w:space="0" w:color="auto"/>
              <w:right w:val="single" w:sz="8" w:space="0" w:color="auto"/>
            </w:tcBorders>
            <w:shd w:val="clear" w:color="000000" w:fill="E7E6E6"/>
            <w:vAlign w:val="center"/>
            <w:hideMark/>
          </w:tcPr>
          <w:p w14:paraId="1E1E774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11D3A376"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976" w:type="dxa"/>
            <w:tcBorders>
              <w:top w:val="nil"/>
              <w:left w:val="nil"/>
              <w:bottom w:val="single" w:sz="8" w:space="0" w:color="auto"/>
              <w:right w:val="single" w:sz="8" w:space="0" w:color="auto"/>
            </w:tcBorders>
            <w:shd w:val="clear" w:color="000000" w:fill="E7E6E6"/>
            <w:vAlign w:val="center"/>
            <w:hideMark/>
          </w:tcPr>
          <w:p w14:paraId="7F329B36"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53797368"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754D424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2FF5AF43"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7" w:type="dxa"/>
            <w:tcBorders>
              <w:top w:val="nil"/>
              <w:left w:val="nil"/>
              <w:bottom w:val="single" w:sz="8" w:space="0" w:color="auto"/>
              <w:right w:val="single" w:sz="8" w:space="0" w:color="auto"/>
            </w:tcBorders>
            <w:shd w:val="clear" w:color="000000" w:fill="E7E6E6"/>
            <w:vAlign w:val="center"/>
            <w:hideMark/>
          </w:tcPr>
          <w:p w14:paraId="7F5159C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833" w:type="dxa"/>
            <w:vMerge/>
            <w:tcBorders>
              <w:top w:val="nil"/>
              <w:left w:val="single" w:sz="8" w:space="0" w:color="auto"/>
              <w:bottom w:val="single" w:sz="8" w:space="0" w:color="000000"/>
              <w:right w:val="single" w:sz="8" w:space="0" w:color="auto"/>
            </w:tcBorders>
            <w:vAlign w:val="center"/>
            <w:hideMark/>
          </w:tcPr>
          <w:p w14:paraId="6EEF2413" w14:textId="77777777" w:rsidR="00584BDC" w:rsidRPr="00584BDC" w:rsidRDefault="00584BDC" w:rsidP="00584BDC">
            <w:pPr>
              <w:rPr>
                <w:rFonts w:ascii="Arial" w:eastAsia="Times New Roman" w:hAnsi="Arial" w:cs="Arial"/>
                <w:b/>
                <w:bCs/>
                <w:color w:val="000000"/>
                <w:sz w:val="14"/>
                <w:szCs w:val="14"/>
                <w:lang w:val="cs-CZ" w:eastAsia="cs-CZ"/>
              </w:rPr>
            </w:pPr>
          </w:p>
        </w:tc>
      </w:tr>
      <w:tr w:rsidR="00584BDC" w:rsidRPr="00584BDC" w14:paraId="61F1E1E5" w14:textId="77777777" w:rsidTr="0025557F">
        <w:trPr>
          <w:gridAfter w:val="1"/>
          <w:wAfter w:w="7" w:type="dxa"/>
          <w:trHeight w:val="179"/>
          <w:tblHeader/>
        </w:trPr>
        <w:tc>
          <w:tcPr>
            <w:tcW w:w="677" w:type="dxa"/>
            <w:vMerge/>
            <w:tcBorders>
              <w:top w:val="nil"/>
              <w:left w:val="single" w:sz="8" w:space="0" w:color="auto"/>
              <w:bottom w:val="single" w:sz="8" w:space="0" w:color="000000"/>
              <w:right w:val="single" w:sz="8" w:space="0" w:color="auto"/>
            </w:tcBorders>
            <w:vAlign w:val="center"/>
            <w:hideMark/>
          </w:tcPr>
          <w:p w14:paraId="4DF56FD4" w14:textId="77777777" w:rsidR="00584BDC" w:rsidRPr="00584BDC" w:rsidRDefault="00584BDC" w:rsidP="00584BDC">
            <w:pPr>
              <w:rPr>
                <w:rFonts w:ascii="Arial" w:eastAsia="Times New Roman" w:hAnsi="Arial" w:cs="Arial"/>
                <w:b/>
                <w:bCs/>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BD00842" w14:textId="77777777" w:rsidR="00584BDC" w:rsidRPr="00584BDC" w:rsidRDefault="00584BDC" w:rsidP="00584BDC">
            <w:pPr>
              <w:rPr>
                <w:rFonts w:ascii="Arial" w:eastAsia="Times New Roman" w:hAnsi="Arial" w:cs="Arial"/>
                <w:b/>
                <w:bCs/>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6D9A990" w14:textId="77777777" w:rsidR="00584BDC" w:rsidRPr="00584BDC" w:rsidRDefault="00584BDC" w:rsidP="00584BDC">
            <w:pPr>
              <w:rPr>
                <w:rFonts w:ascii="Arial" w:eastAsia="Times New Roman" w:hAnsi="Arial" w:cs="Arial"/>
                <w:b/>
                <w:bCs/>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74ACE21" w14:textId="77777777" w:rsidR="00584BDC" w:rsidRPr="00584BDC" w:rsidRDefault="00584BDC" w:rsidP="00584BDC">
            <w:pPr>
              <w:rPr>
                <w:rFonts w:ascii="Arial" w:eastAsia="Times New Roman" w:hAnsi="Arial" w:cs="Arial"/>
                <w:b/>
                <w:bCs/>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BD2B982" w14:textId="77777777" w:rsidR="00584BDC" w:rsidRPr="00584BDC" w:rsidRDefault="00584BDC" w:rsidP="00584BDC">
            <w:pPr>
              <w:rPr>
                <w:rFonts w:ascii="Arial" w:eastAsia="Times New Roman" w:hAnsi="Arial" w:cs="Arial"/>
                <w:b/>
                <w:bCs/>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2E236AE6" w14:textId="77777777" w:rsidR="00584BDC" w:rsidRPr="00584BDC" w:rsidRDefault="00584BDC" w:rsidP="00584BDC">
            <w:pPr>
              <w:rPr>
                <w:rFonts w:ascii="Arial" w:eastAsia="Times New Roman" w:hAnsi="Arial" w:cs="Arial"/>
                <w:b/>
                <w:bCs/>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FC8B5A6"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1ED6EB4"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CBCE195" w14:textId="77777777" w:rsidR="00584BDC" w:rsidRPr="00584BDC" w:rsidRDefault="00584BDC" w:rsidP="00584BDC">
            <w:pPr>
              <w:rPr>
                <w:rFonts w:ascii="Arial" w:eastAsia="Times New Roman" w:hAnsi="Arial" w:cs="Arial"/>
                <w:b/>
                <w:bCs/>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3526E413"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671" w:type="dxa"/>
            <w:tcBorders>
              <w:top w:val="nil"/>
              <w:left w:val="nil"/>
              <w:bottom w:val="single" w:sz="8" w:space="0" w:color="auto"/>
              <w:right w:val="single" w:sz="8" w:space="0" w:color="auto"/>
            </w:tcBorders>
            <w:shd w:val="clear" w:color="000000" w:fill="FFFFFF"/>
            <w:vAlign w:val="center"/>
            <w:hideMark/>
          </w:tcPr>
          <w:p w14:paraId="300889AA"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000000" w:fill="FFFFFF"/>
            <w:vAlign w:val="center"/>
            <w:hideMark/>
          </w:tcPr>
          <w:p w14:paraId="529613A7"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1036" w:type="dxa"/>
            <w:tcBorders>
              <w:top w:val="nil"/>
              <w:left w:val="nil"/>
              <w:bottom w:val="single" w:sz="8" w:space="0" w:color="auto"/>
              <w:right w:val="single" w:sz="8" w:space="0" w:color="auto"/>
            </w:tcBorders>
            <w:shd w:val="clear" w:color="000000" w:fill="FFFFFF"/>
            <w:vAlign w:val="center"/>
            <w:hideMark/>
          </w:tcPr>
          <w:p w14:paraId="627CBFCA"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auto" w:fill="auto"/>
            <w:vAlign w:val="center"/>
            <w:hideMark/>
          </w:tcPr>
          <w:p w14:paraId="66D68538"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976" w:type="dxa"/>
            <w:tcBorders>
              <w:top w:val="nil"/>
              <w:left w:val="nil"/>
              <w:bottom w:val="single" w:sz="8" w:space="0" w:color="auto"/>
              <w:right w:val="single" w:sz="8" w:space="0" w:color="auto"/>
            </w:tcBorders>
            <w:shd w:val="clear" w:color="000000" w:fill="FFFFFF"/>
            <w:vAlign w:val="center"/>
            <w:hideMark/>
          </w:tcPr>
          <w:p w14:paraId="4EC19135"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000000" w:fill="FFFFFF"/>
            <w:vAlign w:val="center"/>
            <w:hideMark/>
          </w:tcPr>
          <w:p w14:paraId="72EC6C40"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000000" w:fill="FFFFFF"/>
            <w:vAlign w:val="center"/>
            <w:hideMark/>
          </w:tcPr>
          <w:p w14:paraId="7301D6D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000000" w:fill="FFFFFF"/>
            <w:vAlign w:val="center"/>
            <w:hideMark/>
          </w:tcPr>
          <w:p w14:paraId="289B34FF"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7" w:type="dxa"/>
            <w:tcBorders>
              <w:top w:val="nil"/>
              <w:left w:val="nil"/>
              <w:bottom w:val="single" w:sz="8" w:space="0" w:color="auto"/>
              <w:right w:val="single" w:sz="8" w:space="0" w:color="auto"/>
            </w:tcBorders>
            <w:shd w:val="clear" w:color="000000" w:fill="FFFFFF"/>
            <w:vAlign w:val="center"/>
            <w:hideMark/>
          </w:tcPr>
          <w:p w14:paraId="654CD41B"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833" w:type="dxa"/>
            <w:vMerge/>
            <w:tcBorders>
              <w:top w:val="nil"/>
              <w:left w:val="single" w:sz="8" w:space="0" w:color="auto"/>
              <w:bottom w:val="single" w:sz="8" w:space="0" w:color="000000"/>
              <w:right w:val="single" w:sz="8" w:space="0" w:color="auto"/>
            </w:tcBorders>
            <w:vAlign w:val="center"/>
            <w:hideMark/>
          </w:tcPr>
          <w:p w14:paraId="4F71F5DC" w14:textId="77777777" w:rsidR="00584BDC" w:rsidRPr="00584BDC" w:rsidRDefault="00584BDC" w:rsidP="00584BDC">
            <w:pPr>
              <w:rPr>
                <w:rFonts w:ascii="Arial" w:eastAsia="Times New Roman" w:hAnsi="Arial" w:cs="Arial"/>
                <w:b/>
                <w:bCs/>
                <w:color w:val="000000"/>
                <w:sz w:val="14"/>
                <w:szCs w:val="14"/>
                <w:lang w:val="cs-CZ" w:eastAsia="cs-CZ"/>
              </w:rPr>
            </w:pPr>
          </w:p>
        </w:tc>
      </w:tr>
      <w:tr w:rsidR="00584BDC" w:rsidRPr="00584BDC" w14:paraId="5D9DF014" w14:textId="77777777" w:rsidTr="0025557F">
        <w:trPr>
          <w:gridAfter w:val="1"/>
          <w:wAfter w:w="7" w:type="dxa"/>
          <w:trHeight w:val="179"/>
          <w:tblHeader/>
        </w:trPr>
        <w:tc>
          <w:tcPr>
            <w:tcW w:w="677" w:type="dxa"/>
            <w:vMerge/>
            <w:tcBorders>
              <w:top w:val="nil"/>
              <w:left w:val="single" w:sz="8" w:space="0" w:color="auto"/>
              <w:bottom w:val="single" w:sz="8" w:space="0" w:color="000000"/>
              <w:right w:val="single" w:sz="8" w:space="0" w:color="auto"/>
            </w:tcBorders>
            <w:vAlign w:val="center"/>
            <w:hideMark/>
          </w:tcPr>
          <w:p w14:paraId="1773FA64" w14:textId="77777777" w:rsidR="00584BDC" w:rsidRPr="00584BDC" w:rsidRDefault="00584BDC" w:rsidP="00584BDC">
            <w:pPr>
              <w:rPr>
                <w:rFonts w:ascii="Arial" w:eastAsia="Times New Roman" w:hAnsi="Arial" w:cs="Arial"/>
                <w:b/>
                <w:bCs/>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7598CE4" w14:textId="77777777" w:rsidR="00584BDC" w:rsidRPr="00584BDC" w:rsidRDefault="00584BDC" w:rsidP="00584BDC">
            <w:pPr>
              <w:rPr>
                <w:rFonts w:ascii="Arial" w:eastAsia="Times New Roman" w:hAnsi="Arial" w:cs="Arial"/>
                <w:b/>
                <w:bCs/>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17EFA5F" w14:textId="77777777" w:rsidR="00584BDC" w:rsidRPr="00584BDC" w:rsidRDefault="00584BDC" w:rsidP="00584BDC">
            <w:pPr>
              <w:rPr>
                <w:rFonts w:ascii="Arial" w:eastAsia="Times New Roman" w:hAnsi="Arial" w:cs="Arial"/>
                <w:b/>
                <w:bCs/>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F57C570" w14:textId="77777777" w:rsidR="00584BDC" w:rsidRPr="00584BDC" w:rsidRDefault="00584BDC" w:rsidP="00584BDC">
            <w:pPr>
              <w:rPr>
                <w:rFonts w:ascii="Arial" w:eastAsia="Times New Roman" w:hAnsi="Arial" w:cs="Arial"/>
                <w:b/>
                <w:bCs/>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53E12A3" w14:textId="77777777" w:rsidR="00584BDC" w:rsidRPr="00584BDC" w:rsidRDefault="00584BDC" w:rsidP="00584BDC">
            <w:pPr>
              <w:rPr>
                <w:rFonts w:ascii="Arial" w:eastAsia="Times New Roman" w:hAnsi="Arial" w:cs="Arial"/>
                <w:b/>
                <w:bCs/>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95DAC7D" w14:textId="77777777" w:rsidR="00584BDC" w:rsidRPr="00584BDC" w:rsidRDefault="00584BDC" w:rsidP="00584BDC">
            <w:pPr>
              <w:rPr>
                <w:rFonts w:ascii="Arial" w:eastAsia="Times New Roman" w:hAnsi="Arial" w:cs="Arial"/>
                <w:b/>
                <w:bCs/>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9AF16DE"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D0D2C39"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D665DEC" w14:textId="77777777" w:rsidR="00584BDC" w:rsidRPr="00584BDC" w:rsidRDefault="00584BDC" w:rsidP="00584BDC">
            <w:pPr>
              <w:rPr>
                <w:rFonts w:ascii="Arial" w:eastAsia="Times New Roman" w:hAnsi="Arial" w:cs="Arial"/>
                <w:b/>
                <w:bCs/>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0B2E1110"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671" w:type="dxa"/>
            <w:tcBorders>
              <w:top w:val="nil"/>
              <w:left w:val="nil"/>
              <w:bottom w:val="single" w:sz="8" w:space="0" w:color="auto"/>
              <w:right w:val="single" w:sz="8" w:space="0" w:color="auto"/>
            </w:tcBorders>
            <w:shd w:val="clear" w:color="000000" w:fill="FFFFFF"/>
            <w:vAlign w:val="center"/>
            <w:hideMark/>
          </w:tcPr>
          <w:p w14:paraId="01513CB4"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000000" w:fill="FFFFFF"/>
            <w:vAlign w:val="center"/>
            <w:hideMark/>
          </w:tcPr>
          <w:p w14:paraId="2492671C"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1036" w:type="dxa"/>
            <w:tcBorders>
              <w:top w:val="nil"/>
              <w:left w:val="nil"/>
              <w:bottom w:val="single" w:sz="8" w:space="0" w:color="auto"/>
              <w:right w:val="single" w:sz="8" w:space="0" w:color="auto"/>
            </w:tcBorders>
            <w:shd w:val="clear" w:color="000000" w:fill="FFFFFF"/>
            <w:vAlign w:val="center"/>
            <w:hideMark/>
          </w:tcPr>
          <w:p w14:paraId="1F8A6CF9"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auto" w:fill="auto"/>
            <w:vAlign w:val="center"/>
            <w:hideMark/>
          </w:tcPr>
          <w:p w14:paraId="1C835C98"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976" w:type="dxa"/>
            <w:tcBorders>
              <w:top w:val="nil"/>
              <w:left w:val="nil"/>
              <w:bottom w:val="single" w:sz="8" w:space="0" w:color="auto"/>
              <w:right w:val="single" w:sz="8" w:space="0" w:color="auto"/>
            </w:tcBorders>
            <w:shd w:val="clear" w:color="000000" w:fill="FFFFFF"/>
            <w:vAlign w:val="center"/>
            <w:hideMark/>
          </w:tcPr>
          <w:p w14:paraId="76840407"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000000" w:fill="FFFFFF"/>
            <w:vAlign w:val="center"/>
            <w:hideMark/>
          </w:tcPr>
          <w:p w14:paraId="419B69B4"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000000" w:fill="FFFFFF"/>
            <w:vAlign w:val="center"/>
            <w:hideMark/>
          </w:tcPr>
          <w:p w14:paraId="023308D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000000" w:fill="FFFFFF"/>
            <w:vAlign w:val="center"/>
            <w:hideMark/>
          </w:tcPr>
          <w:p w14:paraId="7AE7E464"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7" w:type="dxa"/>
            <w:tcBorders>
              <w:top w:val="nil"/>
              <w:left w:val="nil"/>
              <w:bottom w:val="single" w:sz="8" w:space="0" w:color="auto"/>
              <w:right w:val="single" w:sz="8" w:space="0" w:color="auto"/>
            </w:tcBorders>
            <w:shd w:val="clear" w:color="000000" w:fill="FFFFFF"/>
            <w:vAlign w:val="center"/>
            <w:hideMark/>
          </w:tcPr>
          <w:p w14:paraId="2D31D5E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833" w:type="dxa"/>
            <w:vMerge/>
            <w:tcBorders>
              <w:top w:val="nil"/>
              <w:left w:val="single" w:sz="8" w:space="0" w:color="auto"/>
              <w:bottom w:val="single" w:sz="8" w:space="0" w:color="000000"/>
              <w:right w:val="single" w:sz="8" w:space="0" w:color="auto"/>
            </w:tcBorders>
            <w:vAlign w:val="center"/>
            <w:hideMark/>
          </w:tcPr>
          <w:p w14:paraId="6BE8D0C4" w14:textId="77777777" w:rsidR="00584BDC" w:rsidRPr="00584BDC" w:rsidRDefault="00584BDC" w:rsidP="00584BDC">
            <w:pPr>
              <w:rPr>
                <w:rFonts w:ascii="Arial" w:eastAsia="Times New Roman" w:hAnsi="Arial" w:cs="Arial"/>
                <w:b/>
                <w:bCs/>
                <w:color w:val="000000"/>
                <w:sz w:val="14"/>
                <w:szCs w:val="14"/>
                <w:lang w:val="cs-CZ" w:eastAsia="cs-CZ"/>
              </w:rPr>
            </w:pPr>
          </w:p>
        </w:tc>
      </w:tr>
      <w:tr w:rsidR="00584BDC" w:rsidRPr="00584BDC" w14:paraId="66FCF794" w14:textId="77777777" w:rsidTr="0025557F">
        <w:trPr>
          <w:gridAfter w:val="1"/>
          <w:wAfter w:w="7" w:type="dxa"/>
          <w:trHeight w:val="179"/>
          <w:tblHeader/>
        </w:trPr>
        <w:tc>
          <w:tcPr>
            <w:tcW w:w="677" w:type="dxa"/>
            <w:vMerge/>
            <w:tcBorders>
              <w:top w:val="nil"/>
              <w:left w:val="single" w:sz="8" w:space="0" w:color="auto"/>
              <w:bottom w:val="single" w:sz="8" w:space="0" w:color="000000"/>
              <w:right w:val="single" w:sz="8" w:space="0" w:color="auto"/>
            </w:tcBorders>
            <w:vAlign w:val="center"/>
            <w:hideMark/>
          </w:tcPr>
          <w:p w14:paraId="0F10194B" w14:textId="77777777" w:rsidR="00584BDC" w:rsidRPr="00584BDC" w:rsidRDefault="00584BDC" w:rsidP="00584BDC">
            <w:pPr>
              <w:rPr>
                <w:rFonts w:ascii="Arial" w:eastAsia="Times New Roman" w:hAnsi="Arial" w:cs="Arial"/>
                <w:b/>
                <w:bCs/>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7A7068B" w14:textId="77777777" w:rsidR="00584BDC" w:rsidRPr="00584BDC" w:rsidRDefault="00584BDC" w:rsidP="00584BDC">
            <w:pPr>
              <w:rPr>
                <w:rFonts w:ascii="Arial" w:eastAsia="Times New Roman" w:hAnsi="Arial" w:cs="Arial"/>
                <w:b/>
                <w:bCs/>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DB2FA74" w14:textId="77777777" w:rsidR="00584BDC" w:rsidRPr="00584BDC" w:rsidRDefault="00584BDC" w:rsidP="00584BDC">
            <w:pPr>
              <w:rPr>
                <w:rFonts w:ascii="Arial" w:eastAsia="Times New Roman" w:hAnsi="Arial" w:cs="Arial"/>
                <w:b/>
                <w:bCs/>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63F2D00" w14:textId="77777777" w:rsidR="00584BDC" w:rsidRPr="00584BDC" w:rsidRDefault="00584BDC" w:rsidP="00584BDC">
            <w:pPr>
              <w:rPr>
                <w:rFonts w:ascii="Arial" w:eastAsia="Times New Roman" w:hAnsi="Arial" w:cs="Arial"/>
                <w:b/>
                <w:bCs/>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0AE3251" w14:textId="77777777" w:rsidR="00584BDC" w:rsidRPr="00584BDC" w:rsidRDefault="00584BDC" w:rsidP="00584BDC">
            <w:pPr>
              <w:rPr>
                <w:rFonts w:ascii="Arial" w:eastAsia="Times New Roman" w:hAnsi="Arial" w:cs="Arial"/>
                <w:b/>
                <w:bCs/>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25CD14AF" w14:textId="77777777" w:rsidR="00584BDC" w:rsidRPr="00584BDC" w:rsidRDefault="00584BDC" w:rsidP="00584BDC">
            <w:pPr>
              <w:rPr>
                <w:rFonts w:ascii="Arial" w:eastAsia="Times New Roman" w:hAnsi="Arial" w:cs="Arial"/>
                <w:b/>
                <w:bCs/>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79F4D73"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56B0061"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4FA6DA5" w14:textId="77777777" w:rsidR="00584BDC" w:rsidRPr="00584BDC" w:rsidRDefault="00584BDC" w:rsidP="00584BDC">
            <w:pPr>
              <w:rPr>
                <w:rFonts w:ascii="Arial" w:eastAsia="Times New Roman" w:hAnsi="Arial" w:cs="Arial"/>
                <w:b/>
                <w:bCs/>
                <w:color w:val="000000"/>
                <w:sz w:val="14"/>
                <w:szCs w:val="14"/>
                <w:lang w:val="cs-CZ" w:eastAsia="cs-CZ"/>
              </w:rPr>
            </w:pPr>
          </w:p>
        </w:tc>
        <w:tc>
          <w:tcPr>
            <w:tcW w:w="8011" w:type="dxa"/>
            <w:gridSpan w:val="11"/>
            <w:tcBorders>
              <w:top w:val="single" w:sz="8" w:space="0" w:color="auto"/>
              <w:left w:val="nil"/>
              <w:bottom w:val="single" w:sz="8" w:space="0" w:color="auto"/>
              <w:right w:val="nil"/>
            </w:tcBorders>
            <w:shd w:val="clear" w:color="000000" w:fill="FFFFFF"/>
            <w:vAlign w:val="center"/>
            <w:hideMark/>
          </w:tcPr>
          <w:p w14:paraId="064D15B5"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Kumulativní hodnota</w:t>
            </w:r>
          </w:p>
        </w:tc>
        <w:tc>
          <w:tcPr>
            <w:tcW w:w="833" w:type="dxa"/>
            <w:vMerge/>
            <w:tcBorders>
              <w:top w:val="nil"/>
              <w:left w:val="single" w:sz="8" w:space="0" w:color="auto"/>
              <w:bottom w:val="single" w:sz="8" w:space="0" w:color="000000"/>
              <w:right w:val="single" w:sz="8" w:space="0" w:color="auto"/>
            </w:tcBorders>
            <w:vAlign w:val="center"/>
            <w:hideMark/>
          </w:tcPr>
          <w:p w14:paraId="56466E29" w14:textId="77777777" w:rsidR="00584BDC" w:rsidRPr="00584BDC" w:rsidRDefault="00584BDC" w:rsidP="00584BDC">
            <w:pPr>
              <w:rPr>
                <w:rFonts w:ascii="Arial" w:eastAsia="Times New Roman" w:hAnsi="Arial" w:cs="Arial"/>
                <w:b/>
                <w:bCs/>
                <w:color w:val="000000"/>
                <w:sz w:val="14"/>
                <w:szCs w:val="14"/>
                <w:lang w:val="cs-CZ" w:eastAsia="cs-CZ"/>
              </w:rPr>
            </w:pPr>
          </w:p>
        </w:tc>
      </w:tr>
      <w:tr w:rsidR="00584BDC" w:rsidRPr="00584BDC" w14:paraId="0E7D3B7F" w14:textId="77777777" w:rsidTr="0025557F">
        <w:trPr>
          <w:gridAfter w:val="1"/>
          <w:wAfter w:w="7" w:type="dxa"/>
          <w:trHeight w:val="179"/>
          <w:tblHeader/>
        </w:trPr>
        <w:tc>
          <w:tcPr>
            <w:tcW w:w="677" w:type="dxa"/>
            <w:vMerge/>
            <w:tcBorders>
              <w:top w:val="nil"/>
              <w:left w:val="single" w:sz="8" w:space="0" w:color="auto"/>
              <w:bottom w:val="single" w:sz="8" w:space="0" w:color="000000"/>
              <w:right w:val="single" w:sz="8" w:space="0" w:color="auto"/>
            </w:tcBorders>
            <w:vAlign w:val="center"/>
            <w:hideMark/>
          </w:tcPr>
          <w:p w14:paraId="11B2DD0F" w14:textId="77777777" w:rsidR="00584BDC" w:rsidRPr="00584BDC" w:rsidRDefault="00584BDC" w:rsidP="00584BDC">
            <w:pPr>
              <w:rPr>
                <w:rFonts w:ascii="Arial" w:eastAsia="Times New Roman" w:hAnsi="Arial" w:cs="Arial"/>
                <w:b/>
                <w:bCs/>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5D73855" w14:textId="77777777" w:rsidR="00584BDC" w:rsidRPr="00584BDC" w:rsidRDefault="00584BDC" w:rsidP="00584BDC">
            <w:pPr>
              <w:rPr>
                <w:rFonts w:ascii="Arial" w:eastAsia="Times New Roman" w:hAnsi="Arial" w:cs="Arial"/>
                <w:b/>
                <w:bCs/>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C98CAF9" w14:textId="77777777" w:rsidR="00584BDC" w:rsidRPr="00584BDC" w:rsidRDefault="00584BDC" w:rsidP="00584BDC">
            <w:pPr>
              <w:rPr>
                <w:rFonts w:ascii="Arial" w:eastAsia="Times New Roman" w:hAnsi="Arial" w:cs="Arial"/>
                <w:b/>
                <w:bCs/>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CAFB835" w14:textId="77777777" w:rsidR="00584BDC" w:rsidRPr="00584BDC" w:rsidRDefault="00584BDC" w:rsidP="00584BDC">
            <w:pPr>
              <w:rPr>
                <w:rFonts w:ascii="Arial" w:eastAsia="Times New Roman" w:hAnsi="Arial" w:cs="Arial"/>
                <w:b/>
                <w:bCs/>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C3A8592" w14:textId="77777777" w:rsidR="00584BDC" w:rsidRPr="00584BDC" w:rsidRDefault="00584BDC" w:rsidP="00584BDC">
            <w:pPr>
              <w:rPr>
                <w:rFonts w:ascii="Arial" w:eastAsia="Times New Roman" w:hAnsi="Arial" w:cs="Arial"/>
                <w:b/>
                <w:bCs/>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C231457" w14:textId="77777777" w:rsidR="00584BDC" w:rsidRPr="00584BDC" w:rsidRDefault="00584BDC" w:rsidP="00584BDC">
            <w:pPr>
              <w:rPr>
                <w:rFonts w:ascii="Arial" w:eastAsia="Times New Roman" w:hAnsi="Arial" w:cs="Arial"/>
                <w:b/>
                <w:bCs/>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8D059CB"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tcBorders>
              <w:top w:val="nil"/>
              <w:left w:val="nil"/>
              <w:bottom w:val="single" w:sz="8" w:space="0" w:color="auto"/>
              <w:right w:val="nil"/>
            </w:tcBorders>
            <w:shd w:val="clear" w:color="000000" w:fill="E7E6E6"/>
            <w:vAlign w:val="center"/>
            <w:hideMark/>
          </w:tcPr>
          <w:p w14:paraId="1C11BB4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946" w:type="dxa"/>
            <w:tcBorders>
              <w:top w:val="nil"/>
              <w:left w:val="single" w:sz="8" w:space="0" w:color="auto"/>
              <w:bottom w:val="single" w:sz="8" w:space="0" w:color="auto"/>
              <w:right w:val="single" w:sz="8" w:space="0" w:color="auto"/>
            </w:tcBorders>
            <w:shd w:val="clear" w:color="000000" w:fill="E7E6E6"/>
            <w:vAlign w:val="center"/>
            <w:hideMark/>
          </w:tcPr>
          <w:p w14:paraId="6F4985C6"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729E02F9"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671" w:type="dxa"/>
            <w:tcBorders>
              <w:top w:val="nil"/>
              <w:left w:val="nil"/>
              <w:bottom w:val="single" w:sz="8" w:space="0" w:color="auto"/>
              <w:right w:val="single" w:sz="8" w:space="0" w:color="auto"/>
            </w:tcBorders>
            <w:shd w:val="clear" w:color="000000" w:fill="E7E6E6"/>
            <w:vAlign w:val="center"/>
            <w:hideMark/>
          </w:tcPr>
          <w:p w14:paraId="32E50903"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179789FD"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1036" w:type="dxa"/>
            <w:tcBorders>
              <w:top w:val="nil"/>
              <w:left w:val="nil"/>
              <w:bottom w:val="single" w:sz="8" w:space="0" w:color="auto"/>
              <w:right w:val="single" w:sz="8" w:space="0" w:color="auto"/>
            </w:tcBorders>
            <w:shd w:val="clear" w:color="000000" w:fill="E7E6E6"/>
            <w:vAlign w:val="center"/>
            <w:hideMark/>
          </w:tcPr>
          <w:p w14:paraId="2B9576D8"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1FFCFE55"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976" w:type="dxa"/>
            <w:tcBorders>
              <w:top w:val="nil"/>
              <w:left w:val="nil"/>
              <w:bottom w:val="single" w:sz="8" w:space="0" w:color="auto"/>
              <w:right w:val="single" w:sz="8" w:space="0" w:color="auto"/>
            </w:tcBorders>
            <w:shd w:val="clear" w:color="000000" w:fill="E7E6E6"/>
            <w:vAlign w:val="center"/>
            <w:hideMark/>
          </w:tcPr>
          <w:p w14:paraId="47B5CFC1"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24F006E4"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2745224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6" w:type="dxa"/>
            <w:tcBorders>
              <w:top w:val="nil"/>
              <w:left w:val="nil"/>
              <w:bottom w:val="single" w:sz="8" w:space="0" w:color="auto"/>
              <w:right w:val="single" w:sz="8" w:space="0" w:color="auto"/>
            </w:tcBorders>
            <w:shd w:val="clear" w:color="000000" w:fill="E7E6E6"/>
            <w:vAlign w:val="center"/>
            <w:hideMark/>
          </w:tcPr>
          <w:p w14:paraId="2240181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777" w:type="dxa"/>
            <w:tcBorders>
              <w:top w:val="nil"/>
              <w:left w:val="nil"/>
              <w:bottom w:val="single" w:sz="8" w:space="0" w:color="auto"/>
              <w:right w:val="single" w:sz="8" w:space="0" w:color="auto"/>
            </w:tcBorders>
            <w:shd w:val="clear" w:color="000000" w:fill="E7E6E6"/>
            <w:vAlign w:val="center"/>
            <w:hideMark/>
          </w:tcPr>
          <w:p w14:paraId="0FE9FE15"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Celkem</w:t>
            </w:r>
          </w:p>
        </w:tc>
        <w:tc>
          <w:tcPr>
            <w:tcW w:w="833" w:type="dxa"/>
            <w:vMerge/>
            <w:tcBorders>
              <w:top w:val="nil"/>
              <w:left w:val="single" w:sz="8" w:space="0" w:color="auto"/>
              <w:bottom w:val="single" w:sz="8" w:space="0" w:color="000000"/>
              <w:right w:val="single" w:sz="8" w:space="0" w:color="auto"/>
            </w:tcBorders>
            <w:vAlign w:val="center"/>
            <w:hideMark/>
          </w:tcPr>
          <w:p w14:paraId="1EC53489" w14:textId="77777777" w:rsidR="00584BDC" w:rsidRPr="00584BDC" w:rsidRDefault="00584BDC" w:rsidP="00584BDC">
            <w:pPr>
              <w:rPr>
                <w:rFonts w:ascii="Arial" w:eastAsia="Times New Roman" w:hAnsi="Arial" w:cs="Arial"/>
                <w:b/>
                <w:bCs/>
                <w:color w:val="000000"/>
                <w:sz w:val="14"/>
                <w:szCs w:val="14"/>
                <w:lang w:val="cs-CZ" w:eastAsia="cs-CZ"/>
              </w:rPr>
            </w:pPr>
          </w:p>
        </w:tc>
      </w:tr>
      <w:tr w:rsidR="00584BDC" w:rsidRPr="00584BDC" w14:paraId="5D24CA16" w14:textId="77777777" w:rsidTr="0025557F">
        <w:trPr>
          <w:gridAfter w:val="1"/>
          <w:wAfter w:w="7" w:type="dxa"/>
          <w:trHeight w:val="179"/>
          <w:tblHeader/>
        </w:trPr>
        <w:tc>
          <w:tcPr>
            <w:tcW w:w="677" w:type="dxa"/>
            <w:vMerge/>
            <w:tcBorders>
              <w:top w:val="nil"/>
              <w:left w:val="single" w:sz="8" w:space="0" w:color="auto"/>
              <w:bottom w:val="single" w:sz="8" w:space="0" w:color="000000"/>
              <w:right w:val="single" w:sz="8" w:space="0" w:color="auto"/>
            </w:tcBorders>
            <w:vAlign w:val="center"/>
            <w:hideMark/>
          </w:tcPr>
          <w:p w14:paraId="756034CD" w14:textId="77777777" w:rsidR="00584BDC" w:rsidRPr="00584BDC" w:rsidRDefault="00584BDC" w:rsidP="00584BDC">
            <w:pPr>
              <w:rPr>
                <w:rFonts w:ascii="Arial" w:eastAsia="Times New Roman" w:hAnsi="Arial" w:cs="Arial"/>
                <w:b/>
                <w:bCs/>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6D6891F" w14:textId="77777777" w:rsidR="00584BDC" w:rsidRPr="00584BDC" w:rsidRDefault="00584BDC" w:rsidP="00584BDC">
            <w:pPr>
              <w:rPr>
                <w:rFonts w:ascii="Arial" w:eastAsia="Times New Roman" w:hAnsi="Arial" w:cs="Arial"/>
                <w:b/>
                <w:bCs/>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F572C6C" w14:textId="77777777" w:rsidR="00584BDC" w:rsidRPr="00584BDC" w:rsidRDefault="00584BDC" w:rsidP="00584BDC">
            <w:pPr>
              <w:rPr>
                <w:rFonts w:ascii="Arial" w:eastAsia="Times New Roman" w:hAnsi="Arial" w:cs="Arial"/>
                <w:b/>
                <w:bCs/>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E5013FB" w14:textId="77777777" w:rsidR="00584BDC" w:rsidRPr="00584BDC" w:rsidRDefault="00584BDC" w:rsidP="00584BDC">
            <w:pPr>
              <w:rPr>
                <w:rFonts w:ascii="Arial" w:eastAsia="Times New Roman" w:hAnsi="Arial" w:cs="Arial"/>
                <w:b/>
                <w:bCs/>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11B81FD" w14:textId="77777777" w:rsidR="00584BDC" w:rsidRPr="00584BDC" w:rsidRDefault="00584BDC" w:rsidP="00584BDC">
            <w:pPr>
              <w:rPr>
                <w:rFonts w:ascii="Arial" w:eastAsia="Times New Roman" w:hAnsi="Arial" w:cs="Arial"/>
                <w:b/>
                <w:bCs/>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7569FD9" w14:textId="77777777" w:rsidR="00584BDC" w:rsidRPr="00584BDC" w:rsidRDefault="00584BDC" w:rsidP="00584BDC">
            <w:pPr>
              <w:rPr>
                <w:rFonts w:ascii="Arial" w:eastAsia="Times New Roman" w:hAnsi="Arial" w:cs="Arial"/>
                <w:b/>
                <w:bCs/>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13F38F9"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01798D17"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2F265CA9"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DBD86CD"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671" w:type="dxa"/>
            <w:tcBorders>
              <w:top w:val="nil"/>
              <w:left w:val="nil"/>
              <w:bottom w:val="single" w:sz="8" w:space="0" w:color="auto"/>
              <w:right w:val="single" w:sz="8" w:space="0" w:color="auto"/>
            </w:tcBorders>
            <w:shd w:val="clear" w:color="000000" w:fill="FFFFFF"/>
            <w:vAlign w:val="center"/>
            <w:hideMark/>
          </w:tcPr>
          <w:p w14:paraId="1AE94FC9"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000000" w:fill="FFFFFF"/>
            <w:vAlign w:val="center"/>
            <w:hideMark/>
          </w:tcPr>
          <w:p w14:paraId="03A6A41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1036" w:type="dxa"/>
            <w:tcBorders>
              <w:top w:val="nil"/>
              <w:left w:val="nil"/>
              <w:bottom w:val="single" w:sz="8" w:space="0" w:color="auto"/>
              <w:right w:val="single" w:sz="8" w:space="0" w:color="auto"/>
            </w:tcBorders>
            <w:shd w:val="clear" w:color="000000" w:fill="FFFFFF"/>
            <w:vAlign w:val="center"/>
            <w:hideMark/>
          </w:tcPr>
          <w:p w14:paraId="2AF0F60C"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auto" w:fill="auto"/>
            <w:vAlign w:val="center"/>
            <w:hideMark/>
          </w:tcPr>
          <w:p w14:paraId="791BE3FA"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976" w:type="dxa"/>
            <w:tcBorders>
              <w:top w:val="nil"/>
              <w:left w:val="nil"/>
              <w:bottom w:val="single" w:sz="8" w:space="0" w:color="auto"/>
              <w:right w:val="single" w:sz="8" w:space="0" w:color="auto"/>
            </w:tcBorders>
            <w:shd w:val="clear" w:color="000000" w:fill="FFFFFF"/>
            <w:vAlign w:val="center"/>
            <w:hideMark/>
          </w:tcPr>
          <w:p w14:paraId="3E05E1CF"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000000" w:fill="FFFFFF"/>
            <w:vAlign w:val="center"/>
            <w:hideMark/>
          </w:tcPr>
          <w:p w14:paraId="02B4A2F0"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000000" w:fill="FFFFFF"/>
            <w:vAlign w:val="center"/>
            <w:hideMark/>
          </w:tcPr>
          <w:p w14:paraId="66DB7168"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6" w:type="dxa"/>
            <w:tcBorders>
              <w:top w:val="nil"/>
              <w:left w:val="nil"/>
              <w:bottom w:val="single" w:sz="8" w:space="0" w:color="auto"/>
              <w:right w:val="single" w:sz="8" w:space="0" w:color="auto"/>
            </w:tcBorders>
            <w:shd w:val="clear" w:color="000000" w:fill="FFFFFF"/>
            <w:vAlign w:val="center"/>
            <w:hideMark/>
          </w:tcPr>
          <w:p w14:paraId="0B9A80AC"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777" w:type="dxa"/>
            <w:tcBorders>
              <w:top w:val="nil"/>
              <w:left w:val="nil"/>
              <w:bottom w:val="single" w:sz="8" w:space="0" w:color="auto"/>
              <w:right w:val="single" w:sz="8" w:space="0" w:color="auto"/>
            </w:tcBorders>
            <w:shd w:val="clear" w:color="000000" w:fill="FFFFFF"/>
            <w:vAlign w:val="center"/>
            <w:hideMark/>
          </w:tcPr>
          <w:p w14:paraId="41470174"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M</w:t>
            </w:r>
          </w:p>
        </w:tc>
        <w:tc>
          <w:tcPr>
            <w:tcW w:w="833" w:type="dxa"/>
            <w:vMerge/>
            <w:tcBorders>
              <w:top w:val="nil"/>
              <w:left w:val="single" w:sz="8" w:space="0" w:color="auto"/>
              <w:bottom w:val="single" w:sz="8" w:space="0" w:color="000000"/>
              <w:right w:val="single" w:sz="8" w:space="0" w:color="auto"/>
            </w:tcBorders>
            <w:vAlign w:val="center"/>
            <w:hideMark/>
          </w:tcPr>
          <w:p w14:paraId="5C0F971B" w14:textId="77777777" w:rsidR="00584BDC" w:rsidRPr="00584BDC" w:rsidRDefault="00584BDC" w:rsidP="00584BDC">
            <w:pPr>
              <w:rPr>
                <w:rFonts w:ascii="Arial" w:eastAsia="Times New Roman" w:hAnsi="Arial" w:cs="Arial"/>
                <w:b/>
                <w:bCs/>
                <w:color w:val="000000"/>
                <w:sz w:val="14"/>
                <w:szCs w:val="14"/>
                <w:lang w:val="cs-CZ" w:eastAsia="cs-CZ"/>
              </w:rPr>
            </w:pPr>
          </w:p>
        </w:tc>
      </w:tr>
      <w:tr w:rsidR="00584BDC" w:rsidRPr="00584BDC" w14:paraId="78B7BF8C" w14:textId="77777777" w:rsidTr="0025557F">
        <w:trPr>
          <w:gridAfter w:val="1"/>
          <w:wAfter w:w="7" w:type="dxa"/>
          <w:trHeight w:val="179"/>
          <w:tblHeader/>
        </w:trPr>
        <w:tc>
          <w:tcPr>
            <w:tcW w:w="677" w:type="dxa"/>
            <w:vMerge/>
            <w:tcBorders>
              <w:top w:val="nil"/>
              <w:left w:val="single" w:sz="8" w:space="0" w:color="auto"/>
              <w:bottom w:val="single" w:sz="8" w:space="0" w:color="000000"/>
              <w:right w:val="single" w:sz="8" w:space="0" w:color="auto"/>
            </w:tcBorders>
            <w:vAlign w:val="center"/>
            <w:hideMark/>
          </w:tcPr>
          <w:p w14:paraId="6769A1AE" w14:textId="77777777" w:rsidR="00584BDC" w:rsidRPr="00584BDC" w:rsidRDefault="00584BDC" w:rsidP="00584BDC">
            <w:pPr>
              <w:rPr>
                <w:rFonts w:ascii="Arial" w:eastAsia="Times New Roman" w:hAnsi="Arial" w:cs="Arial"/>
                <w:b/>
                <w:bCs/>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A6C7B6F" w14:textId="77777777" w:rsidR="00584BDC" w:rsidRPr="00584BDC" w:rsidRDefault="00584BDC" w:rsidP="00584BDC">
            <w:pPr>
              <w:rPr>
                <w:rFonts w:ascii="Arial" w:eastAsia="Times New Roman" w:hAnsi="Arial" w:cs="Arial"/>
                <w:b/>
                <w:bCs/>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EC82865" w14:textId="77777777" w:rsidR="00584BDC" w:rsidRPr="00584BDC" w:rsidRDefault="00584BDC" w:rsidP="00584BDC">
            <w:pPr>
              <w:rPr>
                <w:rFonts w:ascii="Arial" w:eastAsia="Times New Roman" w:hAnsi="Arial" w:cs="Arial"/>
                <w:b/>
                <w:bCs/>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FC260B7" w14:textId="77777777" w:rsidR="00584BDC" w:rsidRPr="00584BDC" w:rsidRDefault="00584BDC" w:rsidP="00584BDC">
            <w:pPr>
              <w:rPr>
                <w:rFonts w:ascii="Arial" w:eastAsia="Times New Roman" w:hAnsi="Arial" w:cs="Arial"/>
                <w:b/>
                <w:bCs/>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F0524E5" w14:textId="77777777" w:rsidR="00584BDC" w:rsidRPr="00584BDC" w:rsidRDefault="00584BDC" w:rsidP="00584BDC">
            <w:pPr>
              <w:rPr>
                <w:rFonts w:ascii="Arial" w:eastAsia="Times New Roman" w:hAnsi="Arial" w:cs="Arial"/>
                <w:b/>
                <w:bCs/>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3654BEC" w14:textId="77777777" w:rsidR="00584BDC" w:rsidRPr="00584BDC" w:rsidRDefault="00584BDC" w:rsidP="00584BDC">
            <w:pPr>
              <w:rPr>
                <w:rFonts w:ascii="Arial" w:eastAsia="Times New Roman" w:hAnsi="Arial" w:cs="Arial"/>
                <w:b/>
                <w:bCs/>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01E5156" w14:textId="77777777" w:rsidR="00584BDC" w:rsidRPr="00584BDC" w:rsidRDefault="00584BDC" w:rsidP="00584BDC">
            <w:pPr>
              <w:rPr>
                <w:rFonts w:ascii="Arial" w:eastAsia="Times New Roman" w:hAnsi="Arial" w:cs="Arial"/>
                <w:b/>
                <w:bCs/>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623175A"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B4399A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B69AFB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671" w:type="dxa"/>
            <w:tcBorders>
              <w:top w:val="nil"/>
              <w:left w:val="nil"/>
              <w:bottom w:val="single" w:sz="8" w:space="0" w:color="auto"/>
              <w:right w:val="single" w:sz="8" w:space="0" w:color="auto"/>
            </w:tcBorders>
            <w:shd w:val="clear" w:color="000000" w:fill="FFFFFF"/>
            <w:vAlign w:val="center"/>
            <w:hideMark/>
          </w:tcPr>
          <w:p w14:paraId="3086235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000000" w:fill="FFFFFF"/>
            <w:vAlign w:val="center"/>
            <w:hideMark/>
          </w:tcPr>
          <w:p w14:paraId="2505CA98"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1036" w:type="dxa"/>
            <w:tcBorders>
              <w:top w:val="nil"/>
              <w:left w:val="nil"/>
              <w:bottom w:val="single" w:sz="8" w:space="0" w:color="auto"/>
              <w:right w:val="single" w:sz="8" w:space="0" w:color="auto"/>
            </w:tcBorders>
            <w:shd w:val="clear" w:color="000000" w:fill="FFFFFF"/>
            <w:vAlign w:val="center"/>
            <w:hideMark/>
          </w:tcPr>
          <w:p w14:paraId="6A39FFD5"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auto" w:fill="auto"/>
            <w:vAlign w:val="center"/>
            <w:hideMark/>
          </w:tcPr>
          <w:p w14:paraId="4E188DAE"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976" w:type="dxa"/>
            <w:tcBorders>
              <w:top w:val="nil"/>
              <w:left w:val="nil"/>
              <w:bottom w:val="single" w:sz="8" w:space="0" w:color="auto"/>
              <w:right w:val="single" w:sz="8" w:space="0" w:color="auto"/>
            </w:tcBorders>
            <w:shd w:val="clear" w:color="000000" w:fill="FFFFFF"/>
            <w:vAlign w:val="center"/>
            <w:hideMark/>
          </w:tcPr>
          <w:p w14:paraId="1F003D5B"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000000" w:fill="FFFFFF"/>
            <w:vAlign w:val="center"/>
            <w:hideMark/>
          </w:tcPr>
          <w:p w14:paraId="673E8A2C"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000000" w:fill="FFFFFF"/>
            <w:vAlign w:val="center"/>
            <w:hideMark/>
          </w:tcPr>
          <w:p w14:paraId="6547AA13"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6" w:type="dxa"/>
            <w:tcBorders>
              <w:top w:val="nil"/>
              <w:left w:val="nil"/>
              <w:bottom w:val="single" w:sz="8" w:space="0" w:color="auto"/>
              <w:right w:val="single" w:sz="8" w:space="0" w:color="auto"/>
            </w:tcBorders>
            <w:shd w:val="clear" w:color="000000" w:fill="FFFFFF"/>
            <w:vAlign w:val="center"/>
            <w:hideMark/>
          </w:tcPr>
          <w:p w14:paraId="095490EB"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777" w:type="dxa"/>
            <w:tcBorders>
              <w:top w:val="nil"/>
              <w:left w:val="nil"/>
              <w:bottom w:val="single" w:sz="8" w:space="0" w:color="auto"/>
              <w:right w:val="single" w:sz="8" w:space="0" w:color="auto"/>
            </w:tcBorders>
            <w:shd w:val="clear" w:color="000000" w:fill="FFFFFF"/>
            <w:vAlign w:val="center"/>
            <w:hideMark/>
          </w:tcPr>
          <w:p w14:paraId="0C483E12" w14:textId="77777777" w:rsidR="00584BDC" w:rsidRPr="00584BDC" w:rsidRDefault="00584BDC" w:rsidP="00584BDC">
            <w:pPr>
              <w:jc w:val="center"/>
              <w:rPr>
                <w:rFonts w:ascii="Arial" w:eastAsia="Times New Roman" w:hAnsi="Arial" w:cs="Arial"/>
                <w:b/>
                <w:bCs/>
                <w:color w:val="000000"/>
                <w:sz w:val="14"/>
                <w:szCs w:val="14"/>
                <w:lang w:val="cs-CZ" w:eastAsia="cs-CZ"/>
              </w:rPr>
            </w:pPr>
            <w:r w:rsidRPr="00584BDC">
              <w:rPr>
                <w:rFonts w:ascii="Arial" w:eastAsia="Times New Roman" w:hAnsi="Arial" w:cs="Arial"/>
                <w:b/>
                <w:bCs/>
                <w:color w:val="000000"/>
                <w:sz w:val="14"/>
                <w:szCs w:val="14"/>
                <w:lang w:val="cs-CZ" w:eastAsia="cs-CZ"/>
              </w:rPr>
              <w:t>Ž</w:t>
            </w:r>
          </w:p>
        </w:tc>
        <w:tc>
          <w:tcPr>
            <w:tcW w:w="833" w:type="dxa"/>
            <w:vMerge/>
            <w:tcBorders>
              <w:top w:val="nil"/>
              <w:left w:val="single" w:sz="8" w:space="0" w:color="auto"/>
              <w:bottom w:val="single" w:sz="8" w:space="0" w:color="000000"/>
              <w:right w:val="single" w:sz="8" w:space="0" w:color="auto"/>
            </w:tcBorders>
            <w:vAlign w:val="center"/>
            <w:hideMark/>
          </w:tcPr>
          <w:p w14:paraId="4A8202F1" w14:textId="77777777" w:rsidR="00584BDC" w:rsidRPr="00584BDC" w:rsidRDefault="00584BDC" w:rsidP="00584BDC">
            <w:pPr>
              <w:rPr>
                <w:rFonts w:ascii="Arial" w:eastAsia="Times New Roman" w:hAnsi="Arial" w:cs="Arial"/>
                <w:b/>
                <w:bCs/>
                <w:color w:val="000000"/>
                <w:sz w:val="14"/>
                <w:szCs w:val="14"/>
                <w:lang w:val="cs-CZ" w:eastAsia="cs-CZ"/>
              </w:rPr>
            </w:pPr>
          </w:p>
        </w:tc>
      </w:tr>
      <w:tr w:rsidR="00584BDC" w:rsidRPr="00584BDC" w14:paraId="0A014BC9"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C3C628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03.1</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39DD5C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91FE8C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830C81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27A13D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058235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051247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3F0AADF"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100 242</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2D7E4FB"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341 159</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0F78655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18D3E97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13 237</w:t>
            </w:r>
          </w:p>
        </w:tc>
        <w:tc>
          <w:tcPr>
            <w:tcW w:w="776" w:type="dxa"/>
            <w:tcBorders>
              <w:top w:val="nil"/>
              <w:left w:val="nil"/>
              <w:bottom w:val="single" w:sz="8" w:space="0" w:color="auto"/>
              <w:right w:val="single" w:sz="8" w:space="0" w:color="auto"/>
            </w:tcBorders>
            <w:shd w:val="clear" w:color="000000" w:fill="E7E6E6"/>
            <w:vAlign w:val="center"/>
            <w:hideMark/>
          </w:tcPr>
          <w:p w14:paraId="14B0123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2 263</w:t>
            </w:r>
          </w:p>
        </w:tc>
        <w:tc>
          <w:tcPr>
            <w:tcW w:w="1036" w:type="dxa"/>
            <w:tcBorders>
              <w:top w:val="nil"/>
              <w:left w:val="nil"/>
              <w:bottom w:val="single" w:sz="8" w:space="0" w:color="auto"/>
              <w:right w:val="single" w:sz="8" w:space="0" w:color="auto"/>
            </w:tcBorders>
            <w:shd w:val="clear" w:color="000000" w:fill="E7E6E6"/>
            <w:vAlign w:val="center"/>
            <w:hideMark/>
          </w:tcPr>
          <w:p w14:paraId="41B759E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58 949</w:t>
            </w:r>
          </w:p>
        </w:tc>
        <w:tc>
          <w:tcPr>
            <w:tcW w:w="776" w:type="dxa"/>
            <w:tcBorders>
              <w:top w:val="nil"/>
              <w:left w:val="nil"/>
              <w:bottom w:val="single" w:sz="8" w:space="0" w:color="auto"/>
              <w:right w:val="single" w:sz="8" w:space="0" w:color="auto"/>
            </w:tcBorders>
            <w:shd w:val="clear" w:color="000000" w:fill="E7E6E6"/>
            <w:vAlign w:val="center"/>
            <w:hideMark/>
          </w:tcPr>
          <w:p w14:paraId="3200431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133 738</w:t>
            </w:r>
          </w:p>
        </w:tc>
        <w:tc>
          <w:tcPr>
            <w:tcW w:w="976" w:type="dxa"/>
            <w:tcBorders>
              <w:top w:val="nil"/>
              <w:left w:val="nil"/>
              <w:bottom w:val="single" w:sz="8" w:space="0" w:color="auto"/>
              <w:right w:val="single" w:sz="8" w:space="0" w:color="auto"/>
            </w:tcBorders>
            <w:shd w:val="clear" w:color="000000" w:fill="E7E6E6"/>
            <w:vAlign w:val="center"/>
            <w:hideMark/>
          </w:tcPr>
          <w:p w14:paraId="4F1B8DB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85 289</w:t>
            </w:r>
          </w:p>
        </w:tc>
        <w:tc>
          <w:tcPr>
            <w:tcW w:w="776" w:type="dxa"/>
            <w:tcBorders>
              <w:top w:val="nil"/>
              <w:left w:val="nil"/>
              <w:bottom w:val="single" w:sz="8" w:space="0" w:color="auto"/>
              <w:right w:val="single" w:sz="8" w:space="0" w:color="auto"/>
            </w:tcBorders>
            <w:shd w:val="clear" w:color="000000" w:fill="E7E6E6"/>
            <w:vAlign w:val="center"/>
            <w:hideMark/>
          </w:tcPr>
          <w:p w14:paraId="6F18B20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17346E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E74164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2688C15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76E355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7073434"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EC51730"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A177CFC"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2227C6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00C5A3B"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4EE7436"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AECE8E0"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DAEA81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074A9C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6A2A66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28D6156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80010C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5 818</w:t>
            </w:r>
          </w:p>
        </w:tc>
        <w:tc>
          <w:tcPr>
            <w:tcW w:w="776" w:type="dxa"/>
            <w:tcBorders>
              <w:top w:val="nil"/>
              <w:left w:val="nil"/>
              <w:bottom w:val="single" w:sz="8" w:space="0" w:color="auto"/>
              <w:right w:val="single" w:sz="8" w:space="0" w:color="auto"/>
            </w:tcBorders>
            <w:shd w:val="clear" w:color="auto" w:fill="auto"/>
            <w:vAlign w:val="center"/>
            <w:hideMark/>
          </w:tcPr>
          <w:p w14:paraId="7590352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999</w:t>
            </w:r>
          </w:p>
        </w:tc>
        <w:tc>
          <w:tcPr>
            <w:tcW w:w="1036" w:type="dxa"/>
            <w:tcBorders>
              <w:top w:val="nil"/>
              <w:left w:val="nil"/>
              <w:bottom w:val="single" w:sz="8" w:space="0" w:color="auto"/>
              <w:right w:val="single" w:sz="8" w:space="0" w:color="auto"/>
            </w:tcBorders>
            <w:shd w:val="clear" w:color="auto" w:fill="auto"/>
            <w:vAlign w:val="center"/>
            <w:hideMark/>
          </w:tcPr>
          <w:p w14:paraId="3854D07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25 947</w:t>
            </w:r>
          </w:p>
        </w:tc>
        <w:tc>
          <w:tcPr>
            <w:tcW w:w="776" w:type="dxa"/>
            <w:tcBorders>
              <w:top w:val="nil"/>
              <w:left w:val="nil"/>
              <w:bottom w:val="single" w:sz="8" w:space="0" w:color="auto"/>
              <w:right w:val="single" w:sz="8" w:space="0" w:color="auto"/>
            </w:tcBorders>
            <w:shd w:val="clear" w:color="auto" w:fill="auto"/>
            <w:vAlign w:val="center"/>
            <w:hideMark/>
          </w:tcPr>
          <w:p w14:paraId="28CF673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65 546</w:t>
            </w:r>
          </w:p>
        </w:tc>
        <w:tc>
          <w:tcPr>
            <w:tcW w:w="976" w:type="dxa"/>
            <w:tcBorders>
              <w:top w:val="nil"/>
              <w:left w:val="nil"/>
              <w:bottom w:val="single" w:sz="8" w:space="0" w:color="auto"/>
              <w:right w:val="single" w:sz="8" w:space="0" w:color="auto"/>
            </w:tcBorders>
            <w:shd w:val="clear" w:color="auto" w:fill="auto"/>
            <w:vAlign w:val="center"/>
            <w:hideMark/>
          </w:tcPr>
          <w:p w14:paraId="37B6681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41 179</w:t>
            </w:r>
          </w:p>
        </w:tc>
        <w:tc>
          <w:tcPr>
            <w:tcW w:w="776" w:type="dxa"/>
            <w:tcBorders>
              <w:top w:val="nil"/>
              <w:left w:val="nil"/>
              <w:bottom w:val="single" w:sz="8" w:space="0" w:color="auto"/>
              <w:right w:val="single" w:sz="8" w:space="0" w:color="auto"/>
            </w:tcBorders>
            <w:shd w:val="clear" w:color="auto" w:fill="auto"/>
            <w:vAlign w:val="center"/>
            <w:hideMark/>
          </w:tcPr>
          <w:p w14:paraId="6BC50BE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0166A84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5A52CCA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35826EE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7E63EE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4288C49"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A6A6909"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F4C565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E97FEF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81C797C"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76D4F48"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78750B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D2FD12D"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E785F6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AF19549"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20F916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EE76F6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7 419</w:t>
            </w:r>
          </w:p>
        </w:tc>
        <w:tc>
          <w:tcPr>
            <w:tcW w:w="776" w:type="dxa"/>
            <w:tcBorders>
              <w:top w:val="nil"/>
              <w:left w:val="nil"/>
              <w:bottom w:val="single" w:sz="8" w:space="0" w:color="auto"/>
              <w:right w:val="single" w:sz="8" w:space="0" w:color="auto"/>
            </w:tcBorders>
            <w:shd w:val="clear" w:color="auto" w:fill="auto"/>
            <w:vAlign w:val="center"/>
            <w:hideMark/>
          </w:tcPr>
          <w:p w14:paraId="5FAA38C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1 264</w:t>
            </w:r>
          </w:p>
        </w:tc>
        <w:tc>
          <w:tcPr>
            <w:tcW w:w="1036" w:type="dxa"/>
            <w:tcBorders>
              <w:top w:val="nil"/>
              <w:left w:val="nil"/>
              <w:bottom w:val="single" w:sz="8" w:space="0" w:color="auto"/>
              <w:right w:val="single" w:sz="8" w:space="0" w:color="auto"/>
            </w:tcBorders>
            <w:shd w:val="clear" w:color="auto" w:fill="auto"/>
            <w:vAlign w:val="center"/>
            <w:hideMark/>
          </w:tcPr>
          <w:p w14:paraId="2051337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33 002</w:t>
            </w:r>
          </w:p>
        </w:tc>
        <w:tc>
          <w:tcPr>
            <w:tcW w:w="776" w:type="dxa"/>
            <w:tcBorders>
              <w:top w:val="nil"/>
              <w:left w:val="nil"/>
              <w:bottom w:val="single" w:sz="8" w:space="0" w:color="auto"/>
              <w:right w:val="single" w:sz="8" w:space="0" w:color="auto"/>
            </w:tcBorders>
            <w:shd w:val="clear" w:color="auto" w:fill="auto"/>
            <w:vAlign w:val="center"/>
            <w:hideMark/>
          </w:tcPr>
          <w:p w14:paraId="66310C4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69 191</w:t>
            </w:r>
          </w:p>
        </w:tc>
        <w:tc>
          <w:tcPr>
            <w:tcW w:w="976" w:type="dxa"/>
            <w:tcBorders>
              <w:top w:val="nil"/>
              <w:left w:val="nil"/>
              <w:bottom w:val="single" w:sz="8" w:space="0" w:color="auto"/>
              <w:right w:val="single" w:sz="8" w:space="0" w:color="auto"/>
            </w:tcBorders>
            <w:shd w:val="clear" w:color="auto" w:fill="auto"/>
            <w:vAlign w:val="center"/>
            <w:hideMark/>
          </w:tcPr>
          <w:p w14:paraId="02B1507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44 111</w:t>
            </w:r>
          </w:p>
        </w:tc>
        <w:tc>
          <w:tcPr>
            <w:tcW w:w="776" w:type="dxa"/>
            <w:tcBorders>
              <w:top w:val="nil"/>
              <w:left w:val="nil"/>
              <w:bottom w:val="single" w:sz="8" w:space="0" w:color="auto"/>
              <w:right w:val="single" w:sz="8" w:space="0" w:color="auto"/>
            </w:tcBorders>
            <w:shd w:val="clear" w:color="auto" w:fill="auto"/>
            <w:vAlign w:val="center"/>
            <w:hideMark/>
          </w:tcPr>
          <w:p w14:paraId="6768E06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3D760DA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74F704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36EE97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0FFE60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483C732"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29A9C04"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0603AF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6C2023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BDB1F6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0510AE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201B7717"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8B471E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D82FF9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593242F"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38DFF5F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02ECDFB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13 237</w:t>
            </w:r>
          </w:p>
        </w:tc>
        <w:tc>
          <w:tcPr>
            <w:tcW w:w="776" w:type="dxa"/>
            <w:tcBorders>
              <w:top w:val="nil"/>
              <w:left w:val="nil"/>
              <w:bottom w:val="single" w:sz="8" w:space="0" w:color="auto"/>
              <w:right w:val="single" w:sz="8" w:space="0" w:color="auto"/>
            </w:tcBorders>
            <w:shd w:val="clear" w:color="000000" w:fill="E7E6E6"/>
            <w:vAlign w:val="center"/>
            <w:hideMark/>
          </w:tcPr>
          <w:p w14:paraId="544F9CD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15 500</w:t>
            </w:r>
          </w:p>
        </w:tc>
        <w:tc>
          <w:tcPr>
            <w:tcW w:w="1036" w:type="dxa"/>
            <w:tcBorders>
              <w:top w:val="nil"/>
              <w:left w:val="nil"/>
              <w:bottom w:val="single" w:sz="8" w:space="0" w:color="auto"/>
              <w:right w:val="single" w:sz="8" w:space="0" w:color="auto"/>
            </w:tcBorders>
            <w:shd w:val="clear" w:color="000000" w:fill="E7E6E6"/>
            <w:vAlign w:val="center"/>
            <w:hideMark/>
          </w:tcPr>
          <w:p w14:paraId="0D41B04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74 449</w:t>
            </w:r>
          </w:p>
        </w:tc>
        <w:tc>
          <w:tcPr>
            <w:tcW w:w="776" w:type="dxa"/>
            <w:tcBorders>
              <w:top w:val="nil"/>
              <w:left w:val="nil"/>
              <w:bottom w:val="single" w:sz="8" w:space="0" w:color="auto"/>
              <w:right w:val="single" w:sz="8" w:space="0" w:color="auto"/>
            </w:tcBorders>
            <w:shd w:val="clear" w:color="000000" w:fill="E7E6E6"/>
            <w:vAlign w:val="center"/>
            <w:hideMark/>
          </w:tcPr>
          <w:p w14:paraId="2C13F3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208 186</w:t>
            </w:r>
          </w:p>
        </w:tc>
        <w:tc>
          <w:tcPr>
            <w:tcW w:w="976" w:type="dxa"/>
            <w:tcBorders>
              <w:top w:val="nil"/>
              <w:left w:val="nil"/>
              <w:bottom w:val="single" w:sz="8" w:space="0" w:color="auto"/>
              <w:right w:val="single" w:sz="8" w:space="0" w:color="auto"/>
            </w:tcBorders>
            <w:shd w:val="clear" w:color="000000" w:fill="E7E6E6"/>
            <w:vAlign w:val="center"/>
            <w:hideMark/>
          </w:tcPr>
          <w:p w14:paraId="146B849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293 475</w:t>
            </w:r>
          </w:p>
        </w:tc>
        <w:tc>
          <w:tcPr>
            <w:tcW w:w="776" w:type="dxa"/>
            <w:tcBorders>
              <w:top w:val="nil"/>
              <w:left w:val="nil"/>
              <w:bottom w:val="single" w:sz="8" w:space="0" w:color="auto"/>
              <w:right w:val="single" w:sz="8" w:space="0" w:color="auto"/>
            </w:tcBorders>
            <w:shd w:val="clear" w:color="000000" w:fill="E7E6E6"/>
            <w:vAlign w:val="center"/>
            <w:hideMark/>
          </w:tcPr>
          <w:p w14:paraId="7BCA2D8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640A4D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90103C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46F9E4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BC660F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A6FFA7C"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E7D7140"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D6E84E8"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3ED9E4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DDD2BFB"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8ED2C81"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DD10F0F"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83B5CC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0863568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65FC164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12F0287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224E3D2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5818</w:t>
            </w:r>
          </w:p>
        </w:tc>
        <w:tc>
          <w:tcPr>
            <w:tcW w:w="776" w:type="dxa"/>
            <w:tcBorders>
              <w:top w:val="nil"/>
              <w:left w:val="nil"/>
              <w:bottom w:val="single" w:sz="8" w:space="0" w:color="auto"/>
              <w:right w:val="single" w:sz="8" w:space="0" w:color="auto"/>
            </w:tcBorders>
            <w:shd w:val="clear" w:color="auto" w:fill="auto"/>
            <w:vAlign w:val="center"/>
            <w:hideMark/>
          </w:tcPr>
          <w:p w14:paraId="2E8D7A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6 817</w:t>
            </w:r>
          </w:p>
        </w:tc>
        <w:tc>
          <w:tcPr>
            <w:tcW w:w="1036" w:type="dxa"/>
            <w:tcBorders>
              <w:top w:val="nil"/>
              <w:left w:val="nil"/>
              <w:bottom w:val="single" w:sz="8" w:space="0" w:color="auto"/>
              <w:right w:val="single" w:sz="8" w:space="0" w:color="auto"/>
            </w:tcBorders>
            <w:shd w:val="clear" w:color="000000" w:fill="FFFFFF"/>
            <w:vAlign w:val="center"/>
            <w:hideMark/>
          </w:tcPr>
          <w:p w14:paraId="04ADF98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32 170</w:t>
            </w:r>
          </w:p>
        </w:tc>
        <w:tc>
          <w:tcPr>
            <w:tcW w:w="776" w:type="dxa"/>
            <w:tcBorders>
              <w:top w:val="nil"/>
              <w:left w:val="nil"/>
              <w:bottom w:val="single" w:sz="8" w:space="0" w:color="auto"/>
              <w:right w:val="single" w:sz="8" w:space="0" w:color="auto"/>
            </w:tcBorders>
            <w:shd w:val="clear" w:color="auto" w:fill="auto"/>
            <w:vAlign w:val="center"/>
            <w:hideMark/>
          </w:tcPr>
          <w:p w14:paraId="214B443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98 310</w:t>
            </w:r>
          </w:p>
        </w:tc>
        <w:tc>
          <w:tcPr>
            <w:tcW w:w="976" w:type="dxa"/>
            <w:tcBorders>
              <w:top w:val="nil"/>
              <w:left w:val="nil"/>
              <w:bottom w:val="single" w:sz="8" w:space="0" w:color="auto"/>
              <w:right w:val="single" w:sz="8" w:space="0" w:color="auto"/>
            </w:tcBorders>
            <w:shd w:val="clear" w:color="000000" w:fill="FFFFFF"/>
            <w:vAlign w:val="center"/>
            <w:hideMark/>
          </w:tcPr>
          <w:p w14:paraId="5F85532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138 489</w:t>
            </w:r>
          </w:p>
        </w:tc>
        <w:tc>
          <w:tcPr>
            <w:tcW w:w="776" w:type="dxa"/>
            <w:tcBorders>
              <w:top w:val="nil"/>
              <w:left w:val="nil"/>
              <w:bottom w:val="single" w:sz="8" w:space="0" w:color="auto"/>
              <w:right w:val="single" w:sz="8" w:space="0" w:color="auto"/>
            </w:tcBorders>
            <w:shd w:val="clear" w:color="000000" w:fill="FFFFFF"/>
            <w:vAlign w:val="center"/>
            <w:hideMark/>
          </w:tcPr>
          <w:p w14:paraId="18D35F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7FFFA54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0D7514E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FAF8F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D289F3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D062340"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4E93F3D"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32BD8FB"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42FFC84"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FF6F393"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FEB1AE7"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973FB3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1794B0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553FB0C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076E3B9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2AF082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7D774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7419</w:t>
            </w:r>
          </w:p>
        </w:tc>
        <w:tc>
          <w:tcPr>
            <w:tcW w:w="776" w:type="dxa"/>
            <w:tcBorders>
              <w:top w:val="nil"/>
              <w:left w:val="nil"/>
              <w:bottom w:val="single" w:sz="8" w:space="0" w:color="auto"/>
              <w:right w:val="single" w:sz="8" w:space="0" w:color="auto"/>
            </w:tcBorders>
            <w:shd w:val="clear" w:color="auto" w:fill="auto"/>
            <w:vAlign w:val="center"/>
            <w:hideMark/>
          </w:tcPr>
          <w:p w14:paraId="4FAC87C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8 683</w:t>
            </w:r>
          </w:p>
        </w:tc>
        <w:tc>
          <w:tcPr>
            <w:tcW w:w="1036" w:type="dxa"/>
            <w:tcBorders>
              <w:top w:val="nil"/>
              <w:left w:val="nil"/>
              <w:bottom w:val="single" w:sz="8" w:space="0" w:color="auto"/>
              <w:right w:val="single" w:sz="8" w:space="0" w:color="auto"/>
            </w:tcBorders>
            <w:shd w:val="clear" w:color="000000" w:fill="FFFFFF"/>
            <w:vAlign w:val="center"/>
            <w:hideMark/>
          </w:tcPr>
          <w:p w14:paraId="28E0B5A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42 279</w:t>
            </w:r>
          </w:p>
        </w:tc>
        <w:tc>
          <w:tcPr>
            <w:tcW w:w="776" w:type="dxa"/>
            <w:tcBorders>
              <w:top w:val="nil"/>
              <w:left w:val="nil"/>
              <w:bottom w:val="single" w:sz="8" w:space="0" w:color="auto"/>
              <w:right w:val="single" w:sz="8" w:space="0" w:color="auto"/>
            </w:tcBorders>
            <w:shd w:val="clear" w:color="auto" w:fill="auto"/>
            <w:vAlign w:val="center"/>
            <w:hideMark/>
          </w:tcPr>
          <w:p w14:paraId="4FA6A16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110 876</w:t>
            </w:r>
          </w:p>
        </w:tc>
        <w:tc>
          <w:tcPr>
            <w:tcW w:w="976" w:type="dxa"/>
            <w:tcBorders>
              <w:top w:val="nil"/>
              <w:left w:val="nil"/>
              <w:bottom w:val="single" w:sz="8" w:space="0" w:color="auto"/>
              <w:right w:val="single" w:sz="8" w:space="0" w:color="auto"/>
            </w:tcBorders>
            <w:shd w:val="clear" w:color="000000" w:fill="FFFFFF"/>
            <w:vAlign w:val="center"/>
            <w:hideMark/>
          </w:tcPr>
          <w:p w14:paraId="468A304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154 987</w:t>
            </w:r>
          </w:p>
        </w:tc>
        <w:tc>
          <w:tcPr>
            <w:tcW w:w="776" w:type="dxa"/>
            <w:tcBorders>
              <w:top w:val="nil"/>
              <w:left w:val="nil"/>
              <w:bottom w:val="single" w:sz="8" w:space="0" w:color="auto"/>
              <w:right w:val="single" w:sz="8" w:space="0" w:color="auto"/>
            </w:tcBorders>
            <w:shd w:val="clear" w:color="000000" w:fill="FFFFFF"/>
            <w:vAlign w:val="center"/>
            <w:hideMark/>
          </w:tcPr>
          <w:p w14:paraId="3E69E68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7FBED7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576174F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0D0780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68987D2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2F6EEF4"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831F2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03.1</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44FBB6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1D5C8F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18AB3E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1252D9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A51DC6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182501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F482E72"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3 018</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F2A90F2"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10 493</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7F07835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5E46318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1 067</w:t>
            </w:r>
          </w:p>
        </w:tc>
        <w:tc>
          <w:tcPr>
            <w:tcW w:w="776" w:type="dxa"/>
            <w:tcBorders>
              <w:top w:val="nil"/>
              <w:left w:val="nil"/>
              <w:bottom w:val="single" w:sz="8" w:space="0" w:color="auto"/>
              <w:right w:val="single" w:sz="8" w:space="0" w:color="auto"/>
            </w:tcBorders>
            <w:shd w:val="clear" w:color="000000" w:fill="E7E6E6"/>
            <w:vAlign w:val="center"/>
            <w:hideMark/>
          </w:tcPr>
          <w:p w14:paraId="45E7571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367</w:t>
            </w:r>
          </w:p>
        </w:tc>
        <w:tc>
          <w:tcPr>
            <w:tcW w:w="1036" w:type="dxa"/>
            <w:tcBorders>
              <w:top w:val="nil"/>
              <w:left w:val="nil"/>
              <w:bottom w:val="single" w:sz="8" w:space="0" w:color="auto"/>
              <w:right w:val="single" w:sz="8" w:space="0" w:color="auto"/>
            </w:tcBorders>
            <w:shd w:val="clear" w:color="000000" w:fill="E7E6E6"/>
            <w:vAlign w:val="center"/>
            <w:hideMark/>
          </w:tcPr>
          <w:p w14:paraId="5704228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4 691</w:t>
            </w:r>
          </w:p>
        </w:tc>
        <w:tc>
          <w:tcPr>
            <w:tcW w:w="776" w:type="dxa"/>
            <w:tcBorders>
              <w:top w:val="nil"/>
              <w:left w:val="nil"/>
              <w:bottom w:val="single" w:sz="8" w:space="0" w:color="auto"/>
              <w:right w:val="single" w:sz="8" w:space="0" w:color="auto"/>
            </w:tcBorders>
            <w:shd w:val="clear" w:color="000000" w:fill="E7E6E6"/>
            <w:vAlign w:val="center"/>
            <w:hideMark/>
          </w:tcPr>
          <w:p w14:paraId="54ACAE5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6 967</w:t>
            </w:r>
          </w:p>
        </w:tc>
        <w:tc>
          <w:tcPr>
            <w:tcW w:w="976" w:type="dxa"/>
            <w:tcBorders>
              <w:top w:val="nil"/>
              <w:left w:val="nil"/>
              <w:bottom w:val="single" w:sz="8" w:space="0" w:color="auto"/>
              <w:right w:val="single" w:sz="8" w:space="0" w:color="auto"/>
            </w:tcBorders>
            <w:shd w:val="clear" w:color="000000" w:fill="E7E6E6"/>
            <w:vAlign w:val="center"/>
            <w:hideMark/>
          </w:tcPr>
          <w:p w14:paraId="7FA8322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3 953</w:t>
            </w:r>
          </w:p>
        </w:tc>
        <w:tc>
          <w:tcPr>
            <w:tcW w:w="776" w:type="dxa"/>
            <w:tcBorders>
              <w:top w:val="nil"/>
              <w:left w:val="nil"/>
              <w:bottom w:val="single" w:sz="8" w:space="0" w:color="auto"/>
              <w:right w:val="single" w:sz="8" w:space="0" w:color="auto"/>
            </w:tcBorders>
            <w:shd w:val="clear" w:color="000000" w:fill="E7E6E6"/>
            <w:vAlign w:val="center"/>
            <w:hideMark/>
          </w:tcPr>
          <w:p w14:paraId="72986B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C59CCF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C1988D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7AA3307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186299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339E976"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63A0A1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BA0F8BA"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972ED81"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90E6A77"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9175A0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FE6AA9E"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F2C5FF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46973A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C866BA4"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6BDC3F3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7B728D4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469</w:t>
            </w:r>
          </w:p>
        </w:tc>
        <w:tc>
          <w:tcPr>
            <w:tcW w:w="776" w:type="dxa"/>
            <w:tcBorders>
              <w:top w:val="nil"/>
              <w:left w:val="nil"/>
              <w:bottom w:val="single" w:sz="8" w:space="0" w:color="auto"/>
              <w:right w:val="single" w:sz="8" w:space="0" w:color="auto"/>
            </w:tcBorders>
            <w:shd w:val="clear" w:color="auto" w:fill="auto"/>
            <w:vAlign w:val="center"/>
            <w:hideMark/>
          </w:tcPr>
          <w:p w14:paraId="74A3BF4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158</w:t>
            </w:r>
          </w:p>
        </w:tc>
        <w:tc>
          <w:tcPr>
            <w:tcW w:w="1036" w:type="dxa"/>
            <w:tcBorders>
              <w:top w:val="nil"/>
              <w:left w:val="nil"/>
              <w:bottom w:val="single" w:sz="8" w:space="0" w:color="auto"/>
              <w:right w:val="single" w:sz="8" w:space="0" w:color="auto"/>
            </w:tcBorders>
            <w:shd w:val="clear" w:color="auto" w:fill="auto"/>
            <w:vAlign w:val="center"/>
            <w:hideMark/>
          </w:tcPr>
          <w:p w14:paraId="48EDED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1 898</w:t>
            </w:r>
          </w:p>
        </w:tc>
        <w:tc>
          <w:tcPr>
            <w:tcW w:w="776" w:type="dxa"/>
            <w:tcBorders>
              <w:top w:val="nil"/>
              <w:left w:val="nil"/>
              <w:bottom w:val="single" w:sz="8" w:space="0" w:color="auto"/>
              <w:right w:val="single" w:sz="8" w:space="0" w:color="auto"/>
            </w:tcBorders>
            <w:shd w:val="clear" w:color="auto" w:fill="auto"/>
            <w:vAlign w:val="center"/>
            <w:hideMark/>
          </w:tcPr>
          <w:p w14:paraId="6AC961D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2 694</w:t>
            </w:r>
          </w:p>
        </w:tc>
        <w:tc>
          <w:tcPr>
            <w:tcW w:w="976" w:type="dxa"/>
            <w:tcBorders>
              <w:top w:val="nil"/>
              <w:left w:val="nil"/>
              <w:bottom w:val="single" w:sz="8" w:space="0" w:color="auto"/>
              <w:right w:val="single" w:sz="8" w:space="0" w:color="auto"/>
            </w:tcBorders>
            <w:shd w:val="clear" w:color="auto" w:fill="auto"/>
            <w:vAlign w:val="center"/>
            <w:hideMark/>
          </w:tcPr>
          <w:p w14:paraId="4ABB32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1 685</w:t>
            </w:r>
          </w:p>
        </w:tc>
        <w:tc>
          <w:tcPr>
            <w:tcW w:w="776" w:type="dxa"/>
            <w:tcBorders>
              <w:top w:val="nil"/>
              <w:left w:val="nil"/>
              <w:bottom w:val="single" w:sz="8" w:space="0" w:color="auto"/>
              <w:right w:val="single" w:sz="8" w:space="0" w:color="auto"/>
            </w:tcBorders>
            <w:shd w:val="clear" w:color="000000" w:fill="FFFFFF"/>
            <w:vAlign w:val="center"/>
            <w:hideMark/>
          </w:tcPr>
          <w:p w14:paraId="0A94BC7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071001D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0C238D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AFE969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3E2EA0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9D1824D"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FBE2D8E"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DE68AA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0633D35"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A2FE7CE"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5ADCA399"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D7D15A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2B45ED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CA645C6"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1CFB292"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6802456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A2D93B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598</w:t>
            </w:r>
          </w:p>
        </w:tc>
        <w:tc>
          <w:tcPr>
            <w:tcW w:w="776" w:type="dxa"/>
            <w:tcBorders>
              <w:top w:val="nil"/>
              <w:left w:val="nil"/>
              <w:bottom w:val="single" w:sz="8" w:space="0" w:color="auto"/>
              <w:right w:val="single" w:sz="8" w:space="0" w:color="auto"/>
            </w:tcBorders>
            <w:shd w:val="clear" w:color="auto" w:fill="auto"/>
            <w:vAlign w:val="center"/>
            <w:hideMark/>
          </w:tcPr>
          <w:p w14:paraId="0189247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209</w:t>
            </w:r>
          </w:p>
        </w:tc>
        <w:tc>
          <w:tcPr>
            <w:tcW w:w="1036" w:type="dxa"/>
            <w:tcBorders>
              <w:top w:val="nil"/>
              <w:left w:val="nil"/>
              <w:bottom w:val="single" w:sz="8" w:space="0" w:color="auto"/>
              <w:right w:val="single" w:sz="8" w:space="0" w:color="auto"/>
            </w:tcBorders>
            <w:shd w:val="clear" w:color="auto" w:fill="auto"/>
            <w:vAlign w:val="center"/>
            <w:hideMark/>
          </w:tcPr>
          <w:p w14:paraId="054866D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2 793</w:t>
            </w:r>
          </w:p>
        </w:tc>
        <w:tc>
          <w:tcPr>
            <w:tcW w:w="776" w:type="dxa"/>
            <w:tcBorders>
              <w:top w:val="nil"/>
              <w:left w:val="nil"/>
              <w:bottom w:val="single" w:sz="8" w:space="0" w:color="auto"/>
              <w:right w:val="single" w:sz="8" w:space="0" w:color="auto"/>
            </w:tcBorders>
            <w:shd w:val="clear" w:color="auto" w:fill="auto"/>
            <w:vAlign w:val="center"/>
            <w:hideMark/>
          </w:tcPr>
          <w:p w14:paraId="459DDA6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4 274</w:t>
            </w:r>
          </w:p>
        </w:tc>
        <w:tc>
          <w:tcPr>
            <w:tcW w:w="976" w:type="dxa"/>
            <w:tcBorders>
              <w:top w:val="nil"/>
              <w:left w:val="nil"/>
              <w:bottom w:val="single" w:sz="8" w:space="0" w:color="auto"/>
              <w:right w:val="single" w:sz="8" w:space="0" w:color="auto"/>
            </w:tcBorders>
            <w:shd w:val="clear" w:color="auto" w:fill="auto"/>
            <w:vAlign w:val="center"/>
            <w:hideMark/>
          </w:tcPr>
          <w:p w14:paraId="53D0DC1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2 268</w:t>
            </w:r>
          </w:p>
        </w:tc>
        <w:tc>
          <w:tcPr>
            <w:tcW w:w="776" w:type="dxa"/>
            <w:tcBorders>
              <w:top w:val="nil"/>
              <w:left w:val="nil"/>
              <w:bottom w:val="single" w:sz="8" w:space="0" w:color="auto"/>
              <w:right w:val="single" w:sz="8" w:space="0" w:color="auto"/>
            </w:tcBorders>
            <w:shd w:val="clear" w:color="000000" w:fill="FFFFFF"/>
            <w:vAlign w:val="center"/>
            <w:hideMark/>
          </w:tcPr>
          <w:p w14:paraId="0E987F8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0B612CB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29FD5E0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80DA59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E9734C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2FC8E23"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580980C"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155B032"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F552B9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176B10D"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1730E1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5F0AEC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D6DA5A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27957D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42C320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4E87ABE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45DA9E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1 067</w:t>
            </w:r>
          </w:p>
        </w:tc>
        <w:tc>
          <w:tcPr>
            <w:tcW w:w="776" w:type="dxa"/>
            <w:tcBorders>
              <w:top w:val="nil"/>
              <w:left w:val="nil"/>
              <w:bottom w:val="single" w:sz="8" w:space="0" w:color="auto"/>
              <w:right w:val="single" w:sz="8" w:space="0" w:color="auto"/>
            </w:tcBorders>
            <w:shd w:val="clear" w:color="000000" w:fill="E7E6E6"/>
            <w:vAlign w:val="center"/>
            <w:hideMark/>
          </w:tcPr>
          <w:p w14:paraId="6F07147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1 434</w:t>
            </w:r>
          </w:p>
        </w:tc>
        <w:tc>
          <w:tcPr>
            <w:tcW w:w="1036" w:type="dxa"/>
            <w:tcBorders>
              <w:top w:val="nil"/>
              <w:left w:val="nil"/>
              <w:bottom w:val="single" w:sz="8" w:space="0" w:color="auto"/>
              <w:right w:val="single" w:sz="8" w:space="0" w:color="auto"/>
            </w:tcBorders>
            <w:shd w:val="clear" w:color="000000" w:fill="E7E6E6"/>
            <w:vAlign w:val="center"/>
            <w:hideMark/>
          </w:tcPr>
          <w:p w14:paraId="7DA7FD9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6 125</w:t>
            </w:r>
          </w:p>
        </w:tc>
        <w:tc>
          <w:tcPr>
            <w:tcW w:w="776" w:type="dxa"/>
            <w:tcBorders>
              <w:top w:val="nil"/>
              <w:left w:val="nil"/>
              <w:bottom w:val="single" w:sz="8" w:space="0" w:color="auto"/>
              <w:right w:val="single" w:sz="8" w:space="0" w:color="auto"/>
            </w:tcBorders>
            <w:shd w:val="clear" w:color="000000" w:fill="E7E6E6"/>
            <w:vAlign w:val="center"/>
            <w:hideMark/>
          </w:tcPr>
          <w:p w14:paraId="30B8F2F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13 093</w:t>
            </w:r>
          </w:p>
        </w:tc>
        <w:tc>
          <w:tcPr>
            <w:tcW w:w="976" w:type="dxa"/>
            <w:tcBorders>
              <w:top w:val="nil"/>
              <w:left w:val="nil"/>
              <w:bottom w:val="single" w:sz="8" w:space="0" w:color="auto"/>
              <w:right w:val="single" w:sz="8" w:space="0" w:color="auto"/>
            </w:tcBorders>
            <w:shd w:val="clear" w:color="000000" w:fill="E7E6E6"/>
            <w:vAlign w:val="center"/>
            <w:hideMark/>
          </w:tcPr>
          <w:p w14:paraId="424D7E2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17 046</w:t>
            </w:r>
          </w:p>
        </w:tc>
        <w:tc>
          <w:tcPr>
            <w:tcW w:w="776" w:type="dxa"/>
            <w:tcBorders>
              <w:top w:val="nil"/>
              <w:left w:val="nil"/>
              <w:bottom w:val="single" w:sz="8" w:space="0" w:color="auto"/>
              <w:right w:val="single" w:sz="8" w:space="0" w:color="auto"/>
            </w:tcBorders>
            <w:shd w:val="clear" w:color="000000" w:fill="E7E6E6"/>
            <w:vAlign w:val="center"/>
            <w:hideMark/>
          </w:tcPr>
          <w:p w14:paraId="31ECFC7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B9DABA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ACF2AB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18A7854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DB0CED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6D0FEBF"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DE5A1D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D7DA53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8391EF4"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26551E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403EDE5"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5CA685F"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112D9D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5B3C7C2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3A72C21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5F8D173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2BF920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469</w:t>
            </w:r>
          </w:p>
        </w:tc>
        <w:tc>
          <w:tcPr>
            <w:tcW w:w="776" w:type="dxa"/>
            <w:tcBorders>
              <w:top w:val="nil"/>
              <w:left w:val="nil"/>
              <w:bottom w:val="single" w:sz="8" w:space="0" w:color="auto"/>
              <w:right w:val="single" w:sz="8" w:space="0" w:color="auto"/>
            </w:tcBorders>
            <w:shd w:val="clear" w:color="auto" w:fill="auto"/>
            <w:vAlign w:val="center"/>
            <w:hideMark/>
          </w:tcPr>
          <w:p w14:paraId="4A5237F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627</w:t>
            </w:r>
          </w:p>
        </w:tc>
        <w:tc>
          <w:tcPr>
            <w:tcW w:w="1036" w:type="dxa"/>
            <w:tcBorders>
              <w:top w:val="nil"/>
              <w:left w:val="nil"/>
              <w:bottom w:val="single" w:sz="8" w:space="0" w:color="auto"/>
              <w:right w:val="single" w:sz="8" w:space="0" w:color="auto"/>
            </w:tcBorders>
            <w:shd w:val="clear" w:color="auto" w:fill="auto"/>
            <w:vAlign w:val="center"/>
            <w:hideMark/>
          </w:tcPr>
          <w:p w14:paraId="4F38D5C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2 525</w:t>
            </w:r>
          </w:p>
        </w:tc>
        <w:tc>
          <w:tcPr>
            <w:tcW w:w="776" w:type="dxa"/>
            <w:tcBorders>
              <w:top w:val="nil"/>
              <w:left w:val="nil"/>
              <w:bottom w:val="single" w:sz="8" w:space="0" w:color="auto"/>
              <w:right w:val="single" w:sz="8" w:space="0" w:color="auto"/>
            </w:tcBorders>
            <w:shd w:val="clear" w:color="auto" w:fill="auto"/>
            <w:vAlign w:val="center"/>
            <w:hideMark/>
          </w:tcPr>
          <w:p w14:paraId="526DA9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5 219</w:t>
            </w:r>
          </w:p>
        </w:tc>
        <w:tc>
          <w:tcPr>
            <w:tcW w:w="976" w:type="dxa"/>
            <w:tcBorders>
              <w:top w:val="nil"/>
              <w:left w:val="nil"/>
              <w:bottom w:val="single" w:sz="8" w:space="0" w:color="auto"/>
              <w:right w:val="single" w:sz="8" w:space="0" w:color="auto"/>
            </w:tcBorders>
            <w:shd w:val="clear" w:color="000000" w:fill="FFFFFF"/>
            <w:vAlign w:val="center"/>
            <w:hideMark/>
          </w:tcPr>
          <w:p w14:paraId="5408AF2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6 904</w:t>
            </w:r>
          </w:p>
        </w:tc>
        <w:tc>
          <w:tcPr>
            <w:tcW w:w="776" w:type="dxa"/>
            <w:tcBorders>
              <w:top w:val="nil"/>
              <w:left w:val="nil"/>
              <w:bottom w:val="single" w:sz="8" w:space="0" w:color="auto"/>
              <w:right w:val="single" w:sz="8" w:space="0" w:color="auto"/>
            </w:tcBorders>
            <w:shd w:val="clear" w:color="000000" w:fill="FFFFFF"/>
            <w:vAlign w:val="center"/>
            <w:hideMark/>
          </w:tcPr>
          <w:p w14:paraId="6C346A1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31D70F6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2275F56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25418E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F4B4CE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F9D2802"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AC9C94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A3B146A"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78AF0C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84342E7"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76A7E7F"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B839B2A"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2E4699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4FB446D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20F40C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2E362BB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F375E7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598</w:t>
            </w:r>
          </w:p>
        </w:tc>
        <w:tc>
          <w:tcPr>
            <w:tcW w:w="776" w:type="dxa"/>
            <w:tcBorders>
              <w:top w:val="nil"/>
              <w:left w:val="nil"/>
              <w:bottom w:val="single" w:sz="8" w:space="0" w:color="auto"/>
              <w:right w:val="single" w:sz="8" w:space="0" w:color="auto"/>
            </w:tcBorders>
            <w:shd w:val="clear" w:color="auto" w:fill="auto"/>
            <w:vAlign w:val="center"/>
            <w:hideMark/>
          </w:tcPr>
          <w:p w14:paraId="3A2F354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807</w:t>
            </w:r>
          </w:p>
        </w:tc>
        <w:tc>
          <w:tcPr>
            <w:tcW w:w="1036" w:type="dxa"/>
            <w:tcBorders>
              <w:top w:val="nil"/>
              <w:left w:val="nil"/>
              <w:bottom w:val="single" w:sz="8" w:space="0" w:color="auto"/>
              <w:right w:val="single" w:sz="8" w:space="0" w:color="auto"/>
            </w:tcBorders>
            <w:shd w:val="clear" w:color="auto" w:fill="auto"/>
            <w:vAlign w:val="center"/>
            <w:hideMark/>
          </w:tcPr>
          <w:p w14:paraId="401A993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3 600</w:t>
            </w:r>
          </w:p>
        </w:tc>
        <w:tc>
          <w:tcPr>
            <w:tcW w:w="776" w:type="dxa"/>
            <w:tcBorders>
              <w:top w:val="nil"/>
              <w:left w:val="nil"/>
              <w:bottom w:val="single" w:sz="8" w:space="0" w:color="auto"/>
              <w:right w:val="single" w:sz="8" w:space="0" w:color="auto"/>
            </w:tcBorders>
            <w:shd w:val="clear" w:color="auto" w:fill="auto"/>
            <w:vAlign w:val="center"/>
            <w:hideMark/>
          </w:tcPr>
          <w:p w14:paraId="577498F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7 874</w:t>
            </w:r>
          </w:p>
        </w:tc>
        <w:tc>
          <w:tcPr>
            <w:tcW w:w="976" w:type="dxa"/>
            <w:tcBorders>
              <w:top w:val="nil"/>
              <w:left w:val="nil"/>
              <w:bottom w:val="single" w:sz="8" w:space="0" w:color="auto"/>
              <w:right w:val="single" w:sz="8" w:space="0" w:color="auto"/>
            </w:tcBorders>
            <w:shd w:val="clear" w:color="000000" w:fill="FFFFFF"/>
            <w:vAlign w:val="center"/>
            <w:hideMark/>
          </w:tcPr>
          <w:p w14:paraId="2F1D083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10 142</w:t>
            </w:r>
          </w:p>
        </w:tc>
        <w:tc>
          <w:tcPr>
            <w:tcW w:w="776" w:type="dxa"/>
            <w:tcBorders>
              <w:top w:val="nil"/>
              <w:left w:val="nil"/>
              <w:bottom w:val="single" w:sz="8" w:space="0" w:color="auto"/>
              <w:right w:val="single" w:sz="8" w:space="0" w:color="auto"/>
            </w:tcBorders>
            <w:shd w:val="clear" w:color="000000" w:fill="FFFFFF"/>
            <w:vAlign w:val="center"/>
            <w:hideMark/>
          </w:tcPr>
          <w:p w14:paraId="07D1AAB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118FA5F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4EDEF3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A2AE93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3B419FD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7F129C2"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B14C41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03.1</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6B2BD3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212605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606D6A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F649CF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1E70F6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YEI</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84650B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Nerelevantní</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C941B3B"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3 100</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8E58599"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3 100</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6842E6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69810F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17487F2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199</w:t>
            </w:r>
          </w:p>
        </w:tc>
        <w:tc>
          <w:tcPr>
            <w:tcW w:w="1036" w:type="dxa"/>
            <w:tcBorders>
              <w:top w:val="nil"/>
              <w:left w:val="nil"/>
              <w:bottom w:val="single" w:sz="8" w:space="0" w:color="auto"/>
              <w:right w:val="single" w:sz="8" w:space="0" w:color="auto"/>
            </w:tcBorders>
            <w:shd w:val="clear" w:color="000000" w:fill="E7E6E6"/>
            <w:vAlign w:val="center"/>
            <w:hideMark/>
          </w:tcPr>
          <w:p w14:paraId="53428D7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2 145</w:t>
            </w:r>
          </w:p>
        </w:tc>
        <w:tc>
          <w:tcPr>
            <w:tcW w:w="776" w:type="dxa"/>
            <w:tcBorders>
              <w:top w:val="nil"/>
              <w:left w:val="nil"/>
              <w:bottom w:val="single" w:sz="8" w:space="0" w:color="auto"/>
              <w:right w:val="single" w:sz="8" w:space="0" w:color="auto"/>
            </w:tcBorders>
            <w:shd w:val="clear" w:color="000000" w:fill="E7E6E6"/>
            <w:vAlign w:val="center"/>
            <w:hideMark/>
          </w:tcPr>
          <w:p w14:paraId="3B395AE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1 715</w:t>
            </w:r>
          </w:p>
        </w:tc>
        <w:tc>
          <w:tcPr>
            <w:tcW w:w="976" w:type="dxa"/>
            <w:tcBorders>
              <w:top w:val="nil"/>
              <w:left w:val="nil"/>
              <w:bottom w:val="single" w:sz="8" w:space="0" w:color="auto"/>
              <w:right w:val="single" w:sz="8" w:space="0" w:color="auto"/>
            </w:tcBorders>
            <w:shd w:val="clear" w:color="000000" w:fill="E7E6E6"/>
            <w:vAlign w:val="center"/>
            <w:hideMark/>
          </w:tcPr>
          <w:p w14:paraId="22613FD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1 423</w:t>
            </w:r>
          </w:p>
        </w:tc>
        <w:tc>
          <w:tcPr>
            <w:tcW w:w="776" w:type="dxa"/>
            <w:tcBorders>
              <w:top w:val="nil"/>
              <w:left w:val="nil"/>
              <w:bottom w:val="single" w:sz="8" w:space="0" w:color="auto"/>
              <w:right w:val="single" w:sz="8" w:space="0" w:color="auto"/>
            </w:tcBorders>
            <w:shd w:val="clear" w:color="000000" w:fill="E7E6E6"/>
            <w:vAlign w:val="center"/>
            <w:hideMark/>
          </w:tcPr>
          <w:p w14:paraId="07DBC30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4D495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A89083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60CA1E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DAD2F0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6A0546D"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9DBBCA3"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DE085CB"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97988A6"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67C223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33996FB"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36216D2"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5121EA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32FA90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673D3F2"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3496CE6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879D81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564599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88</w:t>
            </w:r>
          </w:p>
        </w:tc>
        <w:tc>
          <w:tcPr>
            <w:tcW w:w="1036" w:type="dxa"/>
            <w:tcBorders>
              <w:top w:val="nil"/>
              <w:left w:val="nil"/>
              <w:bottom w:val="single" w:sz="8" w:space="0" w:color="auto"/>
              <w:right w:val="single" w:sz="8" w:space="0" w:color="auto"/>
            </w:tcBorders>
            <w:shd w:val="clear" w:color="000000" w:fill="FFFFFF"/>
            <w:vAlign w:val="center"/>
            <w:hideMark/>
          </w:tcPr>
          <w:p w14:paraId="45CE41F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1 058</w:t>
            </w:r>
          </w:p>
        </w:tc>
        <w:tc>
          <w:tcPr>
            <w:tcW w:w="776" w:type="dxa"/>
            <w:tcBorders>
              <w:top w:val="nil"/>
              <w:left w:val="nil"/>
              <w:bottom w:val="single" w:sz="8" w:space="0" w:color="auto"/>
              <w:right w:val="single" w:sz="8" w:space="0" w:color="auto"/>
            </w:tcBorders>
            <w:shd w:val="clear" w:color="auto" w:fill="auto"/>
            <w:vAlign w:val="center"/>
            <w:hideMark/>
          </w:tcPr>
          <w:p w14:paraId="14C54C1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807</w:t>
            </w:r>
          </w:p>
        </w:tc>
        <w:tc>
          <w:tcPr>
            <w:tcW w:w="976" w:type="dxa"/>
            <w:tcBorders>
              <w:top w:val="nil"/>
              <w:left w:val="nil"/>
              <w:bottom w:val="single" w:sz="8" w:space="0" w:color="auto"/>
              <w:right w:val="single" w:sz="8" w:space="0" w:color="auto"/>
            </w:tcBorders>
            <w:shd w:val="clear" w:color="000000" w:fill="FFFFFF"/>
            <w:vAlign w:val="center"/>
            <w:hideMark/>
          </w:tcPr>
          <w:p w14:paraId="7005D4E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670</w:t>
            </w:r>
          </w:p>
        </w:tc>
        <w:tc>
          <w:tcPr>
            <w:tcW w:w="776" w:type="dxa"/>
            <w:tcBorders>
              <w:top w:val="nil"/>
              <w:left w:val="nil"/>
              <w:bottom w:val="single" w:sz="8" w:space="0" w:color="auto"/>
              <w:right w:val="single" w:sz="8" w:space="0" w:color="auto"/>
            </w:tcBorders>
            <w:shd w:val="clear" w:color="000000" w:fill="FFFFFF"/>
            <w:vAlign w:val="center"/>
            <w:hideMark/>
          </w:tcPr>
          <w:p w14:paraId="2AC51F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74E72C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79764F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60A061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99790F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BA80328"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FD3C280"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9D9675D"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45F43D5"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5BA358B"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3A4F64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A89DBE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5C56D3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1FC3B2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4758B4D"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1C6DDDC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DE27F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5517B8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111</w:t>
            </w:r>
          </w:p>
        </w:tc>
        <w:tc>
          <w:tcPr>
            <w:tcW w:w="1036" w:type="dxa"/>
            <w:tcBorders>
              <w:top w:val="nil"/>
              <w:left w:val="nil"/>
              <w:bottom w:val="single" w:sz="8" w:space="0" w:color="auto"/>
              <w:right w:val="single" w:sz="8" w:space="0" w:color="auto"/>
            </w:tcBorders>
            <w:shd w:val="clear" w:color="000000" w:fill="FFFFFF"/>
            <w:vAlign w:val="center"/>
            <w:hideMark/>
          </w:tcPr>
          <w:p w14:paraId="11FC2C1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1 087</w:t>
            </w:r>
          </w:p>
        </w:tc>
        <w:tc>
          <w:tcPr>
            <w:tcW w:w="776" w:type="dxa"/>
            <w:tcBorders>
              <w:top w:val="nil"/>
              <w:left w:val="nil"/>
              <w:bottom w:val="single" w:sz="8" w:space="0" w:color="auto"/>
              <w:right w:val="single" w:sz="8" w:space="0" w:color="auto"/>
            </w:tcBorders>
            <w:shd w:val="clear" w:color="auto" w:fill="auto"/>
            <w:vAlign w:val="center"/>
            <w:hideMark/>
          </w:tcPr>
          <w:p w14:paraId="1233CCC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908</w:t>
            </w:r>
          </w:p>
        </w:tc>
        <w:tc>
          <w:tcPr>
            <w:tcW w:w="976" w:type="dxa"/>
            <w:tcBorders>
              <w:top w:val="nil"/>
              <w:left w:val="nil"/>
              <w:bottom w:val="single" w:sz="8" w:space="0" w:color="auto"/>
              <w:right w:val="single" w:sz="8" w:space="0" w:color="auto"/>
            </w:tcBorders>
            <w:shd w:val="clear" w:color="000000" w:fill="FFFFFF"/>
            <w:vAlign w:val="center"/>
            <w:hideMark/>
          </w:tcPr>
          <w:p w14:paraId="68442C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753</w:t>
            </w:r>
          </w:p>
        </w:tc>
        <w:tc>
          <w:tcPr>
            <w:tcW w:w="776" w:type="dxa"/>
            <w:tcBorders>
              <w:top w:val="nil"/>
              <w:left w:val="nil"/>
              <w:bottom w:val="single" w:sz="8" w:space="0" w:color="auto"/>
              <w:right w:val="single" w:sz="8" w:space="0" w:color="auto"/>
            </w:tcBorders>
            <w:shd w:val="clear" w:color="000000" w:fill="FFFFFF"/>
            <w:vAlign w:val="center"/>
            <w:hideMark/>
          </w:tcPr>
          <w:p w14:paraId="1A78E43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AD7B69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085C4C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6DB106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D1076B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C198D1D"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78DEEEB"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B13A1F6"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B39261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A783F3D"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21EE80B"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6B8C285"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90B179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99513A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7201461"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24BAD33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2E458FC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3DA9212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199</w:t>
            </w:r>
          </w:p>
        </w:tc>
        <w:tc>
          <w:tcPr>
            <w:tcW w:w="1036" w:type="dxa"/>
            <w:tcBorders>
              <w:top w:val="nil"/>
              <w:left w:val="nil"/>
              <w:bottom w:val="single" w:sz="8" w:space="0" w:color="auto"/>
              <w:right w:val="single" w:sz="8" w:space="0" w:color="auto"/>
            </w:tcBorders>
            <w:shd w:val="clear" w:color="000000" w:fill="E7E6E6"/>
            <w:vAlign w:val="center"/>
            <w:hideMark/>
          </w:tcPr>
          <w:p w14:paraId="1C6AA66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2 344</w:t>
            </w:r>
          </w:p>
        </w:tc>
        <w:tc>
          <w:tcPr>
            <w:tcW w:w="776" w:type="dxa"/>
            <w:tcBorders>
              <w:top w:val="nil"/>
              <w:left w:val="nil"/>
              <w:bottom w:val="single" w:sz="8" w:space="0" w:color="auto"/>
              <w:right w:val="single" w:sz="8" w:space="0" w:color="auto"/>
            </w:tcBorders>
            <w:shd w:val="clear" w:color="000000" w:fill="E7E6E6"/>
            <w:vAlign w:val="center"/>
            <w:hideMark/>
          </w:tcPr>
          <w:p w14:paraId="427F46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4 059</w:t>
            </w:r>
          </w:p>
        </w:tc>
        <w:tc>
          <w:tcPr>
            <w:tcW w:w="976" w:type="dxa"/>
            <w:tcBorders>
              <w:top w:val="nil"/>
              <w:left w:val="nil"/>
              <w:bottom w:val="single" w:sz="8" w:space="0" w:color="auto"/>
              <w:right w:val="single" w:sz="8" w:space="0" w:color="auto"/>
            </w:tcBorders>
            <w:shd w:val="clear" w:color="000000" w:fill="E7E6E6"/>
            <w:vAlign w:val="center"/>
            <w:hideMark/>
          </w:tcPr>
          <w:p w14:paraId="27BB426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5 482</w:t>
            </w:r>
          </w:p>
        </w:tc>
        <w:tc>
          <w:tcPr>
            <w:tcW w:w="776" w:type="dxa"/>
            <w:tcBorders>
              <w:top w:val="nil"/>
              <w:left w:val="nil"/>
              <w:bottom w:val="single" w:sz="8" w:space="0" w:color="auto"/>
              <w:right w:val="single" w:sz="8" w:space="0" w:color="auto"/>
            </w:tcBorders>
            <w:shd w:val="clear" w:color="000000" w:fill="E7E6E6"/>
            <w:vAlign w:val="center"/>
            <w:hideMark/>
          </w:tcPr>
          <w:p w14:paraId="55EFB42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7DFE9C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4176EE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62073D7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ACD96A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C5F05CF"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B476276"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C9902F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5128243"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21C0C5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9127B2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50BC30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F45323D"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7CA53A9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69C5399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E3F89E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769A75A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E9F6DF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88</w:t>
            </w:r>
          </w:p>
        </w:tc>
        <w:tc>
          <w:tcPr>
            <w:tcW w:w="1036" w:type="dxa"/>
            <w:tcBorders>
              <w:top w:val="nil"/>
              <w:left w:val="nil"/>
              <w:bottom w:val="single" w:sz="8" w:space="0" w:color="auto"/>
              <w:right w:val="single" w:sz="8" w:space="0" w:color="auto"/>
            </w:tcBorders>
            <w:shd w:val="clear" w:color="000000" w:fill="FFFFFF"/>
            <w:vAlign w:val="center"/>
            <w:hideMark/>
          </w:tcPr>
          <w:p w14:paraId="654B6E4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1 146</w:t>
            </w:r>
          </w:p>
        </w:tc>
        <w:tc>
          <w:tcPr>
            <w:tcW w:w="776" w:type="dxa"/>
            <w:tcBorders>
              <w:top w:val="nil"/>
              <w:left w:val="nil"/>
              <w:bottom w:val="single" w:sz="8" w:space="0" w:color="auto"/>
              <w:right w:val="single" w:sz="8" w:space="0" w:color="auto"/>
            </w:tcBorders>
            <w:shd w:val="clear" w:color="auto" w:fill="auto"/>
            <w:vAlign w:val="center"/>
            <w:hideMark/>
          </w:tcPr>
          <w:p w14:paraId="19D2A52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1 953</w:t>
            </w:r>
          </w:p>
        </w:tc>
        <w:tc>
          <w:tcPr>
            <w:tcW w:w="976" w:type="dxa"/>
            <w:tcBorders>
              <w:top w:val="nil"/>
              <w:left w:val="nil"/>
              <w:bottom w:val="single" w:sz="8" w:space="0" w:color="auto"/>
              <w:right w:val="single" w:sz="8" w:space="0" w:color="auto"/>
            </w:tcBorders>
            <w:shd w:val="clear" w:color="000000" w:fill="FFFFFF"/>
            <w:vAlign w:val="center"/>
            <w:hideMark/>
          </w:tcPr>
          <w:p w14:paraId="4116EA0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2 623</w:t>
            </w:r>
          </w:p>
        </w:tc>
        <w:tc>
          <w:tcPr>
            <w:tcW w:w="776" w:type="dxa"/>
            <w:tcBorders>
              <w:top w:val="nil"/>
              <w:left w:val="nil"/>
              <w:bottom w:val="single" w:sz="8" w:space="0" w:color="auto"/>
              <w:right w:val="single" w:sz="8" w:space="0" w:color="auto"/>
            </w:tcBorders>
            <w:shd w:val="clear" w:color="000000" w:fill="FFFFFF"/>
            <w:vAlign w:val="center"/>
            <w:hideMark/>
          </w:tcPr>
          <w:p w14:paraId="271D5AC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C3123C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436FAD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C42BB2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712193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B950015"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46ECF6E"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A18AB45"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F6F36A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890948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D9F2CF3"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E8C56A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8E5C9A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32758B8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6276393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C7DF34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6EA039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A9999B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111</w:t>
            </w:r>
          </w:p>
        </w:tc>
        <w:tc>
          <w:tcPr>
            <w:tcW w:w="1036" w:type="dxa"/>
            <w:tcBorders>
              <w:top w:val="nil"/>
              <w:left w:val="nil"/>
              <w:bottom w:val="single" w:sz="8" w:space="0" w:color="auto"/>
              <w:right w:val="single" w:sz="8" w:space="0" w:color="auto"/>
            </w:tcBorders>
            <w:shd w:val="clear" w:color="000000" w:fill="FFFFFF"/>
            <w:vAlign w:val="center"/>
            <w:hideMark/>
          </w:tcPr>
          <w:p w14:paraId="01ABE39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1 198</w:t>
            </w:r>
          </w:p>
        </w:tc>
        <w:tc>
          <w:tcPr>
            <w:tcW w:w="776" w:type="dxa"/>
            <w:tcBorders>
              <w:top w:val="nil"/>
              <w:left w:val="nil"/>
              <w:bottom w:val="single" w:sz="8" w:space="0" w:color="auto"/>
              <w:right w:val="single" w:sz="8" w:space="0" w:color="auto"/>
            </w:tcBorders>
            <w:shd w:val="clear" w:color="auto" w:fill="auto"/>
            <w:vAlign w:val="center"/>
            <w:hideMark/>
          </w:tcPr>
          <w:p w14:paraId="3A47025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2 106</w:t>
            </w:r>
          </w:p>
        </w:tc>
        <w:tc>
          <w:tcPr>
            <w:tcW w:w="976" w:type="dxa"/>
            <w:tcBorders>
              <w:top w:val="nil"/>
              <w:left w:val="nil"/>
              <w:bottom w:val="single" w:sz="8" w:space="0" w:color="auto"/>
              <w:right w:val="single" w:sz="8" w:space="0" w:color="auto"/>
            </w:tcBorders>
            <w:shd w:val="clear" w:color="000000" w:fill="FFFFFF"/>
            <w:vAlign w:val="center"/>
            <w:hideMark/>
          </w:tcPr>
          <w:p w14:paraId="51312EA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2 859</w:t>
            </w:r>
          </w:p>
        </w:tc>
        <w:tc>
          <w:tcPr>
            <w:tcW w:w="776" w:type="dxa"/>
            <w:tcBorders>
              <w:top w:val="nil"/>
              <w:left w:val="nil"/>
              <w:bottom w:val="single" w:sz="8" w:space="0" w:color="auto"/>
              <w:right w:val="single" w:sz="8" w:space="0" w:color="auto"/>
            </w:tcBorders>
            <w:shd w:val="clear" w:color="000000" w:fill="FFFFFF"/>
            <w:vAlign w:val="center"/>
            <w:hideMark/>
          </w:tcPr>
          <w:p w14:paraId="66D6A6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3B9096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CA9FF5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0B6A2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197C2B4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AD4D547"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E3115C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03.1</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C1E09B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767FD8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B75555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 - MRR</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58DBA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EEE793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DAD28F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70A756A"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293 592 578</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7470E85"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1 291 465 552</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4C04C1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6D8CE71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518A279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151 215 588,98</w:t>
            </w:r>
          </w:p>
        </w:tc>
        <w:tc>
          <w:tcPr>
            <w:tcW w:w="1036" w:type="dxa"/>
            <w:tcBorders>
              <w:top w:val="nil"/>
              <w:left w:val="nil"/>
              <w:bottom w:val="single" w:sz="8" w:space="0" w:color="auto"/>
              <w:right w:val="single" w:sz="8" w:space="0" w:color="auto"/>
            </w:tcBorders>
            <w:shd w:val="clear" w:color="000000" w:fill="E7E6E6"/>
            <w:vAlign w:val="center"/>
            <w:hideMark/>
          </w:tcPr>
          <w:p w14:paraId="3C1E65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168 782 662,55</w:t>
            </w:r>
          </w:p>
        </w:tc>
        <w:tc>
          <w:tcPr>
            <w:tcW w:w="776" w:type="dxa"/>
            <w:tcBorders>
              <w:top w:val="nil"/>
              <w:left w:val="nil"/>
              <w:bottom w:val="single" w:sz="8" w:space="0" w:color="auto"/>
              <w:right w:val="single" w:sz="8" w:space="0" w:color="auto"/>
            </w:tcBorders>
            <w:shd w:val="clear" w:color="000000" w:fill="E7E6E6"/>
            <w:vAlign w:val="center"/>
            <w:hideMark/>
          </w:tcPr>
          <w:p w14:paraId="7534A3B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192 872 525,13</w:t>
            </w:r>
          </w:p>
        </w:tc>
        <w:tc>
          <w:tcPr>
            <w:tcW w:w="976" w:type="dxa"/>
            <w:tcBorders>
              <w:top w:val="nil"/>
              <w:left w:val="nil"/>
              <w:bottom w:val="single" w:sz="8" w:space="0" w:color="auto"/>
              <w:right w:val="single" w:sz="8" w:space="0" w:color="auto"/>
            </w:tcBorders>
            <w:shd w:val="clear" w:color="000000" w:fill="E7E6E6"/>
            <w:noWrap/>
            <w:vAlign w:val="center"/>
            <w:hideMark/>
          </w:tcPr>
          <w:p w14:paraId="7F7A9F4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213 561 212,50</w:t>
            </w:r>
          </w:p>
        </w:tc>
        <w:tc>
          <w:tcPr>
            <w:tcW w:w="776" w:type="dxa"/>
            <w:tcBorders>
              <w:top w:val="nil"/>
              <w:left w:val="nil"/>
              <w:bottom w:val="single" w:sz="8" w:space="0" w:color="auto"/>
              <w:right w:val="single" w:sz="8" w:space="0" w:color="auto"/>
            </w:tcBorders>
            <w:shd w:val="clear" w:color="000000" w:fill="E7E6E6"/>
            <w:vAlign w:val="center"/>
            <w:hideMark/>
          </w:tcPr>
          <w:p w14:paraId="1E3DD00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463211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9F878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C3A1CC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C6DC96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ABF767C"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206E29B"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D3017AC"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908E04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490BF83"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500FD583"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A7EE307"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0D82E4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0733B9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FC30B98"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18A08EF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299CE9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197FC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7EC1A5A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65FD33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3DB990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2E1965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352570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8E2BC2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D591EF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F062B8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BE3BBB5"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E315A9A"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66D7A9E"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105F3D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C683CEC"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5F5FDF4"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91C59C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FACDC7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593A64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C5E4609"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07B19E1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40B860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09212C3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58AAB90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288973C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3C2C37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07607DC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BC703C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CE8CF1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A5EAC5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D060B1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BD33160"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AA4E67F"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32B6483"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2BBCF4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A0BC0E5"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FF3CC76"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6F7985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39C3AC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B87400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EB029AE"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673BC9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7BB13D0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597E546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151 215 588,98</w:t>
            </w:r>
          </w:p>
        </w:tc>
        <w:tc>
          <w:tcPr>
            <w:tcW w:w="1036" w:type="dxa"/>
            <w:tcBorders>
              <w:top w:val="nil"/>
              <w:left w:val="nil"/>
              <w:bottom w:val="single" w:sz="8" w:space="0" w:color="auto"/>
              <w:right w:val="single" w:sz="8" w:space="0" w:color="auto"/>
            </w:tcBorders>
            <w:shd w:val="clear" w:color="000000" w:fill="E7E6E6"/>
            <w:vAlign w:val="center"/>
            <w:hideMark/>
          </w:tcPr>
          <w:p w14:paraId="5E7A16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319 998 251,53</w:t>
            </w:r>
          </w:p>
        </w:tc>
        <w:tc>
          <w:tcPr>
            <w:tcW w:w="776" w:type="dxa"/>
            <w:tcBorders>
              <w:top w:val="nil"/>
              <w:left w:val="nil"/>
              <w:bottom w:val="single" w:sz="8" w:space="0" w:color="auto"/>
              <w:right w:val="single" w:sz="8" w:space="0" w:color="auto"/>
            </w:tcBorders>
            <w:shd w:val="clear" w:color="000000" w:fill="E7E6E6"/>
            <w:vAlign w:val="center"/>
            <w:hideMark/>
          </w:tcPr>
          <w:p w14:paraId="0CCEF59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512 870 776,66</w:t>
            </w:r>
          </w:p>
        </w:tc>
        <w:tc>
          <w:tcPr>
            <w:tcW w:w="976" w:type="dxa"/>
            <w:tcBorders>
              <w:top w:val="nil"/>
              <w:left w:val="nil"/>
              <w:bottom w:val="single" w:sz="8" w:space="0" w:color="auto"/>
              <w:right w:val="single" w:sz="8" w:space="0" w:color="auto"/>
            </w:tcBorders>
            <w:shd w:val="clear" w:color="000000" w:fill="E7E6E6"/>
            <w:vAlign w:val="center"/>
            <w:hideMark/>
          </w:tcPr>
          <w:p w14:paraId="7AB16E9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726 431 989,16</w:t>
            </w:r>
          </w:p>
        </w:tc>
        <w:tc>
          <w:tcPr>
            <w:tcW w:w="776" w:type="dxa"/>
            <w:tcBorders>
              <w:top w:val="nil"/>
              <w:left w:val="nil"/>
              <w:bottom w:val="single" w:sz="8" w:space="0" w:color="auto"/>
              <w:right w:val="single" w:sz="8" w:space="0" w:color="auto"/>
            </w:tcBorders>
            <w:shd w:val="clear" w:color="000000" w:fill="E7E6E6"/>
            <w:vAlign w:val="center"/>
            <w:hideMark/>
          </w:tcPr>
          <w:p w14:paraId="03ED4A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13F172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C68677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C555B4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19C7F7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2AD2830"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01A29B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6BEEBE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56DE7D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4652AC1"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82618A9"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88CF07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1F22D1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52B7E09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732F942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0354CA0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6D7719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22DA22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5BB252A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631AFD7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1D7B45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D32B04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CA2757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F80CA2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AD8A41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41C09B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6D1B4E1"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7EBA58E"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63B3CFC"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99F67E3"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3614F3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7291CC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F425E7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02F5A2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33A1FF8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68D4BFD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4CFEB7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778886E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BAC038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210FB0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71EF23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7E412F8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25C858E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208800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B25212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A76ACD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05D27B5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E3B2A65"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6150F8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03.1</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10093C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E31A01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0D8778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 - VRR</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B6EBE6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28B442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3C2FBC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A4249DF"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17 815 774</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C18F9E1"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79 113 557</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45370EF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6C461EF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591E4ED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12 245 913,97</w:t>
            </w:r>
          </w:p>
        </w:tc>
        <w:tc>
          <w:tcPr>
            <w:tcW w:w="1036" w:type="dxa"/>
            <w:tcBorders>
              <w:top w:val="nil"/>
              <w:left w:val="nil"/>
              <w:bottom w:val="single" w:sz="8" w:space="0" w:color="auto"/>
              <w:right w:val="single" w:sz="8" w:space="0" w:color="auto"/>
            </w:tcBorders>
            <w:shd w:val="clear" w:color="000000" w:fill="E7E6E6"/>
            <w:vAlign w:val="center"/>
            <w:hideMark/>
          </w:tcPr>
          <w:p w14:paraId="7AC313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11 504 515,48</w:t>
            </w:r>
          </w:p>
        </w:tc>
        <w:tc>
          <w:tcPr>
            <w:tcW w:w="776" w:type="dxa"/>
            <w:tcBorders>
              <w:top w:val="nil"/>
              <w:left w:val="nil"/>
              <w:bottom w:val="single" w:sz="8" w:space="0" w:color="auto"/>
              <w:right w:val="single" w:sz="8" w:space="0" w:color="auto"/>
            </w:tcBorders>
            <w:shd w:val="clear" w:color="000000" w:fill="E7E6E6"/>
            <w:vAlign w:val="center"/>
            <w:hideMark/>
          </w:tcPr>
          <w:p w14:paraId="28C752B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10 152 348,58</w:t>
            </w:r>
          </w:p>
        </w:tc>
        <w:tc>
          <w:tcPr>
            <w:tcW w:w="976" w:type="dxa"/>
            <w:tcBorders>
              <w:top w:val="nil"/>
              <w:left w:val="nil"/>
              <w:bottom w:val="single" w:sz="8" w:space="0" w:color="auto"/>
              <w:right w:val="single" w:sz="8" w:space="0" w:color="auto"/>
            </w:tcBorders>
            <w:shd w:val="clear" w:color="000000" w:fill="E7E6E6"/>
            <w:vAlign w:val="center"/>
            <w:hideMark/>
          </w:tcPr>
          <w:p w14:paraId="01BD6B7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13 616 302,56</w:t>
            </w:r>
          </w:p>
        </w:tc>
        <w:tc>
          <w:tcPr>
            <w:tcW w:w="776" w:type="dxa"/>
            <w:tcBorders>
              <w:top w:val="nil"/>
              <w:left w:val="nil"/>
              <w:bottom w:val="single" w:sz="8" w:space="0" w:color="auto"/>
              <w:right w:val="single" w:sz="8" w:space="0" w:color="auto"/>
            </w:tcBorders>
            <w:shd w:val="clear" w:color="000000" w:fill="E7E6E6"/>
            <w:vAlign w:val="center"/>
            <w:hideMark/>
          </w:tcPr>
          <w:p w14:paraId="5ACF4E3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DF7E24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09B1AA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7FF118A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F4B139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21A3F13"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ED65AC8"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0656853"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D5FFE6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6B0D0B4"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8433DEB"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6AB2082"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E0B07A6"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8313EC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442191B"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66C9FF3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E50DC1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2F18228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BF1ED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1B2BCB7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7A29ADC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2BFBCC4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5D8DA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B32BE4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4BB813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857F9E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7BB45FC"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3F28BED"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AEEDCA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8933560"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2738DC0"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611CB7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3B7E129"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045B39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D069B1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177A968"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66AAA02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ACF83F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60660B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7DB918F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4100407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41B68CB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341471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A51D5F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08A219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E36CAC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70D63D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0B5804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6788E18"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9EFF56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5A548B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0E3F425"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419EA7C"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14575F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0CC08C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E7AB2E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42D5F19"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5BA5F12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0820A84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67E3859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12 245 913,97</w:t>
            </w:r>
          </w:p>
        </w:tc>
        <w:tc>
          <w:tcPr>
            <w:tcW w:w="1036" w:type="dxa"/>
            <w:tcBorders>
              <w:top w:val="nil"/>
              <w:left w:val="nil"/>
              <w:bottom w:val="single" w:sz="8" w:space="0" w:color="auto"/>
              <w:right w:val="single" w:sz="8" w:space="0" w:color="auto"/>
            </w:tcBorders>
            <w:shd w:val="clear" w:color="000000" w:fill="E7E6E6"/>
            <w:vAlign w:val="center"/>
            <w:hideMark/>
          </w:tcPr>
          <w:p w14:paraId="1E89436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23 750 429,45</w:t>
            </w:r>
          </w:p>
        </w:tc>
        <w:tc>
          <w:tcPr>
            <w:tcW w:w="776" w:type="dxa"/>
            <w:tcBorders>
              <w:top w:val="nil"/>
              <w:left w:val="nil"/>
              <w:bottom w:val="single" w:sz="8" w:space="0" w:color="auto"/>
              <w:right w:val="single" w:sz="8" w:space="0" w:color="auto"/>
            </w:tcBorders>
            <w:shd w:val="clear" w:color="000000" w:fill="E7E6E6"/>
            <w:vAlign w:val="center"/>
            <w:hideMark/>
          </w:tcPr>
          <w:p w14:paraId="12ECAEA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33 902 778,03</w:t>
            </w:r>
          </w:p>
        </w:tc>
        <w:tc>
          <w:tcPr>
            <w:tcW w:w="976" w:type="dxa"/>
            <w:tcBorders>
              <w:top w:val="nil"/>
              <w:left w:val="nil"/>
              <w:bottom w:val="single" w:sz="8" w:space="0" w:color="auto"/>
              <w:right w:val="single" w:sz="8" w:space="0" w:color="auto"/>
            </w:tcBorders>
            <w:shd w:val="clear" w:color="000000" w:fill="E7E6E6"/>
            <w:vAlign w:val="center"/>
            <w:hideMark/>
          </w:tcPr>
          <w:p w14:paraId="1CF5E2E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47 519 080,59</w:t>
            </w:r>
          </w:p>
        </w:tc>
        <w:tc>
          <w:tcPr>
            <w:tcW w:w="776" w:type="dxa"/>
            <w:tcBorders>
              <w:top w:val="nil"/>
              <w:left w:val="nil"/>
              <w:bottom w:val="single" w:sz="8" w:space="0" w:color="auto"/>
              <w:right w:val="single" w:sz="8" w:space="0" w:color="auto"/>
            </w:tcBorders>
            <w:shd w:val="clear" w:color="000000" w:fill="E7E6E6"/>
            <w:vAlign w:val="center"/>
            <w:hideMark/>
          </w:tcPr>
          <w:p w14:paraId="200EEA1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73798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AE8E54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43B1037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8DE3C2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2B2A659"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E07DA5F"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E514488"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EBEE86E"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CE78153"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859444B"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39D9D87"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0B12B4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7D6C1A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24CEE7C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309D75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23AA394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4635F7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0352EEF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1FA6482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492BED5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53E2C2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D2FC6E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CEF633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6BEFFA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862005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FBA034A"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AA48166"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404CA18"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6C9E2B9"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A0B8B2E"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7E7317D"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B6250B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5BF613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3A0026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32D9D76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A29689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519EC22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28AFC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8FFECA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4D2681F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595566A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C50FBA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9D2F2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CA8923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9FDCC7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489A3A4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668E2A5"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E1D1DB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03.1</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E0B2FD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E37CDF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DE605D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C7A623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E16CDC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YEI</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BE0C6B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Nerelevantní</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9347DF9"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22 236 974</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4DD1A055"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29 599 966</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7E00C5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7EB0488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4BDAFF7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135 344,04</w:t>
            </w:r>
          </w:p>
        </w:tc>
        <w:tc>
          <w:tcPr>
            <w:tcW w:w="1036" w:type="dxa"/>
            <w:tcBorders>
              <w:top w:val="nil"/>
              <w:left w:val="nil"/>
              <w:bottom w:val="single" w:sz="8" w:space="0" w:color="auto"/>
              <w:right w:val="single" w:sz="8" w:space="0" w:color="auto"/>
            </w:tcBorders>
            <w:shd w:val="clear" w:color="000000" w:fill="E7E6E6"/>
            <w:vAlign w:val="center"/>
            <w:hideMark/>
          </w:tcPr>
          <w:p w14:paraId="2B8665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5 458 865,14</w:t>
            </w:r>
          </w:p>
        </w:tc>
        <w:tc>
          <w:tcPr>
            <w:tcW w:w="776" w:type="dxa"/>
            <w:tcBorders>
              <w:top w:val="nil"/>
              <w:left w:val="nil"/>
              <w:bottom w:val="single" w:sz="8" w:space="0" w:color="auto"/>
              <w:right w:val="single" w:sz="8" w:space="0" w:color="auto"/>
            </w:tcBorders>
            <w:shd w:val="clear" w:color="000000" w:fill="E7E6E6"/>
            <w:vAlign w:val="center"/>
            <w:hideMark/>
          </w:tcPr>
          <w:p w14:paraId="5DFFE5D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14 718 148,18</w:t>
            </w:r>
          </w:p>
        </w:tc>
        <w:tc>
          <w:tcPr>
            <w:tcW w:w="976" w:type="dxa"/>
            <w:tcBorders>
              <w:top w:val="nil"/>
              <w:left w:val="nil"/>
              <w:bottom w:val="single" w:sz="8" w:space="0" w:color="auto"/>
              <w:right w:val="single" w:sz="8" w:space="0" w:color="auto"/>
            </w:tcBorders>
            <w:shd w:val="clear" w:color="000000" w:fill="E7E6E6"/>
            <w:vAlign w:val="center"/>
            <w:hideMark/>
          </w:tcPr>
          <w:p w14:paraId="3D217FA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5 629 775,70</w:t>
            </w:r>
          </w:p>
        </w:tc>
        <w:tc>
          <w:tcPr>
            <w:tcW w:w="776" w:type="dxa"/>
            <w:tcBorders>
              <w:top w:val="nil"/>
              <w:left w:val="nil"/>
              <w:bottom w:val="single" w:sz="8" w:space="0" w:color="auto"/>
              <w:right w:val="single" w:sz="8" w:space="0" w:color="auto"/>
            </w:tcBorders>
            <w:shd w:val="clear" w:color="000000" w:fill="E7E6E6"/>
            <w:vAlign w:val="center"/>
            <w:hideMark/>
          </w:tcPr>
          <w:p w14:paraId="492A66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AB7D25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90C5E9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6A94C54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862191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1271300"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0CB8744"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B1125CE"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BE40B1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68AD84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7983B51"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6286140"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627B164"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BCCF45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0C66B1F"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670862F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7C9B4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2026842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00A9BF4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0B1C46E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56D927F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3E02E5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A5E0FA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58B49E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B9F847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1A9261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97F7638"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310CE41"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6C552A2"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AFFBB1C"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FBA0C19"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F6ED647"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A1F284E"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859E8E4"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C48414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AFD2174"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4BF91EE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2F2373D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E20A6F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5B369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0EF40C3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438515E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3A7530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5283DC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3D600A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3E339C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F2CECA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7EA4D0F"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9E71AFC"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2030AD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9C2C286"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FAD7D59"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DAEA41B"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2FDAABC7"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2FCB074"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30A571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EBAE3A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02BBFAD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009227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0210913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135 344,04</w:t>
            </w:r>
          </w:p>
        </w:tc>
        <w:tc>
          <w:tcPr>
            <w:tcW w:w="1036" w:type="dxa"/>
            <w:tcBorders>
              <w:top w:val="nil"/>
              <w:left w:val="nil"/>
              <w:bottom w:val="single" w:sz="8" w:space="0" w:color="auto"/>
              <w:right w:val="single" w:sz="8" w:space="0" w:color="auto"/>
            </w:tcBorders>
            <w:shd w:val="clear" w:color="000000" w:fill="E7E6E6"/>
            <w:vAlign w:val="center"/>
            <w:hideMark/>
          </w:tcPr>
          <w:p w14:paraId="509F0D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5 594 209,18</w:t>
            </w:r>
          </w:p>
        </w:tc>
        <w:tc>
          <w:tcPr>
            <w:tcW w:w="776" w:type="dxa"/>
            <w:tcBorders>
              <w:top w:val="nil"/>
              <w:left w:val="nil"/>
              <w:bottom w:val="single" w:sz="8" w:space="0" w:color="auto"/>
              <w:right w:val="single" w:sz="8" w:space="0" w:color="auto"/>
            </w:tcBorders>
            <w:shd w:val="clear" w:color="000000" w:fill="E7E6E6"/>
            <w:vAlign w:val="center"/>
            <w:hideMark/>
          </w:tcPr>
          <w:p w14:paraId="00CEA13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20 312 357,36</w:t>
            </w:r>
          </w:p>
        </w:tc>
        <w:tc>
          <w:tcPr>
            <w:tcW w:w="976" w:type="dxa"/>
            <w:tcBorders>
              <w:top w:val="nil"/>
              <w:left w:val="nil"/>
              <w:bottom w:val="single" w:sz="8" w:space="0" w:color="auto"/>
              <w:right w:val="single" w:sz="8" w:space="0" w:color="auto"/>
            </w:tcBorders>
            <w:shd w:val="clear" w:color="000000" w:fill="E7E6E6"/>
            <w:vAlign w:val="center"/>
            <w:hideMark/>
          </w:tcPr>
          <w:p w14:paraId="120AC3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25 942 133,06</w:t>
            </w:r>
          </w:p>
        </w:tc>
        <w:tc>
          <w:tcPr>
            <w:tcW w:w="776" w:type="dxa"/>
            <w:tcBorders>
              <w:top w:val="nil"/>
              <w:left w:val="nil"/>
              <w:bottom w:val="single" w:sz="8" w:space="0" w:color="auto"/>
              <w:right w:val="single" w:sz="8" w:space="0" w:color="auto"/>
            </w:tcBorders>
            <w:shd w:val="clear" w:color="000000" w:fill="E7E6E6"/>
            <w:vAlign w:val="center"/>
            <w:hideMark/>
          </w:tcPr>
          <w:p w14:paraId="420536C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D13704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DC85A2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1A380AC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303128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2B76325"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29B231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49D5596"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2E9327C"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742947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04675C5"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A20C68E"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66E141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2804D24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C02C7A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71B31D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7F77EA8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66E7D3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7C5836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7F4F3F5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1E3DD18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49C420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99D9E1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EC5F3B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3B2402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F83EA1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0EDE719"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0635BAE"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EC108DD"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E7DDA4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D2BC763"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38CE286"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2EDB2C69"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9438A0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F138FE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4C855F5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33A6C00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F21B45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B0F773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B5D797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5C0A514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12DDED3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6E1FC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695D4C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D0F8C8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88E51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26D4131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233EA93" w14:textId="77777777" w:rsidTr="0025557F">
        <w:trPr>
          <w:gridAfter w:val="1"/>
          <w:wAfter w:w="7" w:type="dxa"/>
          <w:trHeight w:val="227"/>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1C7805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03.2</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D92CC9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3C0826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B58257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FA294A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B2DDAF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936A2E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0136788"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20 698</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377A56B"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127 254</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5011F1FB"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5B7D0A9D"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670D2078"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216</w:t>
            </w:r>
          </w:p>
        </w:tc>
        <w:tc>
          <w:tcPr>
            <w:tcW w:w="1036" w:type="dxa"/>
            <w:tcBorders>
              <w:top w:val="nil"/>
              <w:left w:val="nil"/>
              <w:bottom w:val="single" w:sz="8" w:space="0" w:color="auto"/>
              <w:right w:val="single" w:sz="8" w:space="0" w:color="auto"/>
            </w:tcBorders>
            <w:shd w:val="clear" w:color="000000" w:fill="E7E6E6"/>
            <w:vAlign w:val="center"/>
            <w:hideMark/>
          </w:tcPr>
          <w:p w14:paraId="7DA389F6"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11 901</w:t>
            </w:r>
          </w:p>
        </w:tc>
        <w:tc>
          <w:tcPr>
            <w:tcW w:w="776" w:type="dxa"/>
            <w:tcBorders>
              <w:top w:val="nil"/>
              <w:left w:val="nil"/>
              <w:bottom w:val="single" w:sz="8" w:space="0" w:color="auto"/>
              <w:right w:val="single" w:sz="8" w:space="0" w:color="auto"/>
            </w:tcBorders>
            <w:shd w:val="clear" w:color="000000" w:fill="E7E6E6"/>
            <w:vAlign w:val="center"/>
            <w:hideMark/>
          </w:tcPr>
          <w:p w14:paraId="05F09191"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22 996</w:t>
            </w:r>
          </w:p>
        </w:tc>
        <w:tc>
          <w:tcPr>
            <w:tcW w:w="976" w:type="dxa"/>
            <w:tcBorders>
              <w:top w:val="nil"/>
              <w:left w:val="nil"/>
              <w:bottom w:val="single" w:sz="8" w:space="0" w:color="auto"/>
              <w:right w:val="single" w:sz="8" w:space="0" w:color="auto"/>
            </w:tcBorders>
            <w:shd w:val="clear" w:color="000000" w:fill="E7E6E6"/>
            <w:vAlign w:val="center"/>
            <w:hideMark/>
          </w:tcPr>
          <w:p w14:paraId="790D0A11"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28 022</w:t>
            </w:r>
          </w:p>
        </w:tc>
        <w:tc>
          <w:tcPr>
            <w:tcW w:w="776" w:type="dxa"/>
            <w:tcBorders>
              <w:top w:val="nil"/>
              <w:left w:val="nil"/>
              <w:bottom w:val="single" w:sz="8" w:space="0" w:color="auto"/>
              <w:right w:val="single" w:sz="8" w:space="0" w:color="auto"/>
            </w:tcBorders>
            <w:shd w:val="clear" w:color="000000" w:fill="E7E6E6"/>
            <w:vAlign w:val="center"/>
            <w:hideMark/>
          </w:tcPr>
          <w:p w14:paraId="0448165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C8D5A9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5D88CE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4FA12E3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575C5D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278E2BF"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5CBAF406"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B30763B"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D346610"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E3C493B"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9D238F9"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0E0687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C13BBE6"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C1C4244"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3271C98"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4E80D0A7"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ED183EA"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06BE7B68"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104</w:t>
            </w:r>
          </w:p>
        </w:tc>
        <w:tc>
          <w:tcPr>
            <w:tcW w:w="1036" w:type="dxa"/>
            <w:tcBorders>
              <w:top w:val="nil"/>
              <w:left w:val="nil"/>
              <w:bottom w:val="single" w:sz="8" w:space="0" w:color="auto"/>
              <w:right w:val="single" w:sz="8" w:space="0" w:color="auto"/>
            </w:tcBorders>
            <w:shd w:val="clear" w:color="auto" w:fill="auto"/>
            <w:vAlign w:val="center"/>
            <w:hideMark/>
          </w:tcPr>
          <w:p w14:paraId="5490FEA0"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5 081</w:t>
            </w:r>
          </w:p>
        </w:tc>
        <w:tc>
          <w:tcPr>
            <w:tcW w:w="776" w:type="dxa"/>
            <w:tcBorders>
              <w:top w:val="nil"/>
              <w:left w:val="nil"/>
              <w:bottom w:val="single" w:sz="8" w:space="0" w:color="auto"/>
              <w:right w:val="single" w:sz="8" w:space="0" w:color="auto"/>
            </w:tcBorders>
            <w:shd w:val="clear" w:color="auto" w:fill="auto"/>
            <w:vAlign w:val="center"/>
            <w:hideMark/>
          </w:tcPr>
          <w:p w14:paraId="598522A8"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6 869</w:t>
            </w:r>
          </w:p>
        </w:tc>
        <w:tc>
          <w:tcPr>
            <w:tcW w:w="976" w:type="dxa"/>
            <w:tcBorders>
              <w:top w:val="nil"/>
              <w:left w:val="nil"/>
              <w:bottom w:val="single" w:sz="8" w:space="0" w:color="auto"/>
              <w:right w:val="single" w:sz="8" w:space="0" w:color="auto"/>
            </w:tcBorders>
            <w:shd w:val="clear" w:color="000000" w:fill="FFFFFF"/>
            <w:vAlign w:val="center"/>
            <w:hideMark/>
          </w:tcPr>
          <w:p w14:paraId="638F5B66"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8 969</w:t>
            </w:r>
          </w:p>
        </w:tc>
        <w:tc>
          <w:tcPr>
            <w:tcW w:w="776" w:type="dxa"/>
            <w:tcBorders>
              <w:top w:val="nil"/>
              <w:left w:val="nil"/>
              <w:bottom w:val="single" w:sz="8" w:space="0" w:color="auto"/>
              <w:right w:val="single" w:sz="8" w:space="0" w:color="auto"/>
            </w:tcBorders>
            <w:shd w:val="clear" w:color="auto" w:fill="auto"/>
            <w:vAlign w:val="center"/>
            <w:hideMark/>
          </w:tcPr>
          <w:p w14:paraId="0DB2462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0B390CF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26B2792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7DEB3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5A5534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4769B69"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029FA151"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0FC516E"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ACCBADD"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B2968DC"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EA878B8"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02BF88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1EAD43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8DB6AFD"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4A44A2C"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4DBE40CB"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6C8782D"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23B71451"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112</w:t>
            </w:r>
          </w:p>
        </w:tc>
        <w:tc>
          <w:tcPr>
            <w:tcW w:w="1036" w:type="dxa"/>
            <w:tcBorders>
              <w:top w:val="nil"/>
              <w:left w:val="nil"/>
              <w:bottom w:val="single" w:sz="8" w:space="0" w:color="auto"/>
              <w:right w:val="single" w:sz="8" w:space="0" w:color="auto"/>
            </w:tcBorders>
            <w:shd w:val="clear" w:color="auto" w:fill="auto"/>
            <w:vAlign w:val="center"/>
            <w:hideMark/>
          </w:tcPr>
          <w:p w14:paraId="41932338"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6 820</w:t>
            </w:r>
          </w:p>
        </w:tc>
        <w:tc>
          <w:tcPr>
            <w:tcW w:w="776" w:type="dxa"/>
            <w:tcBorders>
              <w:top w:val="nil"/>
              <w:left w:val="nil"/>
              <w:bottom w:val="single" w:sz="8" w:space="0" w:color="auto"/>
              <w:right w:val="single" w:sz="8" w:space="0" w:color="auto"/>
            </w:tcBorders>
            <w:shd w:val="clear" w:color="auto" w:fill="auto"/>
            <w:vAlign w:val="center"/>
            <w:hideMark/>
          </w:tcPr>
          <w:p w14:paraId="44BAF33C"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16 127</w:t>
            </w:r>
          </w:p>
        </w:tc>
        <w:tc>
          <w:tcPr>
            <w:tcW w:w="976" w:type="dxa"/>
            <w:tcBorders>
              <w:top w:val="nil"/>
              <w:left w:val="nil"/>
              <w:bottom w:val="single" w:sz="8" w:space="0" w:color="auto"/>
              <w:right w:val="single" w:sz="8" w:space="0" w:color="auto"/>
            </w:tcBorders>
            <w:shd w:val="clear" w:color="000000" w:fill="FFFFFF"/>
            <w:vAlign w:val="center"/>
            <w:hideMark/>
          </w:tcPr>
          <w:p w14:paraId="5312211C"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19 053</w:t>
            </w:r>
          </w:p>
        </w:tc>
        <w:tc>
          <w:tcPr>
            <w:tcW w:w="776" w:type="dxa"/>
            <w:tcBorders>
              <w:top w:val="nil"/>
              <w:left w:val="nil"/>
              <w:bottom w:val="single" w:sz="8" w:space="0" w:color="auto"/>
              <w:right w:val="single" w:sz="8" w:space="0" w:color="auto"/>
            </w:tcBorders>
            <w:shd w:val="clear" w:color="auto" w:fill="auto"/>
            <w:vAlign w:val="center"/>
            <w:hideMark/>
          </w:tcPr>
          <w:p w14:paraId="798D009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315D983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6EA6839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51469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B2779B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5D91048"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4534CAE9"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559163A"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5B670C9"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3118DF6"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37FE006"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BC20ED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EC0EF1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AA1A8E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6D9E523"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4038382C"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47CFBC43"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07762CBC"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216</w:t>
            </w:r>
          </w:p>
        </w:tc>
        <w:tc>
          <w:tcPr>
            <w:tcW w:w="1036" w:type="dxa"/>
            <w:tcBorders>
              <w:top w:val="nil"/>
              <w:left w:val="nil"/>
              <w:bottom w:val="single" w:sz="8" w:space="0" w:color="auto"/>
              <w:right w:val="single" w:sz="8" w:space="0" w:color="auto"/>
            </w:tcBorders>
            <w:shd w:val="clear" w:color="000000" w:fill="E7E6E6"/>
            <w:vAlign w:val="center"/>
            <w:hideMark/>
          </w:tcPr>
          <w:p w14:paraId="5B9EEC55"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12 117</w:t>
            </w:r>
          </w:p>
        </w:tc>
        <w:tc>
          <w:tcPr>
            <w:tcW w:w="776" w:type="dxa"/>
            <w:tcBorders>
              <w:top w:val="nil"/>
              <w:left w:val="nil"/>
              <w:bottom w:val="single" w:sz="8" w:space="0" w:color="auto"/>
              <w:right w:val="single" w:sz="8" w:space="0" w:color="auto"/>
            </w:tcBorders>
            <w:shd w:val="clear" w:color="000000" w:fill="E7E6E6"/>
            <w:vAlign w:val="center"/>
            <w:hideMark/>
          </w:tcPr>
          <w:p w14:paraId="7ADD5004"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35 113</w:t>
            </w:r>
          </w:p>
        </w:tc>
        <w:tc>
          <w:tcPr>
            <w:tcW w:w="976" w:type="dxa"/>
            <w:tcBorders>
              <w:top w:val="nil"/>
              <w:left w:val="nil"/>
              <w:bottom w:val="single" w:sz="8" w:space="0" w:color="auto"/>
              <w:right w:val="single" w:sz="8" w:space="0" w:color="auto"/>
            </w:tcBorders>
            <w:shd w:val="clear" w:color="000000" w:fill="E7E6E6"/>
            <w:vAlign w:val="center"/>
            <w:hideMark/>
          </w:tcPr>
          <w:p w14:paraId="1753B32D"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63 135</w:t>
            </w:r>
          </w:p>
        </w:tc>
        <w:tc>
          <w:tcPr>
            <w:tcW w:w="776" w:type="dxa"/>
            <w:tcBorders>
              <w:top w:val="nil"/>
              <w:left w:val="nil"/>
              <w:bottom w:val="single" w:sz="8" w:space="0" w:color="auto"/>
              <w:right w:val="single" w:sz="8" w:space="0" w:color="auto"/>
            </w:tcBorders>
            <w:shd w:val="clear" w:color="000000" w:fill="E7E6E6"/>
            <w:vAlign w:val="center"/>
            <w:hideMark/>
          </w:tcPr>
          <w:p w14:paraId="010D736F" w14:textId="77777777" w:rsidR="00584BDC" w:rsidRPr="00584BDC" w:rsidRDefault="00584BDC" w:rsidP="00C01B35">
            <w:pPr>
              <w:keepNext/>
              <w:keepLines/>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C1211A2" w14:textId="77777777" w:rsidR="00584BDC" w:rsidRPr="00584BDC" w:rsidRDefault="00584BDC" w:rsidP="00C01B35">
            <w:pPr>
              <w:keepNext/>
              <w:keepLines/>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C3B696A" w14:textId="77777777" w:rsidR="00584BDC" w:rsidRPr="00584BDC" w:rsidRDefault="00584BDC" w:rsidP="00C01B35">
            <w:pPr>
              <w:keepNext/>
              <w:keepLines/>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6E47ECBC" w14:textId="77777777" w:rsidR="00584BDC" w:rsidRPr="00584BDC" w:rsidRDefault="00584BDC" w:rsidP="00C01B35">
            <w:pPr>
              <w:keepNext/>
              <w:keepLines/>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851D158" w14:textId="77777777" w:rsidR="00584BDC" w:rsidRPr="00584BDC" w:rsidRDefault="00584BDC" w:rsidP="00C01B35">
            <w:pPr>
              <w:keepNext/>
              <w:keepLines/>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50FDEF2"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035288E7"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05ACB3B"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6334A9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8C13727"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76DCB21"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A16837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CBF055D"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73D880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2E98DDD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39847F9D"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2B208E71"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1B0547D1"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104</w:t>
            </w:r>
          </w:p>
        </w:tc>
        <w:tc>
          <w:tcPr>
            <w:tcW w:w="1036" w:type="dxa"/>
            <w:tcBorders>
              <w:top w:val="nil"/>
              <w:left w:val="nil"/>
              <w:bottom w:val="single" w:sz="8" w:space="0" w:color="auto"/>
              <w:right w:val="single" w:sz="8" w:space="0" w:color="auto"/>
            </w:tcBorders>
            <w:shd w:val="clear" w:color="auto" w:fill="auto"/>
            <w:vAlign w:val="center"/>
            <w:hideMark/>
          </w:tcPr>
          <w:p w14:paraId="34A0CA55"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5 185</w:t>
            </w:r>
          </w:p>
        </w:tc>
        <w:tc>
          <w:tcPr>
            <w:tcW w:w="776" w:type="dxa"/>
            <w:tcBorders>
              <w:top w:val="nil"/>
              <w:left w:val="nil"/>
              <w:bottom w:val="single" w:sz="8" w:space="0" w:color="auto"/>
              <w:right w:val="single" w:sz="8" w:space="0" w:color="auto"/>
            </w:tcBorders>
            <w:shd w:val="clear" w:color="auto" w:fill="auto"/>
            <w:vAlign w:val="center"/>
            <w:hideMark/>
          </w:tcPr>
          <w:p w14:paraId="177EFB91"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12 054</w:t>
            </w:r>
          </w:p>
        </w:tc>
        <w:tc>
          <w:tcPr>
            <w:tcW w:w="976" w:type="dxa"/>
            <w:tcBorders>
              <w:top w:val="nil"/>
              <w:left w:val="nil"/>
              <w:bottom w:val="single" w:sz="8" w:space="0" w:color="auto"/>
              <w:right w:val="single" w:sz="8" w:space="0" w:color="auto"/>
            </w:tcBorders>
            <w:shd w:val="clear" w:color="auto" w:fill="auto"/>
            <w:vAlign w:val="center"/>
            <w:hideMark/>
          </w:tcPr>
          <w:p w14:paraId="7D85B799" w14:textId="77777777" w:rsidR="00584BDC" w:rsidRPr="00584BDC" w:rsidRDefault="00584BDC" w:rsidP="00C01B35">
            <w:pPr>
              <w:keepNext/>
              <w:keepLines/>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21 023</w:t>
            </w:r>
          </w:p>
        </w:tc>
        <w:tc>
          <w:tcPr>
            <w:tcW w:w="776" w:type="dxa"/>
            <w:tcBorders>
              <w:top w:val="nil"/>
              <w:left w:val="nil"/>
              <w:bottom w:val="single" w:sz="8" w:space="0" w:color="auto"/>
              <w:right w:val="single" w:sz="8" w:space="0" w:color="auto"/>
            </w:tcBorders>
            <w:shd w:val="clear" w:color="auto" w:fill="auto"/>
            <w:vAlign w:val="center"/>
            <w:hideMark/>
          </w:tcPr>
          <w:p w14:paraId="0DE16531" w14:textId="77777777" w:rsidR="00584BDC" w:rsidRPr="00584BDC" w:rsidRDefault="00584BDC" w:rsidP="00C01B35">
            <w:pPr>
              <w:keepNext/>
              <w:keepLines/>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1AF3BEFA" w14:textId="77777777" w:rsidR="00584BDC" w:rsidRPr="00584BDC" w:rsidRDefault="00584BDC" w:rsidP="00C01B35">
            <w:pPr>
              <w:keepNext/>
              <w:keepLines/>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13F23CD0" w14:textId="77777777" w:rsidR="00584BDC" w:rsidRPr="00584BDC" w:rsidRDefault="00584BDC" w:rsidP="00C01B35">
            <w:pPr>
              <w:keepNext/>
              <w:keepLines/>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F13AFAF" w14:textId="77777777" w:rsidR="00584BDC" w:rsidRPr="00584BDC" w:rsidRDefault="00584BDC" w:rsidP="00C01B35">
            <w:pPr>
              <w:keepNext/>
              <w:keepLines/>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147A849" w14:textId="77777777" w:rsidR="00584BDC" w:rsidRPr="00584BDC" w:rsidRDefault="00584BDC" w:rsidP="00C01B35">
            <w:pPr>
              <w:keepNext/>
              <w:keepLines/>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7B85FCC"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7CE8CF5D"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A6820E5"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7C2994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F7F1973"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A0036C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5416C1E"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9DDAB38"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67FE418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2024F57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4E9C81F"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57AF2AB2"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7605DBE8"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112</w:t>
            </w:r>
          </w:p>
        </w:tc>
        <w:tc>
          <w:tcPr>
            <w:tcW w:w="1036" w:type="dxa"/>
            <w:tcBorders>
              <w:top w:val="nil"/>
              <w:left w:val="nil"/>
              <w:bottom w:val="single" w:sz="8" w:space="0" w:color="auto"/>
              <w:right w:val="single" w:sz="8" w:space="0" w:color="auto"/>
            </w:tcBorders>
            <w:shd w:val="clear" w:color="auto" w:fill="auto"/>
            <w:vAlign w:val="center"/>
            <w:hideMark/>
          </w:tcPr>
          <w:p w14:paraId="59D24D0A"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6 932</w:t>
            </w:r>
          </w:p>
        </w:tc>
        <w:tc>
          <w:tcPr>
            <w:tcW w:w="776" w:type="dxa"/>
            <w:tcBorders>
              <w:top w:val="nil"/>
              <w:left w:val="nil"/>
              <w:bottom w:val="single" w:sz="8" w:space="0" w:color="auto"/>
              <w:right w:val="single" w:sz="8" w:space="0" w:color="auto"/>
            </w:tcBorders>
            <w:shd w:val="clear" w:color="auto" w:fill="auto"/>
            <w:vAlign w:val="center"/>
            <w:hideMark/>
          </w:tcPr>
          <w:p w14:paraId="73E258EA"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23 059</w:t>
            </w:r>
          </w:p>
        </w:tc>
        <w:tc>
          <w:tcPr>
            <w:tcW w:w="976" w:type="dxa"/>
            <w:tcBorders>
              <w:top w:val="nil"/>
              <w:left w:val="nil"/>
              <w:bottom w:val="single" w:sz="8" w:space="0" w:color="auto"/>
              <w:right w:val="single" w:sz="8" w:space="0" w:color="auto"/>
            </w:tcBorders>
            <w:shd w:val="clear" w:color="auto" w:fill="auto"/>
            <w:vAlign w:val="center"/>
            <w:hideMark/>
          </w:tcPr>
          <w:p w14:paraId="4D79F282" w14:textId="77777777" w:rsidR="00584BDC" w:rsidRPr="00584BDC" w:rsidRDefault="00584BDC" w:rsidP="00C01B35">
            <w:pPr>
              <w:widowControl w:val="0"/>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42 112</w:t>
            </w:r>
          </w:p>
        </w:tc>
        <w:tc>
          <w:tcPr>
            <w:tcW w:w="776" w:type="dxa"/>
            <w:tcBorders>
              <w:top w:val="nil"/>
              <w:left w:val="nil"/>
              <w:bottom w:val="single" w:sz="8" w:space="0" w:color="auto"/>
              <w:right w:val="single" w:sz="8" w:space="0" w:color="auto"/>
            </w:tcBorders>
            <w:shd w:val="clear" w:color="auto" w:fill="auto"/>
            <w:vAlign w:val="center"/>
            <w:hideMark/>
          </w:tcPr>
          <w:p w14:paraId="5A59357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2B6551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68F0AC3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40BA4F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7DC4F35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63B9CC3" w14:textId="77777777" w:rsidTr="0025557F">
        <w:trPr>
          <w:gridAfter w:val="1"/>
          <w:wAfter w:w="7" w:type="dxa"/>
          <w:trHeight w:val="227"/>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73FCD1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03.2</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5AB6C6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C6A9A1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0A622C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090C52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CE8E82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E1ED87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0622A69"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850</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101E34C"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11 982</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2079BCB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7948A3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72AAA22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171B103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290</w:t>
            </w:r>
          </w:p>
        </w:tc>
        <w:tc>
          <w:tcPr>
            <w:tcW w:w="776" w:type="dxa"/>
            <w:tcBorders>
              <w:top w:val="nil"/>
              <w:left w:val="nil"/>
              <w:bottom w:val="single" w:sz="8" w:space="0" w:color="auto"/>
              <w:right w:val="single" w:sz="8" w:space="0" w:color="auto"/>
            </w:tcBorders>
            <w:shd w:val="clear" w:color="000000" w:fill="E7E6E6"/>
            <w:vAlign w:val="center"/>
            <w:hideMark/>
          </w:tcPr>
          <w:p w14:paraId="044A502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1 259</w:t>
            </w:r>
          </w:p>
        </w:tc>
        <w:tc>
          <w:tcPr>
            <w:tcW w:w="976" w:type="dxa"/>
            <w:tcBorders>
              <w:top w:val="nil"/>
              <w:left w:val="nil"/>
              <w:bottom w:val="single" w:sz="8" w:space="0" w:color="auto"/>
              <w:right w:val="single" w:sz="8" w:space="0" w:color="auto"/>
            </w:tcBorders>
            <w:shd w:val="clear" w:color="000000" w:fill="E7E6E6"/>
            <w:vAlign w:val="center"/>
            <w:hideMark/>
          </w:tcPr>
          <w:p w14:paraId="31F080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757</w:t>
            </w:r>
          </w:p>
        </w:tc>
        <w:tc>
          <w:tcPr>
            <w:tcW w:w="776" w:type="dxa"/>
            <w:tcBorders>
              <w:top w:val="nil"/>
              <w:left w:val="nil"/>
              <w:bottom w:val="single" w:sz="8" w:space="0" w:color="auto"/>
              <w:right w:val="single" w:sz="8" w:space="0" w:color="auto"/>
            </w:tcBorders>
            <w:shd w:val="clear" w:color="000000" w:fill="E7E6E6"/>
            <w:vAlign w:val="center"/>
            <w:hideMark/>
          </w:tcPr>
          <w:p w14:paraId="728F628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01C4ECF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AC320C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2ACD983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C5439D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50632DE"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27F9AC66"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0578A71"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966CC2C"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7B37385"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A63B6B7"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E657EE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6C2E18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D53B27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EF1792E"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40C2DBA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E70D4D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9A2AAD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1080559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131</w:t>
            </w:r>
          </w:p>
        </w:tc>
        <w:tc>
          <w:tcPr>
            <w:tcW w:w="776" w:type="dxa"/>
            <w:tcBorders>
              <w:top w:val="nil"/>
              <w:left w:val="nil"/>
              <w:bottom w:val="single" w:sz="8" w:space="0" w:color="auto"/>
              <w:right w:val="single" w:sz="8" w:space="0" w:color="auto"/>
            </w:tcBorders>
            <w:shd w:val="clear" w:color="auto" w:fill="auto"/>
            <w:vAlign w:val="center"/>
            <w:hideMark/>
          </w:tcPr>
          <w:p w14:paraId="266156A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535</w:t>
            </w:r>
          </w:p>
        </w:tc>
        <w:tc>
          <w:tcPr>
            <w:tcW w:w="976" w:type="dxa"/>
            <w:tcBorders>
              <w:top w:val="nil"/>
              <w:left w:val="nil"/>
              <w:bottom w:val="single" w:sz="8" w:space="0" w:color="auto"/>
              <w:right w:val="single" w:sz="8" w:space="0" w:color="auto"/>
            </w:tcBorders>
            <w:shd w:val="clear" w:color="000000" w:fill="FFFFFF"/>
            <w:vAlign w:val="center"/>
            <w:hideMark/>
          </w:tcPr>
          <w:p w14:paraId="7F453C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264</w:t>
            </w:r>
          </w:p>
        </w:tc>
        <w:tc>
          <w:tcPr>
            <w:tcW w:w="776" w:type="dxa"/>
            <w:tcBorders>
              <w:top w:val="nil"/>
              <w:left w:val="nil"/>
              <w:bottom w:val="single" w:sz="8" w:space="0" w:color="auto"/>
              <w:right w:val="single" w:sz="8" w:space="0" w:color="auto"/>
            </w:tcBorders>
            <w:shd w:val="clear" w:color="000000" w:fill="FFFFFF"/>
            <w:vAlign w:val="center"/>
            <w:hideMark/>
          </w:tcPr>
          <w:p w14:paraId="1E24397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EBD4D4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F4AFF8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B39AA6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E4AC22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A62687B"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09DA6869"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AE43E11"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12DD550"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65D2E50"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FC67B26"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C6F0A3D"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AE8B128"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BE1340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996E5D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2CFC1A0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5E7F964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FB4CE7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660F58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159</w:t>
            </w:r>
          </w:p>
        </w:tc>
        <w:tc>
          <w:tcPr>
            <w:tcW w:w="776" w:type="dxa"/>
            <w:tcBorders>
              <w:top w:val="nil"/>
              <w:left w:val="nil"/>
              <w:bottom w:val="single" w:sz="8" w:space="0" w:color="auto"/>
              <w:right w:val="single" w:sz="8" w:space="0" w:color="auto"/>
            </w:tcBorders>
            <w:shd w:val="clear" w:color="auto" w:fill="auto"/>
            <w:vAlign w:val="center"/>
            <w:hideMark/>
          </w:tcPr>
          <w:p w14:paraId="40B74D0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725</w:t>
            </w:r>
          </w:p>
        </w:tc>
        <w:tc>
          <w:tcPr>
            <w:tcW w:w="976" w:type="dxa"/>
            <w:tcBorders>
              <w:top w:val="nil"/>
              <w:left w:val="nil"/>
              <w:bottom w:val="single" w:sz="8" w:space="0" w:color="auto"/>
              <w:right w:val="single" w:sz="8" w:space="0" w:color="auto"/>
            </w:tcBorders>
            <w:shd w:val="clear" w:color="000000" w:fill="FFFFFF"/>
            <w:vAlign w:val="center"/>
            <w:hideMark/>
          </w:tcPr>
          <w:p w14:paraId="5311CB7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492</w:t>
            </w:r>
          </w:p>
        </w:tc>
        <w:tc>
          <w:tcPr>
            <w:tcW w:w="776" w:type="dxa"/>
            <w:tcBorders>
              <w:top w:val="nil"/>
              <w:left w:val="nil"/>
              <w:bottom w:val="single" w:sz="8" w:space="0" w:color="auto"/>
              <w:right w:val="single" w:sz="8" w:space="0" w:color="auto"/>
            </w:tcBorders>
            <w:shd w:val="clear" w:color="000000" w:fill="FFFFFF"/>
            <w:vAlign w:val="center"/>
            <w:hideMark/>
          </w:tcPr>
          <w:p w14:paraId="6CB8A07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1F049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A3C9E0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2865E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7F4EE2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4CBFAC4"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7C4EF459"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C00E6FA"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9A9ED5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70331CC"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09A1701"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2716E8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4AA4A46"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3F0245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EAFE1D2"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2C770D8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6E4FD96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08531B1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7742BAF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290</w:t>
            </w:r>
          </w:p>
        </w:tc>
        <w:tc>
          <w:tcPr>
            <w:tcW w:w="776" w:type="dxa"/>
            <w:tcBorders>
              <w:top w:val="nil"/>
              <w:left w:val="nil"/>
              <w:bottom w:val="single" w:sz="8" w:space="0" w:color="auto"/>
              <w:right w:val="single" w:sz="8" w:space="0" w:color="auto"/>
            </w:tcBorders>
            <w:shd w:val="clear" w:color="000000" w:fill="E7E6E6"/>
            <w:vAlign w:val="center"/>
            <w:hideMark/>
          </w:tcPr>
          <w:p w14:paraId="560C44E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1 549</w:t>
            </w:r>
          </w:p>
        </w:tc>
        <w:tc>
          <w:tcPr>
            <w:tcW w:w="976" w:type="dxa"/>
            <w:tcBorders>
              <w:top w:val="nil"/>
              <w:left w:val="nil"/>
              <w:bottom w:val="single" w:sz="8" w:space="0" w:color="auto"/>
              <w:right w:val="single" w:sz="8" w:space="0" w:color="auto"/>
            </w:tcBorders>
            <w:shd w:val="clear" w:color="000000" w:fill="E7E6E6"/>
            <w:vAlign w:val="center"/>
            <w:hideMark/>
          </w:tcPr>
          <w:p w14:paraId="2FBBB5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2 307</w:t>
            </w:r>
          </w:p>
        </w:tc>
        <w:tc>
          <w:tcPr>
            <w:tcW w:w="776" w:type="dxa"/>
            <w:tcBorders>
              <w:top w:val="nil"/>
              <w:left w:val="nil"/>
              <w:bottom w:val="single" w:sz="8" w:space="0" w:color="auto"/>
              <w:right w:val="single" w:sz="8" w:space="0" w:color="auto"/>
            </w:tcBorders>
            <w:shd w:val="clear" w:color="000000" w:fill="E7E6E6"/>
            <w:vAlign w:val="center"/>
            <w:hideMark/>
          </w:tcPr>
          <w:p w14:paraId="4F354EF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B233E8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221E6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09A1388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9030B0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9FAC5CB"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30601383"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0D9480D"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AAE152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36E71E0"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F13901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C8C9E6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9A57E2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6CE67D5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6163F34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527A033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2DDAA6A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837512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D31C0E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131</w:t>
            </w:r>
          </w:p>
        </w:tc>
        <w:tc>
          <w:tcPr>
            <w:tcW w:w="776" w:type="dxa"/>
            <w:tcBorders>
              <w:top w:val="nil"/>
              <w:left w:val="nil"/>
              <w:bottom w:val="single" w:sz="8" w:space="0" w:color="auto"/>
              <w:right w:val="single" w:sz="8" w:space="0" w:color="auto"/>
            </w:tcBorders>
            <w:shd w:val="clear" w:color="auto" w:fill="auto"/>
            <w:vAlign w:val="center"/>
            <w:hideMark/>
          </w:tcPr>
          <w:p w14:paraId="38C329E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666</w:t>
            </w:r>
          </w:p>
        </w:tc>
        <w:tc>
          <w:tcPr>
            <w:tcW w:w="976" w:type="dxa"/>
            <w:tcBorders>
              <w:top w:val="nil"/>
              <w:left w:val="nil"/>
              <w:bottom w:val="single" w:sz="8" w:space="0" w:color="auto"/>
              <w:right w:val="single" w:sz="8" w:space="0" w:color="auto"/>
            </w:tcBorders>
            <w:shd w:val="clear" w:color="000000" w:fill="FFFFFF"/>
            <w:vAlign w:val="center"/>
            <w:hideMark/>
          </w:tcPr>
          <w:p w14:paraId="322C3D2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930</w:t>
            </w:r>
          </w:p>
        </w:tc>
        <w:tc>
          <w:tcPr>
            <w:tcW w:w="776" w:type="dxa"/>
            <w:tcBorders>
              <w:top w:val="nil"/>
              <w:left w:val="nil"/>
              <w:bottom w:val="single" w:sz="8" w:space="0" w:color="auto"/>
              <w:right w:val="single" w:sz="8" w:space="0" w:color="auto"/>
            </w:tcBorders>
            <w:shd w:val="clear" w:color="000000" w:fill="FFFFFF"/>
            <w:vAlign w:val="center"/>
            <w:hideMark/>
          </w:tcPr>
          <w:p w14:paraId="66336CD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DE271B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331EA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3D04BD3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9DC0D6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A377EFF"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7482B803"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5DA3EEE"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0AD036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868898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5D716E63"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3A4C48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3142C7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77FB68C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02EFDBC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6CE7B5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7A5DA41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56D437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7BC2647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159</w:t>
            </w:r>
          </w:p>
        </w:tc>
        <w:tc>
          <w:tcPr>
            <w:tcW w:w="776" w:type="dxa"/>
            <w:tcBorders>
              <w:top w:val="nil"/>
              <w:left w:val="nil"/>
              <w:bottom w:val="single" w:sz="8" w:space="0" w:color="auto"/>
              <w:right w:val="single" w:sz="8" w:space="0" w:color="auto"/>
            </w:tcBorders>
            <w:shd w:val="clear" w:color="auto" w:fill="auto"/>
            <w:vAlign w:val="center"/>
            <w:hideMark/>
          </w:tcPr>
          <w:p w14:paraId="6B958F5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884</w:t>
            </w:r>
          </w:p>
        </w:tc>
        <w:tc>
          <w:tcPr>
            <w:tcW w:w="976" w:type="dxa"/>
            <w:tcBorders>
              <w:top w:val="nil"/>
              <w:left w:val="nil"/>
              <w:bottom w:val="single" w:sz="8" w:space="0" w:color="auto"/>
              <w:right w:val="single" w:sz="8" w:space="0" w:color="auto"/>
            </w:tcBorders>
            <w:shd w:val="clear" w:color="000000" w:fill="FFFFFF"/>
            <w:vAlign w:val="center"/>
            <w:hideMark/>
          </w:tcPr>
          <w:p w14:paraId="63A8A93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1 376</w:t>
            </w:r>
          </w:p>
        </w:tc>
        <w:tc>
          <w:tcPr>
            <w:tcW w:w="776" w:type="dxa"/>
            <w:tcBorders>
              <w:top w:val="nil"/>
              <w:left w:val="nil"/>
              <w:bottom w:val="single" w:sz="8" w:space="0" w:color="auto"/>
              <w:right w:val="single" w:sz="8" w:space="0" w:color="auto"/>
            </w:tcBorders>
            <w:shd w:val="clear" w:color="000000" w:fill="FFFFFF"/>
            <w:vAlign w:val="center"/>
            <w:hideMark/>
          </w:tcPr>
          <w:p w14:paraId="586F73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6A6204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E31AB3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2836D1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06FD306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79E781F"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E0FCC5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03.2</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F1F6D7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3B64C5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67001</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39A5EB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Kapacita podpořených služeb</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4319C6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Místa</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E490AB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32D8B7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154B29EC"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8 598</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F93FB3A"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35 593</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6B19DE9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5A7E720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3FE9183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2 423,50</w:t>
            </w:r>
          </w:p>
        </w:tc>
        <w:tc>
          <w:tcPr>
            <w:tcW w:w="1036" w:type="dxa"/>
            <w:tcBorders>
              <w:top w:val="nil"/>
              <w:left w:val="nil"/>
              <w:bottom w:val="single" w:sz="8" w:space="0" w:color="auto"/>
              <w:right w:val="single" w:sz="8" w:space="0" w:color="auto"/>
            </w:tcBorders>
            <w:shd w:val="clear" w:color="000000" w:fill="E7E6E6"/>
            <w:vAlign w:val="center"/>
            <w:hideMark/>
          </w:tcPr>
          <w:p w14:paraId="6C51B24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10 584,34</w:t>
            </w:r>
          </w:p>
        </w:tc>
        <w:tc>
          <w:tcPr>
            <w:tcW w:w="776" w:type="dxa"/>
            <w:tcBorders>
              <w:top w:val="nil"/>
              <w:left w:val="nil"/>
              <w:bottom w:val="single" w:sz="8" w:space="0" w:color="auto"/>
              <w:right w:val="single" w:sz="8" w:space="0" w:color="auto"/>
            </w:tcBorders>
            <w:shd w:val="clear" w:color="000000" w:fill="E7E6E6"/>
            <w:vAlign w:val="center"/>
            <w:hideMark/>
          </w:tcPr>
          <w:p w14:paraId="1530C9D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4 727,91</w:t>
            </w:r>
          </w:p>
        </w:tc>
        <w:tc>
          <w:tcPr>
            <w:tcW w:w="976" w:type="dxa"/>
            <w:tcBorders>
              <w:top w:val="nil"/>
              <w:left w:val="nil"/>
              <w:bottom w:val="single" w:sz="8" w:space="0" w:color="auto"/>
              <w:right w:val="single" w:sz="8" w:space="0" w:color="auto"/>
            </w:tcBorders>
            <w:shd w:val="clear" w:color="000000" w:fill="E7E6E6"/>
            <w:vAlign w:val="center"/>
            <w:hideMark/>
          </w:tcPr>
          <w:p w14:paraId="0BBB658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7 409,57</w:t>
            </w:r>
          </w:p>
        </w:tc>
        <w:tc>
          <w:tcPr>
            <w:tcW w:w="776" w:type="dxa"/>
            <w:tcBorders>
              <w:top w:val="nil"/>
              <w:left w:val="nil"/>
              <w:bottom w:val="single" w:sz="8" w:space="0" w:color="auto"/>
              <w:right w:val="single" w:sz="8" w:space="0" w:color="auto"/>
            </w:tcBorders>
            <w:shd w:val="clear" w:color="000000" w:fill="E7E6E6"/>
            <w:vAlign w:val="center"/>
            <w:hideMark/>
          </w:tcPr>
          <w:p w14:paraId="2F3245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6ADBDC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256DE2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19963E7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3E8089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53AE2DC"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5733359"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F85C15C"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957D311"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9491BB4"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4B88AD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6B3AB74"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5C56E4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225BF9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D32E29C"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042C58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3453F00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132BC89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11BBC58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B951F4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52DF090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16AC1D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79B1C9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4A48B4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77FBB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A4F74A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593A40F"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F1E1AF7"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0FD581C"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22A170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3C2D7FC"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4E4DA54"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A98A50E"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D00CA1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255196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5BBC6C1"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2FC4A12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2566E9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782328E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77E4BC7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1D1F3B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5235045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6F3BE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FCF6A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341A93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904B1C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424746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3156971"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C09B634"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B9FD22B"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D4E76F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636B62D"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BF7AB05"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768D462"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BA866E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6817C3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0866BCB"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1FE23EA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458AB32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7507F69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2 423,50</w:t>
            </w:r>
          </w:p>
        </w:tc>
        <w:tc>
          <w:tcPr>
            <w:tcW w:w="1036" w:type="dxa"/>
            <w:tcBorders>
              <w:top w:val="nil"/>
              <w:left w:val="nil"/>
              <w:bottom w:val="single" w:sz="8" w:space="0" w:color="auto"/>
              <w:right w:val="single" w:sz="8" w:space="0" w:color="auto"/>
            </w:tcBorders>
            <w:shd w:val="clear" w:color="000000" w:fill="E7E6E6"/>
            <w:vAlign w:val="center"/>
            <w:hideMark/>
          </w:tcPr>
          <w:p w14:paraId="4D8C291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13 007,84</w:t>
            </w:r>
          </w:p>
        </w:tc>
        <w:tc>
          <w:tcPr>
            <w:tcW w:w="776" w:type="dxa"/>
            <w:tcBorders>
              <w:top w:val="nil"/>
              <w:left w:val="nil"/>
              <w:bottom w:val="single" w:sz="8" w:space="0" w:color="auto"/>
              <w:right w:val="single" w:sz="8" w:space="0" w:color="auto"/>
            </w:tcBorders>
            <w:shd w:val="clear" w:color="000000" w:fill="E7E6E6"/>
            <w:vAlign w:val="center"/>
            <w:hideMark/>
          </w:tcPr>
          <w:p w14:paraId="15114B9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17 735,75</w:t>
            </w:r>
          </w:p>
        </w:tc>
        <w:tc>
          <w:tcPr>
            <w:tcW w:w="976" w:type="dxa"/>
            <w:tcBorders>
              <w:top w:val="nil"/>
              <w:left w:val="nil"/>
              <w:bottom w:val="single" w:sz="8" w:space="0" w:color="auto"/>
              <w:right w:val="single" w:sz="8" w:space="0" w:color="auto"/>
            </w:tcBorders>
            <w:shd w:val="clear" w:color="000000" w:fill="E7E6E6"/>
            <w:vAlign w:val="center"/>
            <w:hideMark/>
          </w:tcPr>
          <w:p w14:paraId="538CEF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25 145,32</w:t>
            </w:r>
          </w:p>
        </w:tc>
        <w:tc>
          <w:tcPr>
            <w:tcW w:w="776" w:type="dxa"/>
            <w:tcBorders>
              <w:top w:val="nil"/>
              <w:left w:val="nil"/>
              <w:bottom w:val="single" w:sz="8" w:space="0" w:color="auto"/>
              <w:right w:val="single" w:sz="8" w:space="0" w:color="auto"/>
            </w:tcBorders>
            <w:shd w:val="clear" w:color="000000" w:fill="E7E6E6"/>
            <w:vAlign w:val="center"/>
            <w:hideMark/>
          </w:tcPr>
          <w:p w14:paraId="60C5B0A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B1688F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A90B8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2CFF37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5FBAC7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90FCE42"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77ADDB4"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F98317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CAD508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FF65542"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8318A2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F8D2D4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60F624D"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73AE57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4981B04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0F53F6B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232CDEC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0B6ACA9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1AEABDF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auto" w:fill="auto"/>
            <w:vAlign w:val="center"/>
            <w:hideMark/>
          </w:tcPr>
          <w:p w14:paraId="3A86DF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6333A77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4FAC27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A852CB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211D62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151764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D34438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822B7D7"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E688B7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BBB08FC"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1545A3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C164321"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D1A1D95"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2DEDB9BE"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3FB74F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30C39B8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B3325F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544397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4024242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458B2C2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072AB5E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auto" w:fill="auto"/>
            <w:vAlign w:val="center"/>
            <w:hideMark/>
          </w:tcPr>
          <w:p w14:paraId="0C914CE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3D4079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D7C9BC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0712DE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0FC016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ECF26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3BFD86A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8B52FC2"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6F3756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03.2</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4EC5A3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A4CFF3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67001</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6E7ACA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Kapacita podpořených služeb</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0D7946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Místa</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965186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666BB6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E2F5168"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1 063</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852BC19"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4 252</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4907099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2E06A42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4FD4CAB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317147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956,58</w:t>
            </w:r>
          </w:p>
        </w:tc>
        <w:tc>
          <w:tcPr>
            <w:tcW w:w="776" w:type="dxa"/>
            <w:tcBorders>
              <w:top w:val="nil"/>
              <w:left w:val="nil"/>
              <w:bottom w:val="single" w:sz="8" w:space="0" w:color="auto"/>
              <w:right w:val="single" w:sz="8" w:space="0" w:color="auto"/>
            </w:tcBorders>
            <w:shd w:val="clear" w:color="000000" w:fill="E7E6E6"/>
            <w:vAlign w:val="center"/>
            <w:hideMark/>
          </w:tcPr>
          <w:p w14:paraId="61CB8AC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91,00</w:t>
            </w:r>
          </w:p>
        </w:tc>
        <w:tc>
          <w:tcPr>
            <w:tcW w:w="976" w:type="dxa"/>
            <w:tcBorders>
              <w:top w:val="nil"/>
              <w:left w:val="nil"/>
              <w:bottom w:val="single" w:sz="8" w:space="0" w:color="auto"/>
              <w:right w:val="single" w:sz="8" w:space="0" w:color="auto"/>
            </w:tcBorders>
            <w:shd w:val="clear" w:color="000000" w:fill="E7E6E6"/>
            <w:vAlign w:val="center"/>
            <w:hideMark/>
          </w:tcPr>
          <w:p w14:paraId="589900B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283,30</w:t>
            </w:r>
          </w:p>
        </w:tc>
        <w:tc>
          <w:tcPr>
            <w:tcW w:w="776" w:type="dxa"/>
            <w:tcBorders>
              <w:top w:val="nil"/>
              <w:left w:val="nil"/>
              <w:bottom w:val="single" w:sz="8" w:space="0" w:color="auto"/>
              <w:right w:val="single" w:sz="8" w:space="0" w:color="auto"/>
            </w:tcBorders>
            <w:shd w:val="clear" w:color="000000" w:fill="E7E6E6"/>
            <w:vAlign w:val="center"/>
            <w:hideMark/>
          </w:tcPr>
          <w:p w14:paraId="00BE2ED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B17182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006CFF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0065DBE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EB173D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DCA884B"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9F5FFFE"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D6A76E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861897C"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0E45203"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522AE926"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33F2927"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91A940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BACFE9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6AF0BD1"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4465368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79E9BE9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1740C59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2AE9616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64AE96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12E8588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 </w:t>
            </w:r>
          </w:p>
        </w:tc>
        <w:tc>
          <w:tcPr>
            <w:tcW w:w="776" w:type="dxa"/>
            <w:tcBorders>
              <w:top w:val="nil"/>
              <w:left w:val="nil"/>
              <w:bottom w:val="single" w:sz="8" w:space="0" w:color="auto"/>
              <w:right w:val="single" w:sz="8" w:space="0" w:color="auto"/>
            </w:tcBorders>
            <w:shd w:val="clear" w:color="000000" w:fill="FFFFFF"/>
            <w:vAlign w:val="center"/>
            <w:hideMark/>
          </w:tcPr>
          <w:p w14:paraId="7699EE0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A4DE72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9A97DD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64D5D3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0FD3AE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D3A5D57"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DDB51D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1DF1A47"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6FFF955"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50D2AD0"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5304DF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92D00B5"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E810E46"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80D6A3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5AFE70B"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683F538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60746DA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D9EC8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7F8E12B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0870FDB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71C29D2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 </w:t>
            </w:r>
          </w:p>
        </w:tc>
        <w:tc>
          <w:tcPr>
            <w:tcW w:w="776" w:type="dxa"/>
            <w:tcBorders>
              <w:top w:val="nil"/>
              <w:left w:val="nil"/>
              <w:bottom w:val="single" w:sz="8" w:space="0" w:color="auto"/>
              <w:right w:val="single" w:sz="8" w:space="0" w:color="auto"/>
            </w:tcBorders>
            <w:shd w:val="clear" w:color="000000" w:fill="FFFFFF"/>
            <w:vAlign w:val="center"/>
            <w:hideMark/>
          </w:tcPr>
          <w:p w14:paraId="521430D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BA3A1F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F89817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93841B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E3EE09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A8AAE3D"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31BA8B3"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723A98D"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E2C6DD9"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97EFFB0"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823E55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421413A"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ACFF7A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75CBA9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B6F863A"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307D489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5155D94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657DB3F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226DDA8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956,58</w:t>
            </w:r>
          </w:p>
        </w:tc>
        <w:tc>
          <w:tcPr>
            <w:tcW w:w="776" w:type="dxa"/>
            <w:tcBorders>
              <w:top w:val="nil"/>
              <w:left w:val="nil"/>
              <w:bottom w:val="single" w:sz="8" w:space="0" w:color="auto"/>
              <w:right w:val="single" w:sz="8" w:space="0" w:color="auto"/>
            </w:tcBorders>
            <w:shd w:val="clear" w:color="000000" w:fill="E7E6E6"/>
            <w:vAlign w:val="center"/>
            <w:hideMark/>
          </w:tcPr>
          <w:p w14:paraId="6B65580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1 047,58</w:t>
            </w:r>
          </w:p>
        </w:tc>
        <w:tc>
          <w:tcPr>
            <w:tcW w:w="976" w:type="dxa"/>
            <w:tcBorders>
              <w:top w:val="nil"/>
              <w:left w:val="nil"/>
              <w:bottom w:val="single" w:sz="8" w:space="0" w:color="auto"/>
              <w:right w:val="single" w:sz="8" w:space="0" w:color="auto"/>
            </w:tcBorders>
            <w:shd w:val="clear" w:color="000000" w:fill="E7E6E6"/>
            <w:vAlign w:val="center"/>
            <w:hideMark/>
          </w:tcPr>
          <w:p w14:paraId="29EF602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1 330,88</w:t>
            </w:r>
          </w:p>
        </w:tc>
        <w:tc>
          <w:tcPr>
            <w:tcW w:w="776" w:type="dxa"/>
            <w:tcBorders>
              <w:top w:val="nil"/>
              <w:left w:val="nil"/>
              <w:bottom w:val="single" w:sz="8" w:space="0" w:color="auto"/>
              <w:right w:val="single" w:sz="8" w:space="0" w:color="auto"/>
            </w:tcBorders>
            <w:shd w:val="clear" w:color="000000" w:fill="E7E6E6"/>
            <w:vAlign w:val="center"/>
            <w:hideMark/>
          </w:tcPr>
          <w:p w14:paraId="5F48C75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0614CC5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6EF2C9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008EB60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DE94F0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178642A"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54B63F4"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84662FB"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F4FFAC5"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A542B43"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A0C7F0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C73347F"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AB1C214"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06F603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1BCB0E0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57E4DEA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023F9A6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D12DEB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37F7245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1F3B0DB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378A81C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7A13D4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FB9B1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1EAB93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4D06C1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ACE900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5E71FB6"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2A77041"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C8A550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1EC476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07C2929"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643F591"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830964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B01795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6298886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10B6693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0EEE52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27D9ED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E7063A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68ACEE7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4D45269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70E5729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2D6B37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549491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78583A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81822B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20F79A4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9D95765"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EB87B9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03.2</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66AD82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BF2364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618A51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 - MRR</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A82743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9B059E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D761EE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78B7267"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124 913 343</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BB0E35D"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591 811 090</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0C0F29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3CBF735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17B9D7F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9 712,54</w:t>
            </w:r>
          </w:p>
        </w:tc>
        <w:tc>
          <w:tcPr>
            <w:tcW w:w="1036" w:type="dxa"/>
            <w:tcBorders>
              <w:top w:val="nil"/>
              <w:left w:val="nil"/>
              <w:bottom w:val="single" w:sz="8" w:space="0" w:color="auto"/>
              <w:right w:val="single" w:sz="8" w:space="0" w:color="auto"/>
            </w:tcBorders>
            <w:shd w:val="clear" w:color="000000" w:fill="E7E6E6"/>
            <w:vAlign w:val="center"/>
            <w:hideMark/>
          </w:tcPr>
          <w:p w14:paraId="4F9EA0A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51 459 474,67</w:t>
            </w:r>
          </w:p>
        </w:tc>
        <w:tc>
          <w:tcPr>
            <w:tcW w:w="776" w:type="dxa"/>
            <w:tcBorders>
              <w:top w:val="nil"/>
              <w:left w:val="nil"/>
              <w:bottom w:val="single" w:sz="8" w:space="0" w:color="auto"/>
              <w:right w:val="single" w:sz="8" w:space="0" w:color="auto"/>
            </w:tcBorders>
            <w:shd w:val="clear" w:color="000000" w:fill="E7E6E6"/>
            <w:vAlign w:val="center"/>
            <w:hideMark/>
          </w:tcPr>
          <w:p w14:paraId="1387026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108 091 969,07</w:t>
            </w:r>
          </w:p>
        </w:tc>
        <w:tc>
          <w:tcPr>
            <w:tcW w:w="976" w:type="dxa"/>
            <w:tcBorders>
              <w:top w:val="nil"/>
              <w:left w:val="nil"/>
              <w:bottom w:val="single" w:sz="8" w:space="0" w:color="auto"/>
              <w:right w:val="single" w:sz="8" w:space="0" w:color="auto"/>
            </w:tcBorders>
            <w:shd w:val="clear" w:color="000000" w:fill="E7E6E6"/>
            <w:vAlign w:val="center"/>
            <w:hideMark/>
          </w:tcPr>
          <w:p w14:paraId="3D744FC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86 575 776,24</w:t>
            </w:r>
          </w:p>
        </w:tc>
        <w:tc>
          <w:tcPr>
            <w:tcW w:w="776" w:type="dxa"/>
            <w:tcBorders>
              <w:top w:val="nil"/>
              <w:left w:val="nil"/>
              <w:bottom w:val="single" w:sz="8" w:space="0" w:color="auto"/>
              <w:right w:val="single" w:sz="8" w:space="0" w:color="auto"/>
            </w:tcBorders>
            <w:shd w:val="clear" w:color="000000" w:fill="E7E6E6"/>
            <w:vAlign w:val="center"/>
            <w:hideMark/>
          </w:tcPr>
          <w:p w14:paraId="3224A89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365281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ABEBAE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2215795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CDC489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5673E75"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1FA7A4F"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133008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CA79D4C"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54A422E"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CD9A2D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448306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075984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A60238D"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540BBCD"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7F7190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2C7F13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0B7DF0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797A5B9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6618F18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65F7502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BCB3FF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F619F0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F1DACA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30753A7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C51B3B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BE888CC"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4D3C7F9"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BAB8183"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D944133"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B962DB9"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B64F72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B69C6F7"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402D60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BDADFA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6C3F511"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069D8BB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50656C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F3B117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5818E20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4DA43FC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312F53D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FB1235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9A4D90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427C70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50B225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730884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7635936"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2D4C9C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84CF48A"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B4E1C8A"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EA99BC4"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BC9B2E6"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3E115C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D0CF5E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542F99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56CBDFD"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07C160F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20B287B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7C0DBEC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9 712,54</w:t>
            </w:r>
          </w:p>
        </w:tc>
        <w:tc>
          <w:tcPr>
            <w:tcW w:w="1036" w:type="dxa"/>
            <w:tcBorders>
              <w:top w:val="nil"/>
              <w:left w:val="nil"/>
              <w:bottom w:val="single" w:sz="8" w:space="0" w:color="auto"/>
              <w:right w:val="single" w:sz="8" w:space="0" w:color="auto"/>
            </w:tcBorders>
            <w:shd w:val="clear" w:color="000000" w:fill="E7E6E6"/>
            <w:vAlign w:val="center"/>
            <w:hideMark/>
          </w:tcPr>
          <w:p w14:paraId="365D2B8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51 469 187,21</w:t>
            </w:r>
          </w:p>
        </w:tc>
        <w:tc>
          <w:tcPr>
            <w:tcW w:w="776" w:type="dxa"/>
            <w:tcBorders>
              <w:top w:val="nil"/>
              <w:left w:val="nil"/>
              <w:bottom w:val="single" w:sz="8" w:space="0" w:color="auto"/>
              <w:right w:val="single" w:sz="8" w:space="0" w:color="auto"/>
            </w:tcBorders>
            <w:shd w:val="clear" w:color="000000" w:fill="E7E6E6"/>
            <w:vAlign w:val="center"/>
            <w:hideMark/>
          </w:tcPr>
          <w:p w14:paraId="2F5B429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159 561 156,28</w:t>
            </w:r>
          </w:p>
        </w:tc>
        <w:tc>
          <w:tcPr>
            <w:tcW w:w="976" w:type="dxa"/>
            <w:tcBorders>
              <w:top w:val="nil"/>
              <w:left w:val="nil"/>
              <w:bottom w:val="single" w:sz="8" w:space="0" w:color="auto"/>
              <w:right w:val="single" w:sz="8" w:space="0" w:color="auto"/>
            </w:tcBorders>
            <w:shd w:val="clear" w:color="000000" w:fill="E7E6E6"/>
            <w:vAlign w:val="center"/>
            <w:hideMark/>
          </w:tcPr>
          <w:p w14:paraId="5B167A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246 136 932,52</w:t>
            </w:r>
          </w:p>
        </w:tc>
        <w:tc>
          <w:tcPr>
            <w:tcW w:w="776" w:type="dxa"/>
            <w:tcBorders>
              <w:top w:val="nil"/>
              <w:left w:val="nil"/>
              <w:bottom w:val="single" w:sz="8" w:space="0" w:color="auto"/>
              <w:right w:val="single" w:sz="8" w:space="0" w:color="auto"/>
            </w:tcBorders>
            <w:shd w:val="clear" w:color="000000" w:fill="E7E6E6"/>
            <w:vAlign w:val="center"/>
            <w:hideMark/>
          </w:tcPr>
          <w:p w14:paraId="085F38A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80C9C6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6DA124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16FC4A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7CA4FC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4FD08DC"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962573E"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CB9AB3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9E9E73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D593162"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1C839BF"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95C1041"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BE86C7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6E96362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13A821A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341EDE7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F48CE2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7186E2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0F45ACE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7F07B7C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6621D8D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B883C5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47EE09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279FF2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D3E6B5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EA898D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E279CBD"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A49D110"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CE6374A"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6E401F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42CA377"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F880FA7"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1CD6A9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07ECC24"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2B6A5E2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2AAA557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39E37A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7CB12E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4A1426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97DF18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7FA81F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6FDA336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20F1D39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84F79C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C00E34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91ADB3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4658224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F4C540A"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0B4D92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03.2</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4FC570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FA2C26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20847E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 - VRR</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2BC218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65EBDA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B9F052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E94FC82"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16 449 370</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4A7FD89"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75 079 593</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1BB669C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4004DE8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15DA5F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759CE4F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1 036 861,250</w:t>
            </w:r>
          </w:p>
        </w:tc>
        <w:tc>
          <w:tcPr>
            <w:tcW w:w="776" w:type="dxa"/>
            <w:tcBorders>
              <w:top w:val="nil"/>
              <w:left w:val="nil"/>
              <w:bottom w:val="single" w:sz="8" w:space="0" w:color="auto"/>
              <w:right w:val="single" w:sz="8" w:space="0" w:color="auto"/>
            </w:tcBorders>
            <w:shd w:val="clear" w:color="000000" w:fill="E7E6E6"/>
            <w:vAlign w:val="center"/>
            <w:hideMark/>
          </w:tcPr>
          <w:p w14:paraId="1F09F59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11 933 334,27</w:t>
            </w:r>
          </w:p>
        </w:tc>
        <w:tc>
          <w:tcPr>
            <w:tcW w:w="976" w:type="dxa"/>
            <w:tcBorders>
              <w:top w:val="nil"/>
              <w:left w:val="nil"/>
              <w:bottom w:val="single" w:sz="8" w:space="0" w:color="auto"/>
              <w:right w:val="single" w:sz="8" w:space="0" w:color="auto"/>
            </w:tcBorders>
            <w:shd w:val="clear" w:color="000000" w:fill="E7E6E6"/>
            <w:vAlign w:val="center"/>
            <w:hideMark/>
          </w:tcPr>
          <w:p w14:paraId="5C1E509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5 249 255,87</w:t>
            </w:r>
          </w:p>
        </w:tc>
        <w:tc>
          <w:tcPr>
            <w:tcW w:w="776" w:type="dxa"/>
            <w:tcBorders>
              <w:top w:val="nil"/>
              <w:left w:val="nil"/>
              <w:bottom w:val="single" w:sz="8" w:space="0" w:color="auto"/>
              <w:right w:val="single" w:sz="8" w:space="0" w:color="auto"/>
            </w:tcBorders>
            <w:shd w:val="clear" w:color="000000" w:fill="E7E6E6"/>
            <w:vAlign w:val="center"/>
            <w:hideMark/>
          </w:tcPr>
          <w:p w14:paraId="1206319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2A9DA1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9210CA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23EE7FF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FB0DE4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436276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E40BBFA"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4785671"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798E0D3"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EF5EC32"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B73296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C095720"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D602B5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D6B4B5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837602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1F701C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2B0E72A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451BD7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2EDDA88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08968B3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1267D73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4B6F8D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A7651D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82E5BE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587981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DE34E0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6CDD14B"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C939794"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52AE2D5"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94CC59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145253E"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4B2B13D"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646326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E093B1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32CC3BD"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75DF019"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39D098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27DAA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A0A28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72C3C5A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5B8181B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125AF7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6E1E3B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2E8E42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B867B4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133051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D58129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39FC801"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0E30B2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12EC582"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A5BE1E0"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1F4FE97"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ED7CF7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83FF4D4"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8A063F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C28242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AFF6D5E"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7413856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2BF129C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5DDD09E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03D2468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1 036 861,25</w:t>
            </w:r>
          </w:p>
        </w:tc>
        <w:tc>
          <w:tcPr>
            <w:tcW w:w="776" w:type="dxa"/>
            <w:tcBorders>
              <w:top w:val="nil"/>
              <w:left w:val="nil"/>
              <w:bottom w:val="single" w:sz="8" w:space="0" w:color="auto"/>
              <w:right w:val="single" w:sz="8" w:space="0" w:color="auto"/>
            </w:tcBorders>
            <w:shd w:val="clear" w:color="000000" w:fill="E7E6E6"/>
            <w:vAlign w:val="center"/>
            <w:hideMark/>
          </w:tcPr>
          <w:p w14:paraId="34E9625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12 970 195,52</w:t>
            </w:r>
          </w:p>
        </w:tc>
        <w:tc>
          <w:tcPr>
            <w:tcW w:w="976" w:type="dxa"/>
            <w:tcBorders>
              <w:top w:val="nil"/>
              <w:left w:val="nil"/>
              <w:bottom w:val="single" w:sz="8" w:space="0" w:color="auto"/>
              <w:right w:val="single" w:sz="8" w:space="0" w:color="auto"/>
            </w:tcBorders>
            <w:shd w:val="clear" w:color="000000" w:fill="E7E6E6"/>
            <w:vAlign w:val="center"/>
            <w:hideMark/>
          </w:tcPr>
          <w:p w14:paraId="786DA81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18 219 451,39</w:t>
            </w:r>
          </w:p>
        </w:tc>
        <w:tc>
          <w:tcPr>
            <w:tcW w:w="776" w:type="dxa"/>
            <w:tcBorders>
              <w:top w:val="nil"/>
              <w:left w:val="nil"/>
              <w:bottom w:val="single" w:sz="8" w:space="0" w:color="auto"/>
              <w:right w:val="single" w:sz="8" w:space="0" w:color="auto"/>
            </w:tcBorders>
            <w:shd w:val="clear" w:color="000000" w:fill="E7E6E6"/>
            <w:vAlign w:val="center"/>
            <w:hideMark/>
          </w:tcPr>
          <w:p w14:paraId="21D7A04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82C96B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19FAD6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5CCDD2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F4C0D1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5F4B8E8"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3C8D096"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9F6FF01"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3A1B48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D96D5B1"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E90A185"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D914A5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9DD384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6C4EBB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1B94736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291AE8D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862639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19313C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26BCD6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3CB2F2A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3812F60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A749D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6D1750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C83411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32650E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9E4B4B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5BD413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8663E27"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56B158B"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82631E4"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C54BABE"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98CC65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8A2D89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A5C0DE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788DD96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74D9AAF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5D7FC2A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95C730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AB61AB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772B3D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50E687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36E146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B54B9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C4CC13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79DB83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8B20B3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116473D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F3B61F8"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87CD99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03.3</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8B354A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2C4A29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C9DDBE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F0A52C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A17AF0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9A2AC0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40AE9ED9"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441</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610D2E9"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2 204</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4E77F3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6AC88B2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2A8EF97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83</w:t>
            </w:r>
          </w:p>
        </w:tc>
        <w:tc>
          <w:tcPr>
            <w:tcW w:w="1036" w:type="dxa"/>
            <w:tcBorders>
              <w:top w:val="nil"/>
              <w:left w:val="nil"/>
              <w:bottom w:val="single" w:sz="8" w:space="0" w:color="auto"/>
              <w:right w:val="single" w:sz="8" w:space="0" w:color="auto"/>
            </w:tcBorders>
            <w:shd w:val="clear" w:color="000000" w:fill="E7E6E6"/>
            <w:vAlign w:val="center"/>
            <w:hideMark/>
          </w:tcPr>
          <w:p w14:paraId="4A05EB6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834</w:t>
            </w:r>
          </w:p>
        </w:tc>
        <w:tc>
          <w:tcPr>
            <w:tcW w:w="776" w:type="dxa"/>
            <w:tcBorders>
              <w:top w:val="nil"/>
              <w:left w:val="nil"/>
              <w:bottom w:val="single" w:sz="8" w:space="0" w:color="auto"/>
              <w:right w:val="single" w:sz="8" w:space="0" w:color="auto"/>
            </w:tcBorders>
            <w:shd w:val="clear" w:color="000000" w:fill="E7E6E6"/>
            <w:vAlign w:val="center"/>
            <w:hideMark/>
          </w:tcPr>
          <w:p w14:paraId="6023C03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733</w:t>
            </w:r>
          </w:p>
        </w:tc>
        <w:tc>
          <w:tcPr>
            <w:tcW w:w="976" w:type="dxa"/>
            <w:tcBorders>
              <w:top w:val="nil"/>
              <w:left w:val="nil"/>
              <w:bottom w:val="single" w:sz="8" w:space="0" w:color="auto"/>
              <w:right w:val="single" w:sz="8" w:space="0" w:color="auto"/>
            </w:tcBorders>
            <w:shd w:val="clear" w:color="000000" w:fill="E7E6E6"/>
            <w:vAlign w:val="center"/>
            <w:hideMark/>
          </w:tcPr>
          <w:p w14:paraId="56916E2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870</w:t>
            </w:r>
          </w:p>
        </w:tc>
        <w:tc>
          <w:tcPr>
            <w:tcW w:w="776" w:type="dxa"/>
            <w:tcBorders>
              <w:top w:val="nil"/>
              <w:left w:val="nil"/>
              <w:bottom w:val="single" w:sz="8" w:space="0" w:color="auto"/>
              <w:right w:val="single" w:sz="8" w:space="0" w:color="auto"/>
            </w:tcBorders>
            <w:shd w:val="clear" w:color="000000" w:fill="E7E6E6"/>
            <w:vAlign w:val="center"/>
            <w:hideMark/>
          </w:tcPr>
          <w:p w14:paraId="243C5B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A87D0E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0766C4C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0C98C8D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C5E785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7D17546"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42A420F"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435008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0632FE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830EB50"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7C0196D"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F9C61B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D5E3BF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32E73C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81D64DA"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3AB2CF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78DB6FD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155EB96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43</w:t>
            </w:r>
          </w:p>
        </w:tc>
        <w:tc>
          <w:tcPr>
            <w:tcW w:w="1036" w:type="dxa"/>
            <w:tcBorders>
              <w:top w:val="nil"/>
              <w:left w:val="nil"/>
              <w:bottom w:val="single" w:sz="8" w:space="0" w:color="auto"/>
              <w:right w:val="single" w:sz="8" w:space="0" w:color="auto"/>
            </w:tcBorders>
            <w:shd w:val="clear" w:color="000000" w:fill="FFFFFF"/>
            <w:vAlign w:val="center"/>
            <w:hideMark/>
          </w:tcPr>
          <w:p w14:paraId="6DFAF7F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307</w:t>
            </w:r>
          </w:p>
        </w:tc>
        <w:tc>
          <w:tcPr>
            <w:tcW w:w="776" w:type="dxa"/>
            <w:tcBorders>
              <w:top w:val="nil"/>
              <w:left w:val="nil"/>
              <w:bottom w:val="single" w:sz="8" w:space="0" w:color="auto"/>
              <w:right w:val="single" w:sz="8" w:space="0" w:color="auto"/>
            </w:tcBorders>
            <w:shd w:val="clear" w:color="auto" w:fill="auto"/>
            <w:vAlign w:val="center"/>
            <w:hideMark/>
          </w:tcPr>
          <w:p w14:paraId="5008636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175</w:t>
            </w:r>
          </w:p>
        </w:tc>
        <w:tc>
          <w:tcPr>
            <w:tcW w:w="976" w:type="dxa"/>
            <w:tcBorders>
              <w:top w:val="nil"/>
              <w:left w:val="nil"/>
              <w:bottom w:val="single" w:sz="8" w:space="0" w:color="auto"/>
              <w:right w:val="single" w:sz="8" w:space="0" w:color="auto"/>
            </w:tcBorders>
            <w:shd w:val="clear" w:color="000000" w:fill="FFFFFF"/>
            <w:vAlign w:val="center"/>
            <w:hideMark/>
          </w:tcPr>
          <w:p w14:paraId="6CDA2C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408</w:t>
            </w:r>
          </w:p>
        </w:tc>
        <w:tc>
          <w:tcPr>
            <w:tcW w:w="776" w:type="dxa"/>
            <w:tcBorders>
              <w:top w:val="nil"/>
              <w:left w:val="nil"/>
              <w:bottom w:val="single" w:sz="8" w:space="0" w:color="auto"/>
              <w:right w:val="single" w:sz="8" w:space="0" w:color="auto"/>
            </w:tcBorders>
            <w:shd w:val="clear" w:color="000000" w:fill="FFFFFF"/>
            <w:vAlign w:val="center"/>
            <w:hideMark/>
          </w:tcPr>
          <w:p w14:paraId="08F4974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A5C2F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2D8E57E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8CF6A6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83296D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B75F508"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98CB6A1"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646FAC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C109324"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2E9B1E7"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A5AE55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C1D7FE4"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2C031A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23CEB98"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626F498"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0F8244E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39A626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24BD04D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40</w:t>
            </w:r>
          </w:p>
        </w:tc>
        <w:tc>
          <w:tcPr>
            <w:tcW w:w="1036" w:type="dxa"/>
            <w:tcBorders>
              <w:top w:val="nil"/>
              <w:left w:val="nil"/>
              <w:bottom w:val="single" w:sz="8" w:space="0" w:color="auto"/>
              <w:right w:val="single" w:sz="8" w:space="0" w:color="auto"/>
            </w:tcBorders>
            <w:shd w:val="clear" w:color="000000" w:fill="FFFFFF"/>
            <w:vAlign w:val="center"/>
            <w:hideMark/>
          </w:tcPr>
          <w:p w14:paraId="0270AC7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527</w:t>
            </w:r>
          </w:p>
        </w:tc>
        <w:tc>
          <w:tcPr>
            <w:tcW w:w="776" w:type="dxa"/>
            <w:tcBorders>
              <w:top w:val="nil"/>
              <w:left w:val="nil"/>
              <w:bottom w:val="single" w:sz="8" w:space="0" w:color="auto"/>
              <w:right w:val="single" w:sz="8" w:space="0" w:color="auto"/>
            </w:tcBorders>
            <w:shd w:val="clear" w:color="auto" w:fill="auto"/>
            <w:vAlign w:val="center"/>
            <w:hideMark/>
          </w:tcPr>
          <w:p w14:paraId="37960A3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558</w:t>
            </w:r>
          </w:p>
        </w:tc>
        <w:tc>
          <w:tcPr>
            <w:tcW w:w="976" w:type="dxa"/>
            <w:tcBorders>
              <w:top w:val="nil"/>
              <w:left w:val="nil"/>
              <w:bottom w:val="single" w:sz="8" w:space="0" w:color="auto"/>
              <w:right w:val="single" w:sz="8" w:space="0" w:color="auto"/>
            </w:tcBorders>
            <w:shd w:val="clear" w:color="000000" w:fill="FFFFFF"/>
            <w:vAlign w:val="center"/>
            <w:hideMark/>
          </w:tcPr>
          <w:p w14:paraId="1212621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462</w:t>
            </w:r>
          </w:p>
        </w:tc>
        <w:tc>
          <w:tcPr>
            <w:tcW w:w="776" w:type="dxa"/>
            <w:tcBorders>
              <w:top w:val="nil"/>
              <w:left w:val="nil"/>
              <w:bottom w:val="single" w:sz="8" w:space="0" w:color="auto"/>
              <w:right w:val="single" w:sz="8" w:space="0" w:color="auto"/>
            </w:tcBorders>
            <w:shd w:val="clear" w:color="000000" w:fill="FFFFFF"/>
            <w:vAlign w:val="center"/>
            <w:hideMark/>
          </w:tcPr>
          <w:p w14:paraId="66498D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EC2971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7A2B0BB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06C8A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F026F5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49FF26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74615FC"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6C65BD5"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2BDDAC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8802EA2"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889EB5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E17725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48AD48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D0896E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D924E3F"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50D0AC6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70733D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0FFA97D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83</w:t>
            </w:r>
          </w:p>
        </w:tc>
        <w:tc>
          <w:tcPr>
            <w:tcW w:w="1036" w:type="dxa"/>
            <w:tcBorders>
              <w:top w:val="nil"/>
              <w:left w:val="nil"/>
              <w:bottom w:val="single" w:sz="8" w:space="0" w:color="auto"/>
              <w:right w:val="single" w:sz="8" w:space="0" w:color="auto"/>
            </w:tcBorders>
            <w:shd w:val="clear" w:color="000000" w:fill="E7E6E6"/>
            <w:vAlign w:val="center"/>
            <w:hideMark/>
          </w:tcPr>
          <w:p w14:paraId="1BA08E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917</w:t>
            </w:r>
          </w:p>
        </w:tc>
        <w:tc>
          <w:tcPr>
            <w:tcW w:w="776" w:type="dxa"/>
            <w:tcBorders>
              <w:top w:val="nil"/>
              <w:left w:val="nil"/>
              <w:bottom w:val="single" w:sz="8" w:space="0" w:color="auto"/>
              <w:right w:val="single" w:sz="8" w:space="0" w:color="auto"/>
            </w:tcBorders>
            <w:shd w:val="clear" w:color="000000" w:fill="E7E6E6"/>
            <w:vAlign w:val="center"/>
            <w:hideMark/>
          </w:tcPr>
          <w:p w14:paraId="799879F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1 650</w:t>
            </w:r>
          </w:p>
        </w:tc>
        <w:tc>
          <w:tcPr>
            <w:tcW w:w="976" w:type="dxa"/>
            <w:tcBorders>
              <w:top w:val="nil"/>
              <w:left w:val="nil"/>
              <w:bottom w:val="single" w:sz="8" w:space="0" w:color="auto"/>
              <w:right w:val="single" w:sz="8" w:space="0" w:color="auto"/>
            </w:tcBorders>
            <w:shd w:val="clear" w:color="000000" w:fill="E7E6E6"/>
            <w:vAlign w:val="center"/>
            <w:hideMark/>
          </w:tcPr>
          <w:p w14:paraId="698C887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2 520</w:t>
            </w:r>
          </w:p>
        </w:tc>
        <w:tc>
          <w:tcPr>
            <w:tcW w:w="776" w:type="dxa"/>
            <w:tcBorders>
              <w:top w:val="nil"/>
              <w:left w:val="nil"/>
              <w:bottom w:val="single" w:sz="8" w:space="0" w:color="auto"/>
              <w:right w:val="single" w:sz="8" w:space="0" w:color="auto"/>
            </w:tcBorders>
            <w:shd w:val="clear" w:color="000000" w:fill="E7E6E6"/>
            <w:vAlign w:val="center"/>
            <w:hideMark/>
          </w:tcPr>
          <w:p w14:paraId="4F5D42C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7D7D9E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ECF7EA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93AEA0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430866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0B30614"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72452D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78A8C6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937EDEE"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1AFA000"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999DFFD"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F32CB65"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AB1BD6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3FBBFED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2A2C89E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09B3FA5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589728F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A0AFA9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43</w:t>
            </w:r>
          </w:p>
        </w:tc>
        <w:tc>
          <w:tcPr>
            <w:tcW w:w="1036" w:type="dxa"/>
            <w:tcBorders>
              <w:top w:val="nil"/>
              <w:left w:val="nil"/>
              <w:bottom w:val="single" w:sz="8" w:space="0" w:color="auto"/>
              <w:right w:val="single" w:sz="8" w:space="0" w:color="auto"/>
            </w:tcBorders>
            <w:shd w:val="clear" w:color="000000" w:fill="FFFFFF"/>
            <w:vAlign w:val="center"/>
            <w:hideMark/>
          </w:tcPr>
          <w:p w14:paraId="523B9C6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343</w:t>
            </w:r>
          </w:p>
        </w:tc>
        <w:tc>
          <w:tcPr>
            <w:tcW w:w="776" w:type="dxa"/>
            <w:tcBorders>
              <w:top w:val="nil"/>
              <w:left w:val="nil"/>
              <w:bottom w:val="single" w:sz="8" w:space="0" w:color="auto"/>
              <w:right w:val="single" w:sz="8" w:space="0" w:color="auto"/>
            </w:tcBorders>
            <w:shd w:val="clear" w:color="auto" w:fill="auto"/>
            <w:vAlign w:val="center"/>
            <w:hideMark/>
          </w:tcPr>
          <w:p w14:paraId="53EB6AA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518</w:t>
            </w:r>
          </w:p>
        </w:tc>
        <w:tc>
          <w:tcPr>
            <w:tcW w:w="976" w:type="dxa"/>
            <w:tcBorders>
              <w:top w:val="nil"/>
              <w:left w:val="nil"/>
              <w:bottom w:val="single" w:sz="8" w:space="0" w:color="auto"/>
              <w:right w:val="single" w:sz="8" w:space="0" w:color="auto"/>
            </w:tcBorders>
            <w:shd w:val="clear" w:color="000000" w:fill="FFFFFF"/>
            <w:vAlign w:val="center"/>
            <w:hideMark/>
          </w:tcPr>
          <w:p w14:paraId="0966E5E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933</w:t>
            </w:r>
          </w:p>
        </w:tc>
        <w:tc>
          <w:tcPr>
            <w:tcW w:w="776" w:type="dxa"/>
            <w:tcBorders>
              <w:top w:val="nil"/>
              <w:left w:val="nil"/>
              <w:bottom w:val="single" w:sz="8" w:space="0" w:color="auto"/>
              <w:right w:val="single" w:sz="8" w:space="0" w:color="auto"/>
            </w:tcBorders>
            <w:shd w:val="clear" w:color="000000" w:fill="FFFFFF"/>
            <w:vAlign w:val="center"/>
            <w:hideMark/>
          </w:tcPr>
          <w:p w14:paraId="4B8E9DF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94EFE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690B6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8C6FA3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478FDF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240107A"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EFD0CF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CE69E6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657538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F2CE6F2"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8A49786"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D55BFB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DA835E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929C7B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72DEE88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C8A8BD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A2344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60E29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40</w:t>
            </w:r>
          </w:p>
        </w:tc>
        <w:tc>
          <w:tcPr>
            <w:tcW w:w="1036" w:type="dxa"/>
            <w:tcBorders>
              <w:top w:val="nil"/>
              <w:left w:val="nil"/>
              <w:bottom w:val="single" w:sz="8" w:space="0" w:color="auto"/>
              <w:right w:val="single" w:sz="8" w:space="0" w:color="auto"/>
            </w:tcBorders>
            <w:shd w:val="clear" w:color="000000" w:fill="FFFFFF"/>
            <w:vAlign w:val="center"/>
            <w:hideMark/>
          </w:tcPr>
          <w:p w14:paraId="7853D00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573</w:t>
            </w:r>
          </w:p>
        </w:tc>
        <w:tc>
          <w:tcPr>
            <w:tcW w:w="776" w:type="dxa"/>
            <w:tcBorders>
              <w:top w:val="nil"/>
              <w:left w:val="nil"/>
              <w:bottom w:val="single" w:sz="8" w:space="0" w:color="auto"/>
              <w:right w:val="single" w:sz="8" w:space="0" w:color="auto"/>
            </w:tcBorders>
            <w:shd w:val="clear" w:color="auto" w:fill="auto"/>
            <w:vAlign w:val="center"/>
            <w:hideMark/>
          </w:tcPr>
          <w:p w14:paraId="42619BC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1 131</w:t>
            </w:r>
          </w:p>
        </w:tc>
        <w:tc>
          <w:tcPr>
            <w:tcW w:w="976" w:type="dxa"/>
            <w:tcBorders>
              <w:top w:val="nil"/>
              <w:left w:val="nil"/>
              <w:bottom w:val="single" w:sz="8" w:space="0" w:color="auto"/>
              <w:right w:val="single" w:sz="8" w:space="0" w:color="auto"/>
            </w:tcBorders>
            <w:shd w:val="clear" w:color="000000" w:fill="FFFFFF"/>
            <w:vAlign w:val="center"/>
            <w:hideMark/>
          </w:tcPr>
          <w:p w14:paraId="35A2E4E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1 587</w:t>
            </w:r>
          </w:p>
        </w:tc>
        <w:tc>
          <w:tcPr>
            <w:tcW w:w="776" w:type="dxa"/>
            <w:tcBorders>
              <w:top w:val="nil"/>
              <w:left w:val="nil"/>
              <w:bottom w:val="single" w:sz="8" w:space="0" w:color="auto"/>
              <w:right w:val="single" w:sz="8" w:space="0" w:color="auto"/>
            </w:tcBorders>
            <w:shd w:val="clear" w:color="000000" w:fill="FFFFFF"/>
            <w:vAlign w:val="center"/>
            <w:hideMark/>
          </w:tcPr>
          <w:p w14:paraId="4534858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AF35F7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5A12BE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31DD2B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2A29D79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8C652C6" w14:textId="77777777" w:rsidTr="0025557F">
        <w:trPr>
          <w:gridAfter w:val="1"/>
          <w:wAfter w:w="7" w:type="dxa"/>
          <w:trHeight w:val="227"/>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EC4DC4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03.3</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143865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6852BF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DF5833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EB6D96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7BFF04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971D12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E717439"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59</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41848B3E"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296</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14DEAF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3E0E02D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3A908DA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w:t>
            </w:r>
          </w:p>
        </w:tc>
        <w:tc>
          <w:tcPr>
            <w:tcW w:w="1036" w:type="dxa"/>
            <w:tcBorders>
              <w:top w:val="nil"/>
              <w:left w:val="nil"/>
              <w:bottom w:val="single" w:sz="8" w:space="0" w:color="auto"/>
              <w:right w:val="single" w:sz="8" w:space="0" w:color="auto"/>
            </w:tcBorders>
            <w:shd w:val="clear" w:color="000000" w:fill="E7E6E6"/>
            <w:vAlign w:val="center"/>
            <w:hideMark/>
          </w:tcPr>
          <w:p w14:paraId="5696664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109</w:t>
            </w:r>
          </w:p>
        </w:tc>
        <w:tc>
          <w:tcPr>
            <w:tcW w:w="776" w:type="dxa"/>
            <w:tcBorders>
              <w:top w:val="nil"/>
              <w:left w:val="nil"/>
              <w:bottom w:val="single" w:sz="8" w:space="0" w:color="auto"/>
              <w:right w:val="single" w:sz="8" w:space="0" w:color="auto"/>
            </w:tcBorders>
            <w:shd w:val="clear" w:color="000000" w:fill="E7E6E6"/>
            <w:vAlign w:val="center"/>
            <w:hideMark/>
          </w:tcPr>
          <w:p w14:paraId="62DE973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101</w:t>
            </w:r>
          </w:p>
        </w:tc>
        <w:tc>
          <w:tcPr>
            <w:tcW w:w="976" w:type="dxa"/>
            <w:tcBorders>
              <w:top w:val="nil"/>
              <w:left w:val="nil"/>
              <w:bottom w:val="single" w:sz="8" w:space="0" w:color="auto"/>
              <w:right w:val="single" w:sz="8" w:space="0" w:color="auto"/>
            </w:tcBorders>
            <w:shd w:val="clear" w:color="000000" w:fill="E7E6E6"/>
            <w:vAlign w:val="center"/>
            <w:hideMark/>
          </w:tcPr>
          <w:p w14:paraId="105D237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116</w:t>
            </w:r>
          </w:p>
        </w:tc>
        <w:tc>
          <w:tcPr>
            <w:tcW w:w="776" w:type="dxa"/>
            <w:tcBorders>
              <w:top w:val="nil"/>
              <w:left w:val="nil"/>
              <w:bottom w:val="single" w:sz="8" w:space="0" w:color="auto"/>
              <w:right w:val="single" w:sz="8" w:space="0" w:color="auto"/>
            </w:tcBorders>
            <w:shd w:val="clear" w:color="000000" w:fill="E7E6E6"/>
            <w:vAlign w:val="center"/>
            <w:hideMark/>
          </w:tcPr>
          <w:p w14:paraId="6026E61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F57153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AD4E22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3F4B47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DBCA30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57A54F9"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4B6267F8"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93B8078"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ABC3A3D"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212E3F1"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9BF6DB7"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FE0E529"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1C4546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3E5B1B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DE0180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39063D6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F6F4E9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2C28034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w:t>
            </w:r>
          </w:p>
        </w:tc>
        <w:tc>
          <w:tcPr>
            <w:tcW w:w="1036" w:type="dxa"/>
            <w:tcBorders>
              <w:top w:val="nil"/>
              <w:left w:val="nil"/>
              <w:bottom w:val="single" w:sz="8" w:space="0" w:color="auto"/>
              <w:right w:val="single" w:sz="8" w:space="0" w:color="auto"/>
            </w:tcBorders>
            <w:shd w:val="clear" w:color="000000" w:fill="FFFFFF"/>
            <w:vAlign w:val="center"/>
            <w:hideMark/>
          </w:tcPr>
          <w:p w14:paraId="16137D2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40</w:t>
            </w:r>
          </w:p>
        </w:tc>
        <w:tc>
          <w:tcPr>
            <w:tcW w:w="776" w:type="dxa"/>
            <w:tcBorders>
              <w:top w:val="nil"/>
              <w:left w:val="nil"/>
              <w:bottom w:val="single" w:sz="8" w:space="0" w:color="auto"/>
              <w:right w:val="single" w:sz="8" w:space="0" w:color="auto"/>
            </w:tcBorders>
            <w:shd w:val="clear" w:color="auto" w:fill="auto"/>
            <w:vAlign w:val="center"/>
            <w:hideMark/>
          </w:tcPr>
          <w:p w14:paraId="04B46B3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24</w:t>
            </w:r>
          </w:p>
        </w:tc>
        <w:tc>
          <w:tcPr>
            <w:tcW w:w="976" w:type="dxa"/>
            <w:tcBorders>
              <w:top w:val="nil"/>
              <w:left w:val="nil"/>
              <w:bottom w:val="single" w:sz="8" w:space="0" w:color="auto"/>
              <w:right w:val="single" w:sz="8" w:space="0" w:color="auto"/>
            </w:tcBorders>
            <w:shd w:val="clear" w:color="000000" w:fill="FFFFFF"/>
            <w:vAlign w:val="center"/>
            <w:hideMark/>
          </w:tcPr>
          <w:p w14:paraId="18825CC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55</w:t>
            </w:r>
          </w:p>
        </w:tc>
        <w:tc>
          <w:tcPr>
            <w:tcW w:w="776" w:type="dxa"/>
            <w:tcBorders>
              <w:top w:val="nil"/>
              <w:left w:val="nil"/>
              <w:bottom w:val="single" w:sz="8" w:space="0" w:color="auto"/>
              <w:right w:val="single" w:sz="8" w:space="0" w:color="auto"/>
            </w:tcBorders>
            <w:shd w:val="clear" w:color="000000" w:fill="FFFFFF"/>
            <w:vAlign w:val="center"/>
            <w:hideMark/>
          </w:tcPr>
          <w:p w14:paraId="5C2ED7F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C1F56F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295781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D164B5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B55611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33988A2"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111A8F21"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2F1A115"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ABD700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07FAEBB"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D5F353F"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88A684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0CF8D6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570EDA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8591653"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3CBA4A0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51B6497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592CC4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w:t>
            </w:r>
          </w:p>
        </w:tc>
        <w:tc>
          <w:tcPr>
            <w:tcW w:w="1036" w:type="dxa"/>
            <w:tcBorders>
              <w:top w:val="nil"/>
              <w:left w:val="nil"/>
              <w:bottom w:val="single" w:sz="8" w:space="0" w:color="auto"/>
              <w:right w:val="single" w:sz="8" w:space="0" w:color="auto"/>
            </w:tcBorders>
            <w:shd w:val="clear" w:color="000000" w:fill="FFFFFF"/>
            <w:vAlign w:val="center"/>
            <w:hideMark/>
          </w:tcPr>
          <w:p w14:paraId="2575890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69</w:t>
            </w:r>
          </w:p>
        </w:tc>
        <w:tc>
          <w:tcPr>
            <w:tcW w:w="776" w:type="dxa"/>
            <w:tcBorders>
              <w:top w:val="nil"/>
              <w:left w:val="nil"/>
              <w:bottom w:val="single" w:sz="8" w:space="0" w:color="auto"/>
              <w:right w:val="single" w:sz="8" w:space="0" w:color="auto"/>
            </w:tcBorders>
            <w:shd w:val="clear" w:color="auto" w:fill="auto"/>
            <w:vAlign w:val="center"/>
            <w:hideMark/>
          </w:tcPr>
          <w:p w14:paraId="2916FE0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77</w:t>
            </w:r>
          </w:p>
        </w:tc>
        <w:tc>
          <w:tcPr>
            <w:tcW w:w="976" w:type="dxa"/>
            <w:tcBorders>
              <w:top w:val="nil"/>
              <w:left w:val="nil"/>
              <w:bottom w:val="single" w:sz="8" w:space="0" w:color="auto"/>
              <w:right w:val="single" w:sz="8" w:space="0" w:color="auto"/>
            </w:tcBorders>
            <w:shd w:val="clear" w:color="000000" w:fill="FFFFFF"/>
            <w:vAlign w:val="center"/>
            <w:hideMark/>
          </w:tcPr>
          <w:p w14:paraId="721C31A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61</w:t>
            </w:r>
          </w:p>
        </w:tc>
        <w:tc>
          <w:tcPr>
            <w:tcW w:w="776" w:type="dxa"/>
            <w:tcBorders>
              <w:top w:val="nil"/>
              <w:left w:val="nil"/>
              <w:bottom w:val="single" w:sz="8" w:space="0" w:color="auto"/>
              <w:right w:val="single" w:sz="8" w:space="0" w:color="auto"/>
            </w:tcBorders>
            <w:shd w:val="clear" w:color="000000" w:fill="FFFFFF"/>
            <w:vAlign w:val="center"/>
            <w:hideMark/>
          </w:tcPr>
          <w:p w14:paraId="3EA8B43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916B42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auto" w:fill="auto"/>
            <w:vAlign w:val="center"/>
            <w:hideMark/>
          </w:tcPr>
          <w:p w14:paraId="270A97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C6ADC8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A9B4F3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E5C445B"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513B5810"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CAE33E8"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20A30CE"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BFF53D6"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5D3FFC1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AB7569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6820DA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65303C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9C3EA83"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4C0896E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00920A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7DAFE11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11</w:t>
            </w:r>
          </w:p>
        </w:tc>
        <w:tc>
          <w:tcPr>
            <w:tcW w:w="1036" w:type="dxa"/>
            <w:tcBorders>
              <w:top w:val="nil"/>
              <w:left w:val="nil"/>
              <w:bottom w:val="single" w:sz="8" w:space="0" w:color="auto"/>
              <w:right w:val="single" w:sz="8" w:space="0" w:color="auto"/>
            </w:tcBorders>
            <w:shd w:val="clear" w:color="000000" w:fill="E7E6E6"/>
            <w:vAlign w:val="center"/>
            <w:hideMark/>
          </w:tcPr>
          <w:p w14:paraId="5F5A23B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120</w:t>
            </w:r>
          </w:p>
        </w:tc>
        <w:tc>
          <w:tcPr>
            <w:tcW w:w="776" w:type="dxa"/>
            <w:tcBorders>
              <w:top w:val="nil"/>
              <w:left w:val="nil"/>
              <w:bottom w:val="single" w:sz="8" w:space="0" w:color="auto"/>
              <w:right w:val="single" w:sz="8" w:space="0" w:color="auto"/>
            </w:tcBorders>
            <w:shd w:val="clear" w:color="000000" w:fill="E7E6E6"/>
            <w:vAlign w:val="center"/>
            <w:hideMark/>
          </w:tcPr>
          <w:p w14:paraId="20180C8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221</w:t>
            </w:r>
          </w:p>
        </w:tc>
        <w:tc>
          <w:tcPr>
            <w:tcW w:w="976" w:type="dxa"/>
            <w:tcBorders>
              <w:top w:val="nil"/>
              <w:left w:val="nil"/>
              <w:bottom w:val="single" w:sz="8" w:space="0" w:color="auto"/>
              <w:right w:val="single" w:sz="8" w:space="0" w:color="auto"/>
            </w:tcBorders>
            <w:shd w:val="clear" w:color="000000" w:fill="E7E6E6"/>
            <w:vAlign w:val="center"/>
            <w:hideMark/>
          </w:tcPr>
          <w:p w14:paraId="55A4641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337</w:t>
            </w:r>
          </w:p>
        </w:tc>
        <w:tc>
          <w:tcPr>
            <w:tcW w:w="776" w:type="dxa"/>
            <w:tcBorders>
              <w:top w:val="nil"/>
              <w:left w:val="nil"/>
              <w:bottom w:val="single" w:sz="8" w:space="0" w:color="auto"/>
              <w:right w:val="single" w:sz="8" w:space="0" w:color="auto"/>
            </w:tcBorders>
            <w:shd w:val="clear" w:color="000000" w:fill="E7E6E6"/>
            <w:vAlign w:val="center"/>
            <w:hideMark/>
          </w:tcPr>
          <w:p w14:paraId="1EA18F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711528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E9738B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7A66B49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12BF4D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2C63ACF"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54B71AA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F85FFA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2ACE5E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DFDD3DF"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DB5E7E1"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68D82B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DDCC0E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08E16C1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4AFB44E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248E45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11B8FE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96D19A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w:t>
            </w:r>
          </w:p>
        </w:tc>
        <w:tc>
          <w:tcPr>
            <w:tcW w:w="1036" w:type="dxa"/>
            <w:tcBorders>
              <w:top w:val="nil"/>
              <w:left w:val="nil"/>
              <w:bottom w:val="single" w:sz="8" w:space="0" w:color="auto"/>
              <w:right w:val="single" w:sz="8" w:space="0" w:color="auto"/>
            </w:tcBorders>
            <w:shd w:val="clear" w:color="000000" w:fill="FFFFFF"/>
            <w:vAlign w:val="center"/>
            <w:hideMark/>
          </w:tcPr>
          <w:p w14:paraId="097D784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46</w:t>
            </w:r>
          </w:p>
        </w:tc>
        <w:tc>
          <w:tcPr>
            <w:tcW w:w="776" w:type="dxa"/>
            <w:tcBorders>
              <w:top w:val="nil"/>
              <w:left w:val="nil"/>
              <w:bottom w:val="single" w:sz="8" w:space="0" w:color="auto"/>
              <w:right w:val="single" w:sz="8" w:space="0" w:color="auto"/>
            </w:tcBorders>
            <w:shd w:val="clear" w:color="auto" w:fill="auto"/>
            <w:vAlign w:val="center"/>
            <w:hideMark/>
          </w:tcPr>
          <w:p w14:paraId="2D7D118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70</w:t>
            </w:r>
          </w:p>
        </w:tc>
        <w:tc>
          <w:tcPr>
            <w:tcW w:w="976" w:type="dxa"/>
            <w:tcBorders>
              <w:top w:val="nil"/>
              <w:left w:val="nil"/>
              <w:bottom w:val="single" w:sz="8" w:space="0" w:color="auto"/>
              <w:right w:val="single" w:sz="8" w:space="0" w:color="auto"/>
            </w:tcBorders>
            <w:shd w:val="clear" w:color="000000" w:fill="FFFFFF"/>
            <w:vAlign w:val="center"/>
            <w:hideMark/>
          </w:tcPr>
          <w:p w14:paraId="321556C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125</w:t>
            </w:r>
          </w:p>
        </w:tc>
        <w:tc>
          <w:tcPr>
            <w:tcW w:w="776" w:type="dxa"/>
            <w:tcBorders>
              <w:top w:val="nil"/>
              <w:left w:val="nil"/>
              <w:bottom w:val="single" w:sz="8" w:space="0" w:color="auto"/>
              <w:right w:val="single" w:sz="8" w:space="0" w:color="auto"/>
            </w:tcBorders>
            <w:shd w:val="clear" w:color="000000" w:fill="FFFFFF"/>
            <w:vAlign w:val="center"/>
            <w:hideMark/>
          </w:tcPr>
          <w:p w14:paraId="77AF928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595595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D9220D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A03EDE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3CB213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5998EB6"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49CAEC64"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8DBA65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D888A80"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A36543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149F523"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D4DFECF"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434FC6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7FC4D3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3D020F2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130B753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99CFEC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6E7B1F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w:t>
            </w:r>
          </w:p>
        </w:tc>
        <w:tc>
          <w:tcPr>
            <w:tcW w:w="1036" w:type="dxa"/>
            <w:tcBorders>
              <w:top w:val="nil"/>
              <w:left w:val="nil"/>
              <w:bottom w:val="single" w:sz="8" w:space="0" w:color="auto"/>
              <w:right w:val="single" w:sz="8" w:space="0" w:color="auto"/>
            </w:tcBorders>
            <w:shd w:val="clear" w:color="000000" w:fill="FFFFFF"/>
            <w:vAlign w:val="center"/>
            <w:hideMark/>
          </w:tcPr>
          <w:p w14:paraId="11A288F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74</w:t>
            </w:r>
          </w:p>
        </w:tc>
        <w:tc>
          <w:tcPr>
            <w:tcW w:w="776" w:type="dxa"/>
            <w:tcBorders>
              <w:top w:val="nil"/>
              <w:left w:val="nil"/>
              <w:bottom w:val="single" w:sz="8" w:space="0" w:color="auto"/>
              <w:right w:val="single" w:sz="8" w:space="0" w:color="auto"/>
            </w:tcBorders>
            <w:shd w:val="clear" w:color="auto" w:fill="auto"/>
            <w:vAlign w:val="center"/>
            <w:hideMark/>
          </w:tcPr>
          <w:p w14:paraId="236CAB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151</w:t>
            </w:r>
          </w:p>
        </w:tc>
        <w:tc>
          <w:tcPr>
            <w:tcW w:w="976" w:type="dxa"/>
            <w:tcBorders>
              <w:top w:val="nil"/>
              <w:left w:val="nil"/>
              <w:bottom w:val="single" w:sz="8" w:space="0" w:color="auto"/>
              <w:right w:val="single" w:sz="8" w:space="0" w:color="auto"/>
            </w:tcBorders>
            <w:shd w:val="clear" w:color="000000" w:fill="FFFFFF"/>
            <w:vAlign w:val="center"/>
            <w:hideMark/>
          </w:tcPr>
          <w:p w14:paraId="1B028D5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212</w:t>
            </w:r>
          </w:p>
        </w:tc>
        <w:tc>
          <w:tcPr>
            <w:tcW w:w="776" w:type="dxa"/>
            <w:tcBorders>
              <w:top w:val="nil"/>
              <w:left w:val="nil"/>
              <w:bottom w:val="single" w:sz="8" w:space="0" w:color="auto"/>
              <w:right w:val="single" w:sz="8" w:space="0" w:color="auto"/>
            </w:tcBorders>
            <w:shd w:val="clear" w:color="000000" w:fill="FFFFFF"/>
            <w:vAlign w:val="center"/>
            <w:hideMark/>
          </w:tcPr>
          <w:p w14:paraId="4BF55B1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EB426F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047D8F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F5BC35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5E61B64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CCA7A56"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F04D7A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03.3</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7D2CF7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D6E6E0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0802CA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 - MRR</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03D02C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F9FF0B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5E2A2A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287ACE6"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4 111 963</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A00DC87"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37 007 665</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6E1913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5306CFF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4764D96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0,00</w:t>
            </w:r>
          </w:p>
        </w:tc>
        <w:tc>
          <w:tcPr>
            <w:tcW w:w="1036" w:type="dxa"/>
            <w:tcBorders>
              <w:top w:val="nil"/>
              <w:left w:val="nil"/>
              <w:bottom w:val="single" w:sz="8" w:space="0" w:color="auto"/>
              <w:right w:val="single" w:sz="8" w:space="0" w:color="auto"/>
            </w:tcBorders>
            <w:shd w:val="clear" w:color="000000" w:fill="E7E6E6"/>
            <w:vAlign w:val="center"/>
            <w:hideMark/>
          </w:tcPr>
          <w:p w14:paraId="02F5E1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3 566 113,83</w:t>
            </w:r>
          </w:p>
        </w:tc>
        <w:tc>
          <w:tcPr>
            <w:tcW w:w="776" w:type="dxa"/>
            <w:tcBorders>
              <w:top w:val="nil"/>
              <w:left w:val="nil"/>
              <w:bottom w:val="single" w:sz="8" w:space="0" w:color="auto"/>
              <w:right w:val="single" w:sz="8" w:space="0" w:color="auto"/>
            </w:tcBorders>
            <w:shd w:val="clear" w:color="000000" w:fill="E7E6E6"/>
            <w:vAlign w:val="center"/>
            <w:hideMark/>
          </w:tcPr>
          <w:p w14:paraId="2DE7E9F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7 318 958,07</w:t>
            </w:r>
          </w:p>
        </w:tc>
        <w:tc>
          <w:tcPr>
            <w:tcW w:w="976" w:type="dxa"/>
            <w:tcBorders>
              <w:top w:val="nil"/>
              <w:left w:val="nil"/>
              <w:bottom w:val="single" w:sz="8" w:space="0" w:color="auto"/>
              <w:right w:val="single" w:sz="8" w:space="0" w:color="auto"/>
            </w:tcBorders>
            <w:shd w:val="clear" w:color="000000" w:fill="E7E6E6"/>
            <w:vAlign w:val="center"/>
            <w:hideMark/>
          </w:tcPr>
          <w:p w14:paraId="350809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7 229 975,84</w:t>
            </w:r>
          </w:p>
        </w:tc>
        <w:tc>
          <w:tcPr>
            <w:tcW w:w="776" w:type="dxa"/>
            <w:tcBorders>
              <w:top w:val="nil"/>
              <w:left w:val="nil"/>
              <w:bottom w:val="single" w:sz="8" w:space="0" w:color="auto"/>
              <w:right w:val="single" w:sz="8" w:space="0" w:color="auto"/>
            </w:tcBorders>
            <w:shd w:val="clear" w:color="000000" w:fill="E7E6E6"/>
            <w:vAlign w:val="center"/>
            <w:hideMark/>
          </w:tcPr>
          <w:p w14:paraId="10567B5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0C5A15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8CAD14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7CA9E3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324FB5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6559A55"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EC437B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8996448"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FA8F5F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FF126CD"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16A5C1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85CB5F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7BE11C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1BE11D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3BE0358"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5B933C4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A7D7E7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B6A487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769F86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776A9FA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507B40D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372CE5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663E5B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16F35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272C14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76D474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062391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D0E99A6"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4296F4A"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49F38A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B4C7505"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F321650"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F8EB834"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13D852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028D51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984DE7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6956E57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5ADD5D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8F185E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24AABED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45691D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6C92CDA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6E75C9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4D9366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C07C8F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1B52EC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ED1597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BECBF1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3361CA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DF5E399"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D292F83"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01080A4"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5423FB6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3717B5D"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3964E7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84C0C9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88C820F"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1166349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18FB84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0419FCC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740438E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3 566 113,83</w:t>
            </w:r>
          </w:p>
        </w:tc>
        <w:tc>
          <w:tcPr>
            <w:tcW w:w="776" w:type="dxa"/>
            <w:tcBorders>
              <w:top w:val="nil"/>
              <w:left w:val="nil"/>
              <w:bottom w:val="single" w:sz="8" w:space="0" w:color="auto"/>
              <w:right w:val="single" w:sz="8" w:space="0" w:color="auto"/>
            </w:tcBorders>
            <w:shd w:val="clear" w:color="000000" w:fill="E7E6E6"/>
            <w:vAlign w:val="center"/>
            <w:hideMark/>
          </w:tcPr>
          <w:p w14:paraId="610826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10 885 071,90</w:t>
            </w:r>
          </w:p>
        </w:tc>
        <w:tc>
          <w:tcPr>
            <w:tcW w:w="976" w:type="dxa"/>
            <w:tcBorders>
              <w:top w:val="nil"/>
              <w:left w:val="nil"/>
              <w:bottom w:val="single" w:sz="8" w:space="0" w:color="auto"/>
              <w:right w:val="single" w:sz="8" w:space="0" w:color="auto"/>
            </w:tcBorders>
            <w:shd w:val="clear" w:color="000000" w:fill="E7E6E6"/>
            <w:vAlign w:val="center"/>
            <w:hideMark/>
          </w:tcPr>
          <w:p w14:paraId="10C640F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18 115 047,74</w:t>
            </w:r>
          </w:p>
        </w:tc>
        <w:tc>
          <w:tcPr>
            <w:tcW w:w="776" w:type="dxa"/>
            <w:tcBorders>
              <w:top w:val="nil"/>
              <w:left w:val="nil"/>
              <w:bottom w:val="single" w:sz="8" w:space="0" w:color="auto"/>
              <w:right w:val="single" w:sz="8" w:space="0" w:color="auto"/>
            </w:tcBorders>
            <w:shd w:val="clear" w:color="000000" w:fill="E7E6E6"/>
            <w:vAlign w:val="center"/>
            <w:hideMark/>
          </w:tcPr>
          <w:p w14:paraId="20B66B0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1344F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EE9DD0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0CD24C4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AC4689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4B5D007"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46CDB8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F2DDC7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D70DEE9"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E24645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52A3353"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EFFC932"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5D67F66"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60E225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ECC2B7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59ACA1B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EC3C9E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824C0F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50C743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09D4293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2B3D1F4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2E4F46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47FF91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C82D41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210860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EF2691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7F6CDC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DFA6A06"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AC2149C"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29D99DC"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3246A0F"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70592D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BDE662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E025E54"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4BE9AD2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EA3CB6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CBF881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AD4810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5666C2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75506E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29BAB60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7AE63A5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D58982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AD2293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B85335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00EBE1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00A0129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2790228"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242173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03.3</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C81E4A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E2E7F9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8E0928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 - VRR</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A61148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95CC18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6792D0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1C0A52D"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551 184</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68DAE6E"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4 960 656</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046967D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5AC147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43D61E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0855BD4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478 016,19</w:t>
            </w:r>
          </w:p>
        </w:tc>
        <w:tc>
          <w:tcPr>
            <w:tcW w:w="776" w:type="dxa"/>
            <w:tcBorders>
              <w:top w:val="nil"/>
              <w:left w:val="nil"/>
              <w:bottom w:val="single" w:sz="8" w:space="0" w:color="auto"/>
              <w:right w:val="single" w:sz="8" w:space="0" w:color="auto"/>
            </w:tcBorders>
            <w:shd w:val="clear" w:color="000000" w:fill="E7E6E6"/>
            <w:vAlign w:val="center"/>
            <w:hideMark/>
          </w:tcPr>
          <w:p w14:paraId="5C4B1A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981 062,46</w:t>
            </w:r>
          </w:p>
        </w:tc>
        <w:tc>
          <w:tcPr>
            <w:tcW w:w="976" w:type="dxa"/>
            <w:tcBorders>
              <w:top w:val="nil"/>
              <w:left w:val="nil"/>
              <w:bottom w:val="single" w:sz="8" w:space="0" w:color="auto"/>
              <w:right w:val="single" w:sz="8" w:space="0" w:color="auto"/>
            </w:tcBorders>
            <w:shd w:val="clear" w:color="000000" w:fill="E7E6E6"/>
            <w:vAlign w:val="center"/>
            <w:hideMark/>
          </w:tcPr>
          <w:p w14:paraId="48557A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969 135,05</w:t>
            </w:r>
          </w:p>
        </w:tc>
        <w:tc>
          <w:tcPr>
            <w:tcW w:w="776" w:type="dxa"/>
            <w:tcBorders>
              <w:top w:val="nil"/>
              <w:left w:val="nil"/>
              <w:bottom w:val="single" w:sz="8" w:space="0" w:color="auto"/>
              <w:right w:val="single" w:sz="8" w:space="0" w:color="auto"/>
            </w:tcBorders>
            <w:shd w:val="clear" w:color="000000" w:fill="E7E6E6"/>
            <w:vAlign w:val="center"/>
            <w:hideMark/>
          </w:tcPr>
          <w:p w14:paraId="1250F52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6D8AD2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0176C96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4518EB9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81255F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AFFFA9D"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7548410"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05B10E3"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0A39B5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F8B78B9"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4A357C8"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296B4FD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4E22606"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2D97BE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C7286C9"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40A9A64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75C18A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329AC7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60CADC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617151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534AE76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B9D127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3DB5A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11B26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99D0A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8A0C70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C53DCC4"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93E0CCF"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C7E4EB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49FBE4A"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F5412F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7689820"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2A0C9E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D6EB1A8"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AA254D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09DC201"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0F286A8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C8C299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824708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8FEC43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20BB2B0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476EA7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B24570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C2C12B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1D7E37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23DD09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87785C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5F4E6CC"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8490AE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533B5CD"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BD265A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193360D"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78D5DE5"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5581DD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07DA07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E82BE0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8C07ACA"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1B33815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21F56D9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5F79761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51B5554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478 016,19</w:t>
            </w:r>
          </w:p>
        </w:tc>
        <w:tc>
          <w:tcPr>
            <w:tcW w:w="776" w:type="dxa"/>
            <w:tcBorders>
              <w:top w:val="nil"/>
              <w:left w:val="nil"/>
              <w:bottom w:val="single" w:sz="8" w:space="0" w:color="auto"/>
              <w:right w:val="single" w:sz="8" w:space="0" w:color="auto"/>
            </w:tcBorders>
            <w:shd w:val="clear" w:color="000000" w:fill="E7E6E6"/>
            <w:vAlign w:val="center"/>
            <w:hideMark/>
          </w:tcPr>
          <w:p w14:paraId="34968D9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1 459 078,65</w:t>
            </w:r>
          </w:p>
        </w:tc>
        <w:tc>
          <w:tcPr>
            <w:tcW w:w="976" w:type="dxa"/>
            <w:tcBorders>
              <w:top w:val="nil"/>
              <w:left w:val="nil"/>
              <w:bottom w:val="single" w:sz="8" w:space="0" w:color="auto"/>
              <w:right w:val="single" w:sz="8" w:space="0" w:color="auto"/>
            </w:tcBorders>
            <w:shd w:val="clear" w:color="000000" w:fill="E7E6E6"/>
            <w:vAlign w:val="center"/>
            <w:hideMark/>
          </w:tcPr>
          <w:p w14:paraId="0EC1D3A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2 428 213,70</w:t>
            </w:r>
          </w:p>
        </w:tc>
        <w:tc>
          <w:tcPr>
            <w:tcW w:w="776" w:type="dxa"/>
            <w:tcBorders>
              <w:top w:val="nil"/>
              <w:left w:val="nil"/>
              <w:bottom w:val="single" w:sz="8" w:space="0" w:color="auto"/>
              <w:right w:val="single" w:sz="8" w:space="0" w:color="auto"/>
            </w:tcBorders>
            <w:shd w:val="clear" w:color="000000" w:fill="E7E6E6"/>
            <w:vAlign w:val="center"/>
            <w:hideMark/>
          </w:tcPr>
          <w:p w14:paraId="3CE1C80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CC3488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AC30FC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18422FB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E2D968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F815E7F"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F4728EE"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7FA0002"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CDF4CDA"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D94386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A44FF98"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40E2FD4"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F4DA80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0134612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180B12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5118C25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DE3759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A2400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2294B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7548CB7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04B2871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FF58F1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A7F4A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0547F9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4AEB6D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DA935C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4E42017"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1131F5B"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5A6AB37"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6034FEC"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81DDCC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CABF2DF"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B91256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A55032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7A6729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62BBFC4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0CB445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71093E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0AA9FBD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62FCF7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63369F9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4195F0E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04871F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649D21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90DE51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51AA5A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4A51F30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63F363D" w14:textId="77777777" w:rsidTr="0025557F">
        <w:trPr>
          <w:gridAfter w:val="1"/>
          <w:wAfter w:w="7" w:type="dxa"/>
          <w:trHeight w:val="227"/>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EAFEB1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03.4</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DD9EDC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C83B5D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3E4156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0160D0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8FE7BA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5DA21F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C55BCFA"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1 997</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03F77CB"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19 977</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2DE390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0E32D0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4E702F2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40CD4A2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262</w:t>
            </w:r>
          </w:p>
        </w:tc>
        <w:tc>
          <w:tcPr>
            <w:tcW w:w="776" w:type="dxa"/>
            <w:tcBorders>
              <w:top w:val="nil"/>
              <w:left w:val="nil"/>
              <w:bottom w:val="single" w:sz="8" w:space="0" w:color="auto"/>
              <w:right w:val="single" w:sz="8" w:space="0" w:color="auto"/>
            </w:tcBorders>
            <w:shd w:val="clear" w:color="000000" w:fill="E7E6E6"/>
            <w:vAlign w:val="center"/>
            <w:hideMark/>
          </w:tcPr>
          <w:p w14:paraId="1EA1837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2 627</w:t>
            </w:r>
          </w:p>
        </w:tc>
        <w:tc>
          <w:tcPr>
            <w:tcW w:w="976" w:type="dxa"/>
            <w:tcBorders>
              <w:top w:val="nil"/>
              <w:left w:val="nil"/>
              <w:bottom w:val="single" w:sz="8" w:space="0" w:color="auto"/>
              <w:right w:val="single" w:sz="8" w:space="0" w:color="auto"/>
            </w:tcBorders>
            <w:shd w:val="clear" w:color="000000" w:fill="E7E6E6"/>
            <w:vAlign w:val="center"/>
            <w:hideMark/>
          </w:tcPr>
          <w:p w14:paraId="353E58C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5 615</w:t>
            </w:r>
          </w:p>
        </w:tc>
        <w:tc>
          <w:tcPr>
            <w:tcW w:w="776" w:type="dxa"/>
            <w:tcBorders>
              <w:top w:val="nil"/>
              <w:left w:val="nil"/>
              <w:bottom w:val="single" w:sz="8" w:space="0" w:color="auto"/>
              <w:right w:val="single" w:sz="8" w:space="0" w:color="auto"/>
            </w:tcBorders>
            <w:shd w:val="clear" w:color="000000" w:fill="E7E6E6"/>
            <w:vAlign w:val="center"/>
            <w:hideMark/>
          </w:tcPr>
          <w:p w14:paraId="33DFD81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D723E2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2C831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2517E82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1312AA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4EBD330"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7210CAFA"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947CCBD"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2862223"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ED86A64"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F76315B"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4503E49"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6572424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B654368"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6D7CDAA"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3FF9C7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C61A44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8E931A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2522D47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100</w:t>
            </w:r>
          </w:p>
        </w:tc>
        <w:tc>
          <w:tcPr>
            <w:tcW w:w="776" w:type="dxa"/>
            <w:tcBorders>
              <w:top w:val="nil"/>
              <w:left w:val="nil"/>
              <w:bottom w:val="single" w:sz="8" w:space="0" w:color="auto"/>
              <w:right w:val="single" w:sz="8" w:space="0" w:color="auto"/>
            </w:tcBorders>
            <w:shd w:val="clear" w:color="auto" w:fill="auto"/>
            <w:vAlign w:val="center"/>
            <w:hideMark/>
          </w:tcPr>
          <w:p w14:paraId="443DE2B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995</w:t>
            </w:r>
          </w:p>
        </w:tc>
        <w:tc>
          <w:tcPr>
            <w:tcW w:w="976" w:type="dxa"/>
            <w:tcBorders>
              <w:top w:val="nil"/>
              <w:left w:val="nil"/>
              <w:bottom w:val="single" w:sz="8" w:space="0" w:color="auto"/>
              <w:right w:val="single" w:sz="8" w:space="0" w:color="auto"/>
            </w:tcBorders>
            <w:shd w:val="clear" w:color="000000" w:fill="FFFFFF"/>
            <w:vAlign w:val="center"/>
            <w:hideMark/>
          </w:tcPr>
          <w:p w14:paraId="152FB8F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2 863</w:t>
            </w:r>
          </w:p>
        </w:tc>
        <w:tc>
          <w:tcPr>
            <w:tcW w:w="776" w:type="dxa"/>
            <w:tcBorders>
              <w:top w:val="nil"/>
              <w:left w:val="nil"/>
              <w:bottom w:val="single" w:sz="8" w:space="0" w:color="auto"/>
              <w:right w:val="single" w:sz="8" w:space="0" w:color="auto"/>
            </w:tcBorders>
            <w:shd w:val="clear" w:color="000000" w:fill="FFFFFF"/>
            <w:vAlign w:val="center"/>
            <w:hideMark/>
          </w:tcPr>
          <w:p w14:paraId="62D7827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0B50BE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C96CD1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00462D2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F3F92B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6D88286"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4611D1D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4AB4905"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A1D159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8D2145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E639A0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E182C58"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06A224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2B1F6C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055FDBB"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7DF3931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45E7B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7ABDA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56F621B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162</w:t>
            </w:r>
          </w:p>
        </w:tc>
        <w:tc>
          <w:tcPr>
            <w:tcW w:w="776" w:type="dxa"/>
            <w:tcBorders>
              <w:top w:val="nil"/>
              <w:left w:val="nil"/>
              <w:bottom w:val="single" w:sz="8" w:space="0" w:color="auto"/>
              <w:right w:val="single" w:sz="8" w:space="0" w:color="auto"/>
            </w:tcBorders>
            <w:shd w:val="clear" w:color="auto" w:fill="auto"/>
            <w:vAlign w:val="center"/>
            <w:hideMark/>
          </w:tcPr>
          <w:p w14:paraId="3B79817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1 632</w:t>
            </w:r>
          </w:p>
        </w:tc>
        <w:tc>
          <w:tcPr>
            <w:tcW w:w="976" w:type="dxa"/>
            <w:tcBorders>
              <w:top w:val="nil"/>
              <w:left w:val="nil"/>
              <w:bottom w:val="single" w:sz="8" w:space="0" w:color="auto"/>
              <w:right w:val="single" w:sz="8" w:space="0" w:color="auto"/>
            </w:tcBorders>
            <w:shd w:val="clear" w:color="000000" w:fill="FFFFFF"/>
            <w:vAlign w:val="center"/>
            <w:hideMark/>
          </w:tcPr>
          <w:p w14:paraId="3F688D5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2 752</w:t>
            </w:r>
          </w:p>
        </w:tc>
        <w:tc>
          <w:tcPr>
            <w:tcW w:w="776" w:type="dxa"/>
            <w:tcBorders>
              <w:top w:val="nil"/>
              <w:left w:val="nil"/>
              <w:bottom w:val="single" w:sz="8" w:space="0" w:color="auto"/>
              <w:right w:val="single" w:sz="8" w:space="0" w:color="auto"/>
            </w:tcBorders>
            <w:shd w:val="clear" w:color="000000" w:fill="FFFFFF"/>
            <w:vAlign w:val="center"/>
            <w:hideMark/>
          </w:tcPr>
          <w:p w14:paraId="29033E0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C6ED92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38D5B6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0F834B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D0C2AF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5C9F655"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3B1404DA"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A0B058D"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3E0AA5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CF3CDAE"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02672A3"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E08BCA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03AC3D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978C3A8"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8F7041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1764921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08463F6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09F9FB6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562D5FE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262</w:t>
            </w:r>
          </w:p>
        </w:tc>
        <w:tc>
          <w:tcPr>
            <w:tcW w:w="776" w:type="dxa"/>
            <w:tcBorders>
              <w:top w:val="nil"/>
              <w:left w:val="nil"/>
              <w:bottom w:val="single" w:sz="8" w:space="0" w:color="auto"/>
              <w:right w:val="single" w:sz="8" w:space="0" w:color="auto"/>
            </w:tcBorders>
            <w:shd w:val="clear" w:color="000000" w:fill="E7E6E6"/>
            <w:vAlign w:val="center"/>
            <w:hideMark/>
          </w:tcPr>
          <w:p w14:paraId="25C3F19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2 889</w:t>
            </w:r>
          </w:p>
        </w:tc>
        <w:tc>
          <w:tcPr>
            <w:tcW w:w="976" w:type="dxa"/>
            <w:tcBorders>
              <w:top w:val="nil"/>
              <w:left w:val="nil"/>
              <w:bottom w:val="single" w:sz="8" w:space="0" w:color="auto"/>
              <w:right w:val="single" w:sz="8" w:space="0" w:color="auto"/>
            </w:tcBorders>
            <w:shd w:val="clear" w:color="000000" w:fill="E7E6E6"/>
            <w:vAlign w:val="center"/>
            <w:hideMark/>
          </w:tcPr>
          <w:p w14:paraId="6917DF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8 504</w:t>
            </w:r>
          </w:p>
        </w:tc>
        <w:tc>
          <w:tcPr>
            <w:tcW w:w="776" w:type="dxa"/>
            <w:tcBorders>
              <w:top w:val="nil"/>
              <w:left w:val="nil"/>
              <w:bottom w:val="single" w:sz="8" w:space="0" w:color="auto"/>
              <w:right w:val="single" w:sz="8" w:space="0" w:color="auto"/>
            </w:tcBorders>
            <w:shd w:val="clear" w:color="000000" w:fill="E7E6E6"/>
            <w:vAlign w:val="center"/>
            <w:hideMark/>
          </w:tcPr>
          <w:p w14:paraId="53F2CE2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4DAF3C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EC7C63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510BA4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6BAC2A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7B7F0F71"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2FFBCBCF"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9C68F2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16DB10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82DB47B"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C71C97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449FBE5"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5516618"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2EC681C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106CBD8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36B0AE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31F79A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98A425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28202BE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100</w:t>
            </w:r>
          </w:p>
        </w:tc>
        <w:tc>
          <w:tcPr>
            <w:tcW w:w="776" w:type="dxa"/>
            <w:tcBorders>
              <w:top w:val="nil"/>
              <w:left w:val="nil"/>
              <w:bottom w:val="single" w:sz="8" w:space="0" w:color="auto"/>
              <w:right w:val="single" w:sz="8" w:space="0" w:color="auto"/>
            </w:tcBorders>
            <w:shd w:val="clear" w:color="auto" w:fill="auto"/>
            <w:vAlign w:val="center"/>
            <w:hideMark/>
          </w:tcPr>
          <w:p w14:paraId="7540C8A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1 095</w:t>
            </w:r>
          </w:p>
        </w:tc>
        <w:tc>
          <w:tcPr>
            <w:tcW w:w="976" w:type="dxa"/>
            <w:tcBorders>
              <w:top w:val="nil"/>
              <w:left w:val="nil"/>
              <w:bottom w:val="single" w:sz="8" w:space="0" w:color="auto"/>
              <w:right w:val="single" w:sz="8" w:space="0" w:color="auto"/>
            </w:tcBorders>
            <w:shd w:val="clear" w:color="000000" w:fill="FFFFFF"/>
            <w:vAlign w:val="center"/>
            <w:hideMark/>
          </w:tcPr>
          <w:p w14:paraId="515FA8E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3 958</w:t>
            </w:r>
          </w:p>
        </w:tc>
        <w:tc>
          <w:tcPr>
            <w:tcW w:w="776" w:type="dxa"/>
            <w:tcBorders>
              <w:top w:val="nil"/>
              <w:left w:val="nil"/>
              <w:bottom w:val="single" w:sz="8" w:space="0" w:color="auto"/>
              <w:right w:val="single" w:sz="8" w:space="0" w:color="auto"/>
            </w:tcBorders>
            <w:shd w:val="clear" w:color="000000" w:fill="FFFFFF"/>
            <w:vAlign w:val="center"/>
            <w:hideMark/>
          </w:tcPr>
          <w:p w14:paraId="5DDFA31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781CA1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933529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0F42A1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1FFC03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EEC9C36" w14:textId="77777777" w:rsidTr="0025557F">
        <w:trPr>
          <w:gridAfter w:val="1"/>
          <w:wAfter w:w="7" w:type="dxa"/>
          <w:trHeight w:val="227"/>
        </w:trPr>
        <w:tc>
          <w:tcPr>
            <w:tcW w:w="677" w:type="dxa"/>
            <w:vMerge/>
            <w:tcBorders>
              <w:top w:val="nil"/>
              <w:left w:val="single" w:sz="8" w:space="0" w:color="auto"/>
              <w:bottom w:val="single" w:sz="8" w:space="0" w:color="000000"/>
              <w:right w:val="single" w:sz="8" w:space="0" w:color="auto"/>
            </w:tcBorders>
            <w:vAlign w:val="center"/>
            <w:hideMark/>
          </w:tcPr>
          <w:p w14:paraId="54806B3E"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D9F19D7"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BAF31A9"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B10F11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3FDF13F"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201CDB5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E16C60A"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AB81A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23E3CBF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7514A54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414CF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D7140F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1CD671B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162</w:t>
            </w:r>
          </w:p>
        </w:tc>
        <w:tc>
          <w:tcPr>
            <w:tcW w:w="776" w:type="dxa"/>
            <w:tcBorders>
              <w:top w:val="nil"/>
              <w:left w:val="nil"/>
              <w:bottom w:val="single" w:sz="8" w:space="0" w:color="auto"/>
              <w:right w:val="single" w:sz="8" w:space="0" w:color="auto"/>
            </w:tcBorders>
            <w:shd w:val="clear" w:color="auto" w:fill="auto"/>
            <w:vAlign w:val="center"/>
            <w:hideMark/>
          </w:tcPr>
          <w:p w14:paraId="69D54A7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1 794</w:t>
            </w:r>
          </w:p>
        </w:tc>
        <w:tc>
          <w:tcPr>
            <w:tcW w:w="976" w:type="dxa"/>
            <w:tcBorders>
              <w:top w:val="nil"/>
              <w:left w:val="nil"/>
              <w:bottom w:val="single" w:sz="8" w:space="0" w:color="auto"/>
              <w:right w:val="single" w:sz="8" w:space="0" w:color="auto"/>
            </w:tcBorders>
            <w:shd w:val="clear" w:color="000000" w:fill="FFFFFF"/>
            <w:vAlign w:val="center"/>
            <w:hideMark/>
          </w:tcPr>
          <w:p w14:paraId="369711B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4 546</w:t>
            </w:r>
          </w:p>
        </w:tc>
        <w:tc>
          <w:tcPr>
            <w:tcW w:w="776" w:type="dxa"/>
            <w:tcBorders>
              <w:top w:val="nil"/>
              <w:left w:val="nil"/>
              <w:bottom w:val="single" w:sz="8" w:space="0" w:color="auto"/>
              <w:right w:val="single" w:sz="8" w:space="0" w:color="auto"/>
            </w:tcBorders>
            <w:shd w:val="clear" w:color="000000" w:fill="FFFFFF"/>
            <w:vAlign w:val="center"/>
            <w:hideMark/>
          </w:tcPr>
          <w:p w14:paraId="5C8FB32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FD8F44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1200D1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5A378F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3B64390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9BF6578"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6316ED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03.4</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176739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83E46B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60000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82CD8C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Celkový počet účastníků</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B84A6B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Osoby</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AFC168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3F8989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3030CE8"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190</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07130CA2"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2 006</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00D848F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0474FD3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1722B84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2A04D2A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w:t>
            </w:r>
          </w:p>
        </w:tc>
        <w:tc>
          <w:tcPr>
            <w:tcW w:w="776" w:type="dxa"/>
            <w:tcBorders>
              <w:top w:val="nil"/>
              <w:left w:val="nil"/>
              <w:bottom w:val="single" w:sz="8" w:space="0" w:color="auto"/>
              <w:right w:val="single" w:sz="8" w:space="0" w:color="auto"/>
            </w:tcBorders>
            <w:shd w:val="clear" w:color="000000" w:fill="E7E6E6"/>
            <w:vAlign w:val="center"/>
            <w:hideMark/>
          </w:tcPr>
          <w:p w14:paraId="1611E3C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296</w:t>
            </w:r>
          </w:p>
        </w:tc>
        <w:tc>
          <w:tcPr>
            <w:tcW w:w="976" w:type="dxa"/>
            <w:tcBorders>
              <w:top w:val="nil"/>
              <w:left w:val="nil"/>
              <w:bottom w:val="single" w:sz="8" w:space="0" w:color="auto"/>
              <w:right w:val="single" w:sz="8" w:space="0" w:color="auto"/>
            </w:tcBorders>
            <w:shd w:val="clear" w:color="000000" w:fill="E7E6E6"/>
            <w:vAlign w:val="center"/>
            <w:hideMark/>
          </w:tcPr>
          <w:p w14:paraId="475B510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630</w:t>
            </w:r>
          </w:p>
        </w:tc>
        <w:tc>
          <w:tcPr>
            <w:tcW w:w="776" w:type="dxa"/>
            <w:tcBorders>
              <w:top w:val="nil"/>
              <w:left w:val="nil"/>
              <w:bottom w:val="single" w:sz="8" w:space="0" w:color="auto"/>
              <w:right w:val="single" w:sz="8" w:space="0" w:color="auto"/>
            </w:tcBorders>
            <w:shd w:val="clear" w:color="000000" w:fill="E7E6E6"/>
            <w:vAlign w:val="center"/>
            <w:hideMark/>
          </w:tcPr>
          <w:p w14:paraId="15408BA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83A672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39402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0038B4C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A7C9DD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7F1E750"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EA48F2D"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A15BAEB"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EB08FBA"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686C1E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ACA04D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328E6AE"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3265FA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22F62B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EEB7619"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5A1E98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2DE29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7FF26AD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11F926B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w:t>
            </w:r>
          </w:p>
        </w:tc>
        <w:tc>
          <w:tcPr>
            <w:tcW w:w="776" w:type="dxa"/>
            <w:tcBorders>
              <w:top w:val="nil"/>
              <w:left w:val="nil"/>
              <w:bottom w:val="single" w:sz="8" w:space="0" w:color="auto"/>
              <w:right w:val="single" w:sz="8" w:space="0" w:color="auto"/>
            </w:tcBorders>
            <w:shd w:val="clear" w:color="auto" w:fill="auto"/>
            <w:vAlign w:val="center"/>
            <w:hideMark/>
          </w:tcPr>
          <w:p w14:paraId="1E4E79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95</w:t>
            </w:r>
          </w:p>
        </w:tc>
        <w:tc>
          <w:tcPr>
            <w:tcW w:w="976" w:type="dxa"/>
            <w:tcBorders>
              <w:top w:val="nil"/>
              <w:left w:val="nil"/>
              <w:bottom w:val="single" w:sz="8" w:space="0" w:color="auto"/>
              <w:right w:val="single" w:sz="8" w:space="0" w:color="auto"/>
            </w:tcBorders>
            <w:shd w:val="clear" w:color="000000" w:fill="FFFFFF"/>
            <w:vAlign w:val="center"/>
            <w:hideMark/>
          </w:tcPr>
          <w:p w14:paraId="438D2B2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210</w:t>
            </w:r>
          </w:p>
        </w:tc>
        <w:tc>
          <w:tcPr>
            <w:tcW w:w="776" w:type="dxa"/>
            <w:tcBorders>
              <w:top w:val="nil"/>
              <w:left w:val="nil"/>
              <w:bottom w:val="single" w:sz="8" w:space="0" w:color="auto"/>
              <w:right w:val="single" w:sz="8" w:space="0" w:color="auto"/>
            </w:tcBorders>
            <w:shd w:val="clear" w:color="000000" w:fill="FFFFFF"/>
            <w:vAlign w:val="center"/>
            <w:hideMark/>
          </w:tcPr>
          <w:p w14:paraId="19BDD19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21E2D7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AC36D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3658FC9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EDEE48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56AB382"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6439A7D"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A8A909D"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0DAC3C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394B275"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A8F093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C60A313"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25CD68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EA010CD"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DB17532"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6BE9C83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2B2EA0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24C8044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2859D2F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w:t>
            </w:r>
          </w:p>
        </w:tc>
        <w:tc>
          <w:tcPr>
            <w:tcW w:w="776" w:type="dxa"/>
            <w:tcBorders>
              <w:top w:val="nil"/>
              <w:left w:val="nil"/>
              <w:bottom w:val="single" w:sz="8" w:space="0" w:color="auto"/>
              <w:right w:val="single" w:sz="8" w:space="0" w:color="auto"/>
            </w:tcBorders>
            <w:shd w:val="clear" w:color="auto" w:fill="auto"/>
            <w:vAlign w:val="center"/>
            <w:hideMark/>
          </w:tcPr>
          <w:p w14:paraId="18FE57A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201</w:t>
            </w:r>
          </w:p>
        </w:tc>
        <w:tc>
          <w:tcPr>
            <w:tcW w:w="976" w:type="dxa"/>
            <w:tcBorders>
              <w:top w:val="nil"/>
              <w:left w:val="nil"/>
              <w:bottom w:val="single" w:sz="8" w:space="0" w:color="auto"/>
              <w:right w:val="single" w:sz="8" w:space="0" w:color="auto"/>
            </w:tcBorders>
            <w:shd w:val="clear" w:color="000000" w:fill="FFFFFF"/>
            <w:vAlign w:val="center"/>
            <w:hideMark/>
          </w:tcPr>
          <w:p w14:paraId="7075249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421</w:t>
            </w:r>
          </w:p>
        </w:tc>
        <w:tc>
          <w:tcPr>
            <w:tcW w:w="776" w:type="dxa"/>
            <w:tcBorders>
              <w:top w:val="nil"/>
              <w:left w:val="nil"/>
              <w:bottom w:val="single" w:sz="8" w:space="0" w:color="auto"/>
              <w:right w:val="single" w:sz="8" w:space="0" w:color="auto"/>
            </w:tcBorders>
            <w:shd w:val="clear" w:color="000000" w:fill="FFFFFF"/>
            <w:vAlign w:val="center"/>
            <w:hideMark/>
          </w:tcPr>
          <w:p w14:paraId="590991E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F2FAEE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35689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9EC619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C68394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EC1AD90"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975641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78D5C03"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550FA585"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44DD5A1"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909540F"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5EAA3B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598266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907409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6450F7B"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526FD7D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27B8648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67F5F1A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E7E6E6"/>
            <w:vAlign w:val="center"/>
            <w:hideMark/>
          </w:tcPr>
          <w:p w14:paraId="61436BC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w:t>
            </w:r>
          </w:p>
        </w:tc>
        <w:tc>
          <w:tcPr>
            <w:tcW w:w="776" w:type="dxa"/>
            <w:tcBorders>
              <w:top w:val="nil"/>
              <w:left w:val="nil"/>
              <w:bottom w:val="single" w:sz="8" w:space="0" w:color="auto"/>
              <w:right w:val="single" w:sz="8" w:space="0" w:color="auto"/>
            </w:tcBorders>
            <w:shd w:val="clear" w:color="000000" w:fill="E7E6E6"/>
            <w:vAlign w:val="center"/>
            <w:hideMark/>
          </w:tcPr>
          <w:p w14:paraId="7289A2C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317</w:t>
            </w:r>
          </w:p>
        </w:tc>
        <w:tc>
          <w:tcPr>
            <w:tcW w:w="976" w:type="dxa"/>
            <w:tcBorders>
              <w:top w:val="nil"/>
              <w:left w:val="nil"/>
              <w:bottom w:val="single" w:sz="8" w:space="0" w:color="auto"/>
              <w:right w:val="single" w:sz="8" w:space="0" w:color="auto"/>
            </w:tcBorders>
            <w:shd w:val="clear" w:color="000000" w:fill="E7E6E6"/>
            <w:vAlign w:val="center"/>
            <w:hideMark/>
          </w:tcPr>
          <w:p w14:paraId="25369A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947</w:t>
            </w:r>
          </w:p>
        </w:tc>
        <w:tc>
          <w:tcPr>
            <w:tcW w:w="776" w:type="dxa"/>
            <w:tcBorders>
              <w:top w:val="nil"/>
              <w:left w:val="nil"/>
              <w:bottom w:val="single" w:sz="8" w:space="0" w:color="auto"/>
              <w:right w:val="single" w:sz="8" w:space="0" w:color="auto"/>
            </w:tcBorders>
            <w:shd w:val="clear" w:color="000000" w:fill="E7E6E6"/>
            <w:vAlign w:val="center"/>
            <w:hideMark/>
          </w:tcPr>
          <w:p w14:paraId="3AC135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135DE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2AA02A1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5D7B96C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95576F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48443A5"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72C19E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1EA42F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3175F8A"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2B8DCE4"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8FEF3A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7D6B39F"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2B5C62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027EEB5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A17D63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5F81620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19BA9C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BCCDFF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0DB96BD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w:t>
            </w:r>
          </w:p>
        </w:tc>
        <w:tc>
          <w:tcPr>
            <w:tcW w:w="776" w:type="dxa"/>
            <w:tcBorders>
              <w:top w:val="nil"/>
              <w:left w:val="nil"/>
              <w:bottom w:val="single" w:sz="8" w:space="0" w:color="auto"/>
              <w:right w:val="single" w:sz="8" w:space="0" w:color="auto"/>
            </w:tcBorders>
            <w:shd w:val="clear" w:color="auto" w:fill="auto"/>
            <w:vAlign w:val="center"/>
            <w:hideMark/>
          </w:tcPr>
          <w:p w14:paraId="1D6BCDC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103</w:t>
            </w:r>
          </w:p>
        </w:tc>
        <w:tc>
          <w:tcPr>
            <w:tcW w:w="976" w:type="dxa"/>
            <w:tcBorders>
              <w:top w:val="nil"/>
              <w:left w:val="nil"/>
              <w:bottom w:val="single" w:sz="8" w:space="0" w:color="auto"/>
              <w:right w:val="single" w:sz="8" w:space="0" w:color="auto"/>
            </w:tcBorders>
            <w:shd w:val="clear" w:color="000000" w:fill="FFFFFF"/>
            <w:vAlign w:val="center"/>
            <w:hideMark/>
          </w:tcPr>
          <w:p w14:paraId="4BC1687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313</w:t>
            </w:r>
          </w:p>
        </w:tc>
        <w:tc>
          <w:tcPr>
            <w:tcW w:w="776" w:type="dxa"/>
            <w:tcBorders>
              <w:top w:val="nil"/>
              <w:left w:val="nil"/>
              <w:bottom w:val="single" w:sz="8" w:space="0" w:color="auto"/>
              <w:right w:val="single" w:sz="8" w:space="0" w:color="auto"/>
            </w:tcBorders>
            <w:shd w:val="clear" w:color="000000" w:fill="FFFFFF"/>
            <w:vAlign w:val="center"/>
            <w:hideMark/>
          </w:tcPr>
          <w:p w14:paraId="55D160A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C7645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063A6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9FEF25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4A3371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2E5B5AD"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123DAD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78E87E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1FF7132"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FA65650"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B4A426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AE1853D"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8C1549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4BD81AF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3C8F99A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C0745C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6E0DE65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264BB22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0FDCAA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13</w:t>
            </w:r>
          </w:p>
        </w:tc>
        <w:tc>
          <w:tcPr>
            <w:tcW w:w="776" w:type="dxa"/>
            <w:tcBorders>
              <w:top w:val="nil"/>
              <w:left w:val="nil"/>
              <w:bottom w:val="single" w:sz="8" w:space="0" w:color="auto"/>
              <w:right w:val="single" w:sz="8" w:space="0" w:color="auto"/>
            </w:tcBorders>
            <w:shd w:val="clear" w:color="auto" w:fill="auto"/>
            <w:vAlign w:val="center"/>
            <w:hideMark/>
          </w:tcPr>
          <w:p w14:paraId="6354054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214</w:t>
            </w:r>
          </w:p>
        </w:tc>
        <w:tc>
          <w:tcPr>
            <w:tcW w:w="976" w:type="dxa"/>
            <w:tcBorders>
              <w:top w:val="nil"/>
              <w:left w:val="nil"/>
              <w:bottom w:val="single" w:sz="8" w:space="0" w:color="auto"/>
              <w:right w:val="single" w:sz="8" w:space="0" w:color="auto"/>
            </w:tcBorders>
            <w:shd w:val="clear" w:color="000000" w:fill="FFFFFF"/>
            <w:vAlign w:val="center"/>
            <w:hideMark/>
          </w:tcPr>
          <w:p w14:paraId="295BD08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635</w:t>
            </w:r>
          </w:p>
        </w:tc>
        <w:tc>
          <w:tcPr>
            <w:tcW w:w="776" w:type="dxa"/>
            <w:tcBorders>
              <w:top w:val="nil"/>
              <w:left w:val="nil"/>
              <w:bottom w:val="single" w:sz="8" w:space="0" w:color="auto"/>
              <w:right w:val="single" w:sz="8" w:space="0" w:color="auto"/>
            </w:tcBorders>
            <w:shd w:val="clear" w:color="000000" w:fill="FFFFFF"/>
            <w:vAlign w:val="center"/>
            <w:hideMark/>
          </w:tcPr>
          <w:p w14:paraId="425CCE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D62227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8D194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B3578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2D6DA87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0730A9E"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17787C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03.4</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1A01C7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6716FF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68000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8E0B23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Počet institucí podpořených za účelem zavedení opatření</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F22C85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instituce</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46DA1E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CE8058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C284516"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62</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FEF364E"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615</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47033BF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621FF5F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7F2B643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1,77</w:t>
            </w:r>
          </w:p>
        </w:tc>
        <w:tc>
          <w:tcPr>
            <w:tcW w:w="1036" w:type="dxa"/>
            <w:tcBorders>
              <w:top w:val="nil"/>
              <w:left w:val="nil"/>
              <w:bottom w:val="single" w:sz="8" w:space="0" w:color="auto"/>
              <w:right w:val="single" w:sz="8" w:space="0" w:color="auto"/>
            </w:tcBorders>
            <w:shd w:val="clear" w:color="000000" w:fill="E7E6E6"/>
            <w:vAlign w:val="center"/>
            <w:hideMark/>
          </w:tcPr>
          <w:p w14:paraId="3EB04BE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99,18</w:t>
            </w:r>
          </w:p>
        </w:tc>
        <w:tc>
          <w:tcPr>
            <w:tcW w:w="776" w:type="dxa"/>
            <w:tcBorders>
              <w:top w:val="nil"/>
              <w:left w:val="nil"/>
              <w:bottom w:val="single" w:sz="8" w:space="0" w:color="auto"/>
              <w:right w:val="single" w:sz="8" w:space="0" w:color="auto"/>
            </w:tcBorders>
            <w:shd w:val="clear" w:color="000000" w:fill="E7E6E6"/>
            <w:vAlign w:val="center"/>
            <w:hideMark/>
          </w:tcPr>
          <w:p w14:paraId="0C5CA02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65,81</w:t>
            </w:r>
          </w:p>
        </w:tc>
        <w:tc>
          <w:tcPr>
            <w:tcW w:w="976" w:type="dxa"/>
            <w:tcBorders>
              <w:top w:val="nil"/>
              <w:left w:val="nil"/>
              <w:bottom w:val="single" w:sz="8" w:space="0" w:color="auto"/>
              <w:right w:val="single" w:sz="8" w:space="0" w:color="auto"/>
            </w:tcBorders>
            <w:shd w:val="clear" w:color="000000" w:fill="E7E6E6"/>
            <w:vAlign w:val="center"/>
            <w:hideMark/>
          </w:tcPr>
          <w:p w14:paraId="5877E93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251,27</w:t>
            </w:r>
          </w:p>
        </w:tc>
        <w:tc>
          <w:tcPr>
            <w:tcW w:w="776" w:type="dxa"/>
            <w:tcBorders>
              <w:top w:val="nil"/>
              <w:left w:val="nil"/>
              <w:bottom w:val="single" w:sz="8" w:space="0" w:color="auto"/>
              <w:right w:val="single" w:sz="8" w:space="0" w:color="auto"/>
            </w:tcBorders>
            <w:shd w:val="clear" w:color="000000" w:fill="E7E6E6"/>
            <w:vAlign w:val="center"/>
            <w:hideMark/>
          </w:tcPr>
          <w:p w14:paraId="0B3A5A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8A3C02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D0F7FA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76A0B0D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0DADD28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13B832F"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86B2D5C"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2B7F3B9"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60DB6C1"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728ECF2"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816E0CC"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0BAC6A0"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7862E42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4D6B76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C47D11A"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2A2D99A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326B7E6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0DCB86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0E9B9E8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031DDA6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2B50FCE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D0244E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B1ABB8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B99AAF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140E66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1D2DB7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2F10FA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324791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29455699"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417E1C1"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33CA679"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8CB1F03"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37192A1"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713017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F2CA11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E2D3EFC"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78D6098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4638AB4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070EB86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5AC50E7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4C8331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1F5D912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395CEF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532D9F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0AE09D9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60A80E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C00BA1F"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6EA9F4C"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4F3469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3E7505E"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C030455"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ACA1715"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5E4512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30B0F4D"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A56E2A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241E6C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54020EA"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083B6DB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6AEC4AC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05FEDEC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1,77</w:t>
            </w:r>
          </w:p>
        </w:tc>
        <w:tc>
          <w:tcPr>
            <w:tcW w:w="1036" w:type="dxa"/>
            <w:tcBorders>
              <w:top w:val="nil"/>
              <w:left w:val="nil"/>
              <w:bottom w:val="single" w:sz="8" w:space="0" w:color="auto"/>
              <w:right w:val="single" w:sz="8" w:space="0" w:color="auto"/>
            </w:tcBorders>
            <w:shd w:val="clear" w:color="000000" w:fill="E7E6E6"/>
            <w:vAlign w:val="center"/>
            <w:hideMark/>
          </w:tcPr>
          <w:p w14:paraId="1DB59AF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100,95</w:t>
            </w:r>
          </w:p>
        </w:tc>
        <w:tc>
          <w:tcPr>
            <w:tcW w:w="776" w:type="dxa"/>
            <w:tcBorders>
              <w:top w:val="nil"/>
              <w:left w:val="nil"/>
              <w:bottom w:val="single" w:sz="8" w:space="0" w:color="auto"/>
              <w:right w:val="single" w:sz="8" w:space="0" w:color="auto"/>
            </w:tcBorders>
            <w:shd w:val="clear" w:color="000000" w:fill="E7E6E6"/>
            <w:vAlign w:val="center"/>
            <w:hideMark/>
          </w:tcPr>
          <w:p w14:paraId="5B06B65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166,76</w:t>
            </w:r>
          </w:p>
        </w:tc>
        <w:tc>
          <w:tcPr>
            <w:tcW w:w="976" w:type="dxa"/>
            <w:tcBorders>
              <w:top w:val="nil"/>
              <w:left w:val="nil"/>
              <w:bottom w:val="single" w:sz="8" w:space="0" w:color="auto"/>
              <w:right w:val="single" w:sz="8" w:space="0" w:color="auto"/>
            </w:tcBorders>
            <w:shd w:val="clear" w:color="000000" w:fill="E7E6E6"/>
            <w:vAlign w:val="center"/>
            <w:hideMark/>
          </w:tcPr>
          <w:p w14:paraId="2B8D31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418,03</w:t>
            </w:r>
          </w:p>
        </w:tc>
        <w:tc>
          <w:tcPr>
            <w:tcW w:w="776" w:type="dxa"/>
            <w:tcBorders>
              <w:top w:val="nil"/>
              <w:left w:val="nil"/>
              <w:bottom w:val="single" w:sz="8" w:space="0" w:color="auto"/>
              <w:right w:val="single" w:sz="8" w:space="0" w:color="auto"/>
            </w:tcBorders>
            <w:shd w:val="clear" w:color="000000" w:fill="E7E6E6"/>
            <w:vAlign w:val="center"/>
            <w:hideMark/>
          </w:tcPr>
          <w:p w14:paraId="62A8EB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0559C52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FEBFF8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7BB743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0ACF97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13E1BD6"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1EDFD61"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121E32C1"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B8DD8A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BBD3D8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25EE7375"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7D01C75"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5E07CE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6023D5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59CCE77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24D7C41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0489E79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398577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503D8AD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4049F8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206962E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0602FA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B5F328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E212B2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98111B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179098A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CB9FA40"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6BEA54D"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AD85C88"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196293EB"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5D14EEC"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9CDA88B"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1C7E397"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C7304E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738EEA3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4CBC9FA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7B45380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29847D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AC9C0B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08F3BA6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0941B2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3871048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2C7427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114D115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49F0F1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512F96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73F72E5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91D7A5C"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5C2551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03.4</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B467C1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Indikátor výstupu</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A125A9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68000</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D291DC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Počet institucí podpořených za účelem zavedení opatření</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D674DF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instituce</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F2759FD"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3B44DF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571F33AD"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630E49DD"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63</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3634913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19B363A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120245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0,23</w:t>
            </w:r>
          </w:p>
        </w:tc>
        <w:tc>
          <w:tcPr>
            <w:tcW w:w="1036" w:type="dxa"/>
            <w:tcBorders>
              <w:top w:val="nil"/>
              <w:left w:val="nil"/>
              <w:bottom w:val="single" w:sz="8" w:space="0" w:color="auto"/>
              <w:right w:val="single" w:sz="8" w:space="0" w:color="auto"/>
            </w:tcBorders>
            <w:shd w:val="clear" w:color="000000" w:fill="E7E6E6"/>
            <w:vAlign w:val="center"/>
            <w:hideMark/>
          </w:tcPr>
          <w:p w14:paraId="7C38A39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9,82</w:t>
            </w:r>
          </w:p>
        </w:tc>
        <w:tc>
          <w:tcPr>
            <w:tcW w:w="776" w:type="dxa"/>
            <w:tcBorders>
              <w:top w:val="nil"/>
              <w:left w:val="nil"/>
              <w:bottom w:val="single" w:sz="8" w:space="0" w:color="auto"/>
              <w:right w:val="single" w:sz="8" w:space="0" w:color="auto"/>
            </w:tcBorders>
            <w:shd w:val="clear" w:color="000000" w:fill="E7E6E6"/>
            <w:vAlign w:val="center"/>
            <w:hideMark/>
          </w:tcPr>
          <w:p w14:paraId="23E7CCB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6,19</w:t>
            </w:r>
          </w:p>
        </w:tc>
        <w:tc>
          <w:tcPr>
            <w:tcW w:w="976" w:type="dxa"/>
            <w:tcBorders>
              <w:top w:val="nil"/>
              <w:left w:val="nil"/>
              <w:bottom w:val="single" w:sz="8" w:space="0" w:color="auto"/>
              <w:right w:val="single" w:sz="8" w:space="0" w:color="auto"/>
            </w:tcBorders>
            <w:shd w:val="clear" w:color="000000" w:fill="E7E6E6"/>
            <w:vAlign w:val="center"/>
            <w:hideMark/>
          </w:tcPr>
          <w:p w14:paraId="0EA556A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8,73</w:t>
            </w:r>
          </w:p>
        </w:tc>
        <w:tc>
          <w:tcPr>
            <w:tcW w:w="776" w:type="dxa"/>
            <w:tcBorders>
              <w:top w:val="nil"/>
              <w:left w:val="nil"/>
              <w:bottom w:val="single" w:sz="8" w:space="0" w:color="auto"/>
              <w:right w:val="single" w:sz="8" w:space="0" w:color="auto"/>
            </w:tcBorders>
            <w:shd w:val="clear" w:color="000000" w:fill="E7E6E6"/>
            <w:vAlign w:val="center"/>
            <w:hideMark/>
          </w:tcPr>
          <w:p w14:paraId="77F949A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18AC25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334D57A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92833F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65DD76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E403A40"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AEC0380"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B4F0471"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16A2CB4"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141E46F"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17E5578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45AE041"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D5A092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21D504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99E1925"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4137A0B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0E1D8B7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1E7CE95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390F970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2621AFC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75611CA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2995888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8A2F30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E51A9B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DE95D8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6CB4C6E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5883476"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3107A67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D899E1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73819131"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CAC0CA5"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F6DFBE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9664861"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3F37B3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EC9EB5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356D2C2"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24E0280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466B8BC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26DEFE5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53D0BC7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09DA8E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2093CED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173C8A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1E59CB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0BAD1F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A16636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7F10CE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E0042B1"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5515E18"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D93A6A5"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46CDF50"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FBFAB9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5726D483"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7B38DD2"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0E5457CE"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54B93B3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122CFAE"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0F86205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2793E3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6F99F7A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0,23</w:t>
            </w:r>
          </w:p>
        </w:tc>
        <w:tc>
          <w:tcPr>
            <w:tcW w:w="1036" w:type="dxa"/>
            <w:tcBorders>
              <w:top w:val="nil"/>
              <w:left w:val="nil"/>
              <w:bottom w:val="single" w:sz="8" w:space="0" w:color="auto"/>
              <w:right w:val="single" w:sz="8" w:space="0" w:color="auto"/>
            </w:tcBorders>
            <w:shd w:val="clear" w:color="000000" w:fill="E7E6E6"/>
            <w:vAlign w:val="center"/>
            <w:hideMark/>
          </w:tcPr>
          <w:p w14:paraId="00BE44A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10,05</w:t>
            </w:r>
          </w:p>
        </w:tc>
        <w:tc>
          <w:tcPr>
            <w:tcW w:w="776" w:type="dxa"/>
            <w:tcBorders>
              <w:top w:val="nil"/>
              <w:left w:val="nil"/>
              <w:bottom w:val="single" w:sz="8" w:space="0" w:color="auto"/>
              <w:right w:val="single" w:sz="8" w:space="0" w:color="auto"/>
            </w:tcBorders>
            <w:shd w:val="clear" w:color="000000" w:fill="E7E6E6"/>
            <w:vAlign w:val="center"/>
            <w:hideMark/>
          </w:tcPr>
          <w:p w14:paraId="1E5D11C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16,24</w:t>
            </w:r>
          </w:p>
        </w:tc>
        <w:tc>
          <w:tcPr>
            <w:tcW w:w="976" w:type="dxa"/>
            <w:tcBorders>
              <w:top w:val="nil"/>
              <w:left w:val="nil"/>
              <w:bottom w:val="single" w:sz="8" w:space="0" w:color="auto"/>
              <w:right w:val="single" w:sz="8" w:space="0" w:color="auto"/>
            </w:tcBorders>
            <w:shd w:val="clear" w:color="000000" w:fill="E7E6E6"/>
            <w:vAlign w:val="center"/>
            <w:hideMark/>
          </w:tcPr>
          <w:p w14:paraId="738038A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24,97</w:t>
            </w:r>
          </w:p>
        </w:tc>
        <w:tc>
          <w:tcPr>
            <w:tcW w:w="776" w:type="dxa"/>
            <w:tcBorders>
              <w:top w:val="nil"/>
              <w:left w:val="nil"/>
              <w:bottom w:val="single" w:sz="8" w:space="0" w:color="auto"/>
              <w:right w:val="single" w:sz="8" w:space="0" w:color="auto"/>
            </w:tcBorders>
            <w:shd w:val="clear" w:color="000000" w:fill="E7E6E6"/>
            <w:vAlign w:val="center"/>
            <w:hideMark/>
          </w:tcPr>
          <w:p w14:paraId="190AC5A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4D4CC16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4A549D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240D9AE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8FBC6A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4D99DB93"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B0B5438"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CAAD2F7"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06C39C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2F15E4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0BAEBF0"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DFA32BA"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278C98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7ED9516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7215EB0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DE69E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2362F83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26D84E5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5343021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4CB481C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43E2889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649E69D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C4F08F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F16C2F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743620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4F1401E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6B0EA96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2897C62"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F75773F"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86C75D8"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63F19DA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473A2D18"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DE0BD40"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1C8F75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25C4F20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0F8616A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262057F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671" w:type="dxa"/>
            <w:tcBorders>
              <w:top w:val="nil"/>
              <w:left w:val="nil"/>
              <w:bottom w:val="single" w:sz="8" w:space="0" w:color="auto"/>
              <w:right w:val="single" w:sz="8" w:space="0" w:color="auto"/>
            </w:tcBorders>
            <w:shd w:val="clear" w:color="000000" w:fill="FFFFFF"/>
            <w:vAlign w:val="center"/>
            <w:hideMark/>
          </w:tcPr>
          <w:p w14:paraId="41DB814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1CFABB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1036" w:type="dxa"/>
            <w:tcBorders>
              <w:top w:val="nil"/>
              <w:left w:val="nil"/>
              <w:bottom w:val="single" w:sz="8" w:space="0" w:color="auto"/>
              <w:right w:val="single" w:sz="8" w:space="0" w:color="auto"/>
            </w:tcBorders>
            <w:shd w:val="clear" w:color="000000" w:fill="FFFFFF"/>
            <w:vAlign w:val="center"/>
            <w:hideMark/>
          </w:tcPr>
          <w:p w14:paraId="59FFFCD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4C92FDF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976" w:type="dxa"/>
            <w:tcBorders>
              <w:top w:val="nil"/>
              <w:left w:val="nil"/>
              <w:bottom w:val="single" w:sz="8" w:space="0" w:color="auto"/>
              <w:right w:val="single" w:sz="8" w:space="0" w:color="auto"/>
            </w:tcBorders>
            <w:shd w:val="clear" w:color="000000" w:fill="FFFFFF"/>
            <w:vAlign w:val="center"/>
            <w:hideMark/>
          </w:tcPr>
          <w:p w14:paraId="3E2612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N/A</w:t>
            </w:r>
          </w:p>
        </w:tc>
        <w:tc>
          <w:tcPr>
            <w:tcW w:w="776" w:type="dxa"/>
            <w:tcBorders>
              <w:top w:val="nil"/>
              <w:left w:val="nil"/>
              <w:bottom w:val="single" w:sz="8" w:space="0" w:color="auto"/>
              <w:right w:val="single" w:sz="8" w:space="0" w:color="auto"/>
            </w:tcBorders>
            <w:shd w:val="clear" w:color="000000" w:fill="FFFFFF"/>
            <w:vAlign w:val="center"/>
            <w:hideMark/>
          </w:tcPr>
          <w:p w14:paraId="55A81D5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D79806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29407A7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29A6E8C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033D8B1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57BDCE0"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C86CF4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03.4</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AC9EFE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005D52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ACEF74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 - MRR</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0F1754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A2BE7E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16C3F9E"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Méně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70D15ACD"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14 120 241</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A95527A"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127 082 172</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3D89CA4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6A226D0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45BD477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341 959,69</w:t>
            </w:r>
          </w:p>
        </w:tc>
        <w:tc>
          <w:tcPr>
            <w:tcW w:w="1036" w:type="dxa"/>
            <w:tcBorders>
              <w:top w:val="nil"/>
              <w:left w:val="nil"/>
              <w:bottom w:val="single" w:sz="8" w:space="0" w:color="auto"/>
              <w:right w:val="single" w:sz="8" w:space="0" w:color="auto"/>
            </w:tcBorders>
            <w:shd w:val="clear" w:color="000000" w:fill="E7E6E6"/>
            <w:vAlign w:val="center"/>
            <w:hideMark/>
          </w:tcPr>
          <w:p w14:paraId="096C44C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5 690 215,06</w:t>
            </w:r>
          </w:p>
        </w:tc>
        <w:tc>
          <w:tcPr>
            <w:tcW w:w="776" w:type="dxa"/>
            <w:tcBorders>
              <w:top w:val="nil"/>
              <w:left w:val="nil"/>
              <w:bottom w:val="single" w:sz="8" w:space="0" w:color="auto"/>
              <w:right w:val="single" w:sz="8" w:space="0" w:color="auto"/>
            </w:tcBorders>
            <w:shd w:val="clear" w:color="000000" w:fill="E7E6E6"/>
            <w:vAlign w:val="center"/>
            <w:hideMark/>
          </w:tcPr>
          <w:p w14:paraId="1996586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14 218 977,59</w:t>
            </w:r>
          </w:p>
        </w:tc>
        <w:tc>
          <w:tcPr>
            <w:tcW w:w="976" w:type="dxa"/>
            <w:tcBorders>
              <w:top w:val="nil"/>
              <w:left w:val="nil"/>
              <w:bottom w:val="single" w:sz="8" w:space="0" w:color="auto"/>
              <w:right w:val="single" w:sz="8" w:space="0" w:color="auto"/>
            </w:tcBorders>
            <w:shd w:val="clear" w:color="000000" w:fill="E7E6E6"/>
            <w:vAlign w:val="center"/>
            <w:hideMark/>
          </w:tcPr>
          <w:p w14:paraId="37C9914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27 521 619,20</w:t>
            </w:r>
          </w:p>
        </w:tc>
        <w:tc>
          <w:tcPr>
            <w:tcW w:w="776" w:type="dxa"/>
            <w:tcBorders>
              <w:top w:val="nil"/>
              <w:left w:val="nil"/>
              <w:bottom w:val="single" w:sz="8" w:space="0" w:color="auto"/>
              <w:right w:val="single" w:sz="8" w:space="0" w:color="auto"/>
            </w:tcBorders>
            <w:shd w:val="clear" w:color="000000" w:fill="E7E6E6"/>
            <w:vAlign w:val="center"/>
            <w:hideMark/>
          </w:tcPr>
          <w:p w14:paraId="4AD6226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13F3E28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0E46259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341CF5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60EEBE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C92D86D"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4BD53173"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4CD6EBD5"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C222929"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592017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D4FA19F"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2F85E2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D40CEB7"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A47268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69D35E0"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2828948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37D7348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606A99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58A5909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62A92FF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0FA3317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02AE58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591D33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660D2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7B87C44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282BCD4"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00C99A7"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885850B"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54DE0B9"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7B2D813"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3181396"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DB454A7"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A2091E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1E8A929B"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526FA8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036706E9"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2280CCA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237B20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DB5997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6ACCA19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476150A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7B6065F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C35B21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2FEF1A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9897B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6A5FED5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D2142CC"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5256C09"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E6F53C9"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0FEE481A"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350B4E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0A3A041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EBC13A9"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04B3FC4"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21DA285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94A0E75"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39198694"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234CC11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5297993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1CDCDBD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341 959,69</w:t>
            </w:r>
          </w:p>
        </w:tc>
        <w:tc>
          <w:tcPr>
            <w:tcW w:w="1036" w:type="dxa"/>
            <w:tcBorders>
              <w:top w:val="nil"/>
              <w:left w:val="nil"/>
              <w:bottom w:val="single" w:sz="8" w:space="0" w:color="auto"/>
              <w:right w:val="single" w:sz="8" w:space="0" w:color="auto"/>
            </w:tcBorders>
            <w:shd w:val="clear" w:color="000000" w:fill="E7E6E6"/>
            <w:vAlign w:val="center"/>
            <w:hideMark/>
          </w:tcPr>
          <w:p w14:paraId="5FEACEA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6 032 174,75</w:t>
            </w:r>
          </w:p>
        </w:tc>
        <w:tc>
          <w:tcPr>
            <w:tcW w:w="776" w:type="dxa"/>
            <w:tcBorders>
              <w:top w:val="nil"/>
              <w:left w:val="nil"/>
              <w:bottom w:val="single" w:sz="8" w:space="0" w:color="auto"/>
              <w:right w:val="single" w:sz="8" w:space="0" w:color="auto"/>
            </w:tcBorders>
            <w:shd w:val="clear" w:color="000000" w:fill="E7E6E6"/>
            <w:vAlign w:val="center"/>
            <w:hideMark/>
          </w:tcPr>
          <w:p w14:paraId="4E06A6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20 251 152,34</w:t>
            </w:r>
          </w:p>
        </w:tc>
        <w:tc>
          <w:tcPr>
            <w:tcW w:w="976" w:type="dxa"/>
            <w:tcBorders>
              <w:top w:val="nil"/>
              <w:left w:val="nil"/>
              <w:bottom w:val="single" w:sz="8" w:space="0" w:color="auto"/>
              <w:right w:val="single" w:sz="8" w:space="0" w:color="auto"/>
            </w:tcBorders>
            <w:shd w:val="clear" w:color="000000" w:fill="E7E6E6"/>
            <w:vAlign w:val="center"/>
            <w:hideMark/>
          </w:tcPr>
          <w:p w14:paraId="7035E62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47 772 771,54</w:t>
            </w:r>
          </w:p>
        </w:tc>
        <w:tc>
          <w:tcPr>
            <w:tcW w:w="776" w:type="dxa"/>
            <w:tcBorders>
              <w:top w:val="nil"/>
              <w:left w:val="nil"/>
              <w:bottom w:val="single" w:sz="8" w:space="0" w:color="auto"/>
              <w:right w:val="single" w:sz="8" w:space="0" w:color="auto"/>
            </w:tcBorders>
            <w:shd w:val="clear" w:color="000000" w:fill="E7E6E6"/>
            <w:vAlign w:val="center"/>
            <w:hideMark/>
          </w:tcPr>
          <w:p w14:paraId="5ECC8C0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824418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51F1D9B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463A11E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3CCCBAC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B034052"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57AE5AA7"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6D89A26"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E9E89B5"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3315BFCB"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46B9CD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0F6C0879"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E8DB7D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5DD186B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4A29363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2A12279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58486A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82E3EC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412B6C8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9EE4F4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06643C6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E6DD43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67346E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6F73EE9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D9545E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2A6FB4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54712C9"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6C735C6"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366B84E"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6B97E33"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52B39BA"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6526E2E"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5359E434"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A9484B8"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6EB45AE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1810953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4F38CFC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518797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9C3490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3D62B6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A4CB4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2BC15C9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3409DC3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9519E7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B382FF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4593F0C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57885C3A"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5BBE4528" w14:textId="77777777" w:rsidTr="0025557F">
        <w:trPr>
          <w:gridAfter w:val="1"/>
          <w:wAfter w:w="7" w:type="dxa"/>
          <w:trHeight w:val="289"/>
        </w:trPr>
        <w:tc>
          <w:tcPr>
            <w:tcW w:w="67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2A86A3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03.4</w:t>
            </w:r>
          </w:p>
        </w:tc>
        <w:tc>
          <w:tcPr>
            <w:tcW w:w="77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1FF4E2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Finanční ukazatel</w:t>
            </w:r>
          </w:p>
        </w:tc>
        <w:tc>
          <w:tcPr>
            <w:tcW w:w="56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A65A195"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FINMT</w:t>
            </w:r>
          </w:p>
        </w:tc>
        <w:tc>
          <w:tcPr>
            <w:tcW w:w="106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7F4973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Celková částka způsobilých výdajů vložených do účetního systému PCO a certifikovaných ze strany PCO - VRR</w:t>
            </w:r>
          </w:p>
        </w:tc>
        <w:tc>
          <w:tcPr>
            <w:tcW w:w="71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D58F6E9"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48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90526C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ESF</w:t>
            </w:r>
          </w:p>
        </w:tc>
        <w:tc>
          <w:tcPr>
            <w:tcW w:w="93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5AC9958"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Více rozvinuté regiony</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2983C001"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1 418 040</w:t>
            </w:r>
          </w:p>
        </w:tc>
        <w:tc>
          <w:tcPr>
            <w:tcW w:w="946" w:type="dxa"/>
            <w:vMerge w:val="restart"/>
            <w:tcBorders>
              <w:top w:val="nil"/>
              <w:left w:val="single" w:sz="8" w:space="0" w:color="auto"/>
              <w:bottom w:val="single" w:sz="8" w:space="0" w:color="000000"/>
              <w:right w:val="single" w:sz="8" w:space="0" w:color="auto"/>
            </w:tcBorders>
            <w:shd w:val="clear" w:color="000000" w:fill="E7E6E6"/>
            <w:vAlign w:val="center"/>
            <w:hideMark/>
          </w:tcPr>
          <w:p w14:paraId="3E69A395" w14:textId="77777777" w:rsidR="00584BDC" w:rsidRPr="00584BDC" w:rsidRDefault="00584BDC" w:rsidP="00584BDC">
            <w:pPr>
              <w:jc w:val="cente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12 762 359</w:t>
            </w:r>
          </w:p>
        </w:tc>
        <w:tc>
          <w:tcPr>
            <w:tcW w:w="671" w:type="dxa"/>
            <w:gridSpan w:val="2"/>
            <w:tcBorders>
              <w:top w:val="nil"/>
              <w:left w:val="nil"/>
              <w:bottom w:val="single" w:sz="8" w:space="0" w:color="auto"/>
              <w:right w:val="single" w:sz="8" w:space="0" w:color="auto"/>
            </w:tcBorders>
            <w:shd w:val="clear" w:color="000000" w:fill="E7E6E6"/>
            <w:vAlign w:val="center"/>
            <w:hideMark/>
          </w:tcPr>
          <w:p w14:paraId="75B54DF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477CD77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1B62EF3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45 837,64</w:t>
            </w:r>
          </w:p>
        </w:tc>
        <w:tc>
          <w:tcPr>
            <w:tcW w:w="1036" w:type="dxa"/>
            <w:tcBorders>
              <w:top w:val="nil"/>
              <w:left w:val="nil"/>
              <w:bottom w:val="single" w:sz="8" w:space="0" w:color="auto"/>
              <w:right w:val="single" w:sz="8" w:space="0" w:color="auto"/>
            </w:tcBorders>
            <w:shd w:val="clear" w:color="000000" w:fill="E7E6E6"/>
            <w:vAlign w:val="center"/>
            <w:hideMark/>
          </w:tcPr>
          <w:p w14:paraId="3D80A61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748 192,33</w:t>
            </w:r>
          </w:p>
        </w:tc>
        <w:tc>
          <w:tcPr>
            <w:tcW w:w="776" w:type="dxa"/>
            <w:tcBorders>
              <w:top w:val="nil"/>
              <w:left w:val="nil"/>
              <w:bottom w:val="single" w:sz="8" w:space="0" w:color="auto"/>
              <w:right w:val="single" w:sz="8" w:space="0" w:color="auto"/>
            </w:tcBorders>
            <w:shd w:val="clear" w:color="000000" w:fill="E7E6E6"/>
            <w:vAlign w:val="center"/>
            <w:hideMark/>
          </w:tcPr>
          <w:p w14:paraId="0B6FA8C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1 620 848,57</w:t>
            </w:r>
          </w:p>
        </w:tc>
        <w:tc>
          <w:tcPr>
            <w:tcW w:w="976" w:type="dxa"/>
            <w:tcBorders>
              <w:top w:val="nil"/>
              <w:left w:val="nil"/>
              <w:bottom w:val="single" w:sz="8" w:space="0" w:color="auto"/>
              <w:right w:val="single" w:sz="8" w:space="0" w:color="auto"/>
            </w:tcBorders>
            <w:shd w:val="clear" w:color="000000" w:fill="E7E6E6"/>
            <w:vAlign w:val="center"/>
            <w:hideMark/>
          </w:tcPr>
          <w:p w14:paraId="55AAA28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2 876 447,16</w:t>
            </w:r>
          </w:p>
        </w:tc>
        <w:tc>
          <w:tcPr>
            <w:tcW w:w="776" w:type="dxa"/>
            <w:tcBorders>
              <w:top w:val="nil"/>
              <w:left w:val="nil"/>
              <w:bottom w:val="single" w:sz="8" w:space="0" w:color="auto"/>
              <w:right w:val="single" w:sz="8" w:space="0" w:color="auto"/>
            </w:tcBorders>
            <w:shd w:val="clear" w:color="000000" w:fill="E7E6E6"/>
            <w:vAlign w:val="center"/>
            <w:hideMark/>
          </w:tcPr>
          <w:p w14:paraId="0E29CC6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493E14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835B09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6EC558D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3ED2557"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146C6584"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2D700578"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D8EA2B0"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24040877"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49C57E7E"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389289A1"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68B6C7DE"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471E7C72"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7798F15C"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41704F5B"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0CA1367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1FB450D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38E5CD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678C6CE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13BFBF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453D34B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581BA34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3754868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0B8F24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23391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F6DDAB6"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397219DE"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1D7F33ED"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33F7BCB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420F024F"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54D85E06"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B9BF768"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796F017B"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298CE6F"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B3450D1"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110D2943"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FFFFFF"/>
            <w:vAlign w:val="center"/>
            <w:hideMark/>
          </w:tcPr>
          <w:p w14:paraId="40F49FD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03A402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460B245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347E299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670DAB9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127BB83D"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2F57B87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34D02A0"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C6A99F4"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30A0F9B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2A988D51"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09B7F072"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69573163"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510E97B4"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37DEAE15"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74C91F5C"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62C5146A"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3DAD1A6C"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34DB7B00"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630A79B4"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vMerge/>
            <w:tcBorders>
              <w:top w:val="nil"/>
              <w:left w:val="single" w:sz="8" w:space="0" w:color="auto"/>
              <w:bottom w:val="single" w:sz="8" w:space="0" w:color="000000"/>
              <w:right w:val="single" w:sz="8" w:space="0" w:color="auto"/>
            </w:tcBorders>
            <w:vAlign w:val="center"/>
            <w:hideMark/>
          </w:tcPr>
          <w:p w14:paraId="23EBCBE7" w14:textId="77777777" w:rsidR="00584BDC" w:rsidRPr="00584BDC" w:rsidRDefault="00584BDC" w:rsidP="00584BDC">
            <w:pPr>
              <w:rPr>
                <w:rFonts w:ascii="Arial" w:eastAsia="Times New Roman" w:hAnsi="Arial" w:cs="Arial"/>
                <w:color w:val="000000"/>
                <w:sz w:val="14"/>
                <w:szCs w:val="14"/>
                <w:lang w:val="cs-CZ" w:eastAsia="cs-CZ"/>
              </w:rPr>
            </w:pPr>
          </w:p>
        </w:tc>
        <w:tc>
          <w:tcPr>
            <w:tcW w:w="671" w:type="dxa"/>
            <w:gridSpan w:val="2"/>
            <w:tcBorders>
              <w:top w:val="nil"/>
              <w:left w:val="nil"/>
              <w:bottom w:val="single" w:sz="8" w:space="0" w:color="auto"/>
              <w:right w:val="single" w:sz="8" w:space="0" w:color="auto"/>
            </w:tcBorders>
            <w:shd w:val="clear" w:color="000000" w:fill="E7E6E6"/>
            <w:vAlign w:val="center"/>
            <w:hideMark/>
          </w:tcPr>
          <w:p w14:paraId="27FA2AC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E7E6E6"/>
            <w:vAlign w:val="center"/>
            <w:hideMark/>
          </w:tcPr>
          <w:p w14:paraId="434796D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E7E6E6"/>
            <w:vAlign w:val="center"/>
            <w:hideMark/>
          </w:tcPr>
          <w:p w14:paraId="2C7296B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45 837,64</w:t>
            </w:r>
          </w:p>
        </w:tc>
        <w:tc>
          <w:tcPr>
            <w:tcW w:w="1036" w:type="dxa"/>
            <w:tcBorders>
              <w:top w:val="nil"/>
              <w:left w:val="nil"/>
              <w:bottom w:val="single" w:sz="8" w:space="0" w:color="auto"/>
              <w:right w:val="single" w:sz="8" w:space="0" w:color="auto"/>
            </w:tcBorders>
            <w:shd w:val="clear" w:color="000000" w:fill="E7E6E6"/>
            <w:vAlign w:val="center"/>
            <w:hideMark/>
          </w:tcPr>
          <w:p w14:paraId="430BBCF2"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794 029,97</w:t>
            </w:r>
          </w:p>
        </w:tc>
        <w:tc>
          <w:tcPr>
            <w:tcW w:w="776" w:type="dxa"/>
            <w:tcBorders>
              <w:top w:val="nil"/>
              <w:left w:val="nil"/>
              <w:bottom w:val="single" w:sz="8" w:space="0" w:color="auto"/>
              <w:right w:val="single" w:sz="8" w:space="0" w:color="auto"/>
            </w:tcBorders>
            <w:shd w:val="clear" w:color="000000" w:fill="E7E6E6"/>
            <w:vAlign w:val="center"/>
            <w:hideMark/>
          </w:tcPr>
          <w:p w14:paraId="345C760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2 414 878,54</w:t>
            </w:r>
          </w:p>
        </w:tc>
        <w:tc>
          <w:tcPr>
            <w:tcW w:w="976" w:type="dxa"/>
            <w:tcBorders>
              <w:top w:val="nil"/>
              <w:left w:val="nil"/>
              <w:bottom w:val="single" w:sz="8" w:space="0" w:color="auto"/>
              <w:right w:val="single" w:sz="8" w:space="0" w:color="auto"/>
            </w:tcBorders>
            <w:shd w:val="clear" w:color="000000" w:fill="E7E6E6"/>
            <w:vAlign w:val="center"/>
            <w:hideMark/>
          </w:tcPr>
          <w:p w14:paraId="5A294D9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5 291 325,70</w:t>
            </w:r>
          </w:p>
        </w:tc>
        <w:tc>
          <w:tcPr>
            <w:tcW w:w="776" w:type="dxa"/>
            <w:tcBorders>
              <w:top w:val="nil"/>
              <w:left w:val="nil"/>
              <w:bottom w:val="single" w:sz="8" w:space="0" w:color="auto"/>
              <w:right w:val="single" w:sz="8" w:space="0" w:color="auto"/>
            </w:tcBorders>
            <w:shd w:val="clear" w:color="000000" w:fill="E7E6E6"/>
            <w:vAlign w:val="center"/>
            <w:hideMark/>
          </w:tcPr>
          <w:p w14:paraId="7D91E87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6190759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E7E6E6"/>
            <w:vAlign w:val="center"/>
            <w:hideMark/>
          </w:tcPr>
          <w:p w14:paraId="7DFD44C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E7E6E6"/>
            <w:vAlign w:val="center"/>
            <w:hideMark/>
          </w:tcPr>
          <w:p w14:paraId="78447555"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75564592"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A86C364"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7090095F"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60C4780C"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6C3E4BFC"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2CF5E468"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704825F2"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1AE4AFA6"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2333B29"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1271752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25A82A2B"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3F6674A9"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58964458"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7C8D2B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0E487BCB"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0DC1CEE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5F2B1137"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24045A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6BC9C8A"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4CCE2C8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1C9015E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nil"/>
              <w:right w:val="single" w:sz="8" w:space="0" w:color="auto"/>
            </w:tcBorders>
            <w:shd w:val="clear" w:color="000000" w:fill="FFFFFF"/>
            <w:vAlign w:val="center"/>
            <w:hideMark/>
          </w:tcPr>
          <w:p w14:paraId="5EA63D33"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r w:rsidR="00584BDC" w:rsidRPr="00584BDC" w14:paraId="2A7BED03" w14:textId="77777777" w:rsidTr="0025557F">
        <w:trPr>
          <w:gridAfter w:val="1"/>
          <w:wAfter w:w="7" w:type="dxa"/>
          <w:trHeight w:val="289"/>
        </w:trPr>
        <w:tc>
          <w:tcPr>
            <w:tcW w:w="677" w:type="dxa"/>
            <w:vMerge/>
            <w:tcBorders>
              <w:top w:val="nil"/>
              <w:left w:val="single" w:sz="8" w:space="0" w:color="auto"/>
              <w:bottom w:val="single" w:sz="8" w:space="0" w:color="000000"/>
              <w:right w:val="single" w:sz="8" w:space="0" w:color="auto"/>
            </w:tcBorders>
            <w:vAlign w:val="center"/>
            <w:hideMark/>
          </w:tcPr>
          <w:p w14:paraId="0F02A275" w14:textId="77777777" w:rsidR="00584BDC" w:rsidRPr="00584BDC" w:rsidRDefault="00584BDC" w:rsidP="00584BDC">
            <w:pPr>
              <w:rPr>
                <w:rFonts w:ascii="Arial" w:eastAsia="Times New Roman" w:hAnsi="Arial" w:cs="Arial"/>
                <w:color w:val="000000"/>
                <w:sz w:val="14"/>
                <w:szCs w:val="14"/>
                <w:lang w:val="cs-CZ" w:eastAsia="cs-CZ"/>
              </w:rPr>
            </w:pPr>
          </w:p>
        </w:tc>
        <w:tc>
          <w:tcPr>
            <w:tcW w:w="771" w:type="dxa"/>
            <w:vMerge/>
            <w:tcBorders>
              <w:top w:val="nil"/>
              <w:left w:val="single" w:sz="8" w:space="0" w:color="auto"/>
              <w:bottom w:val="single" w:sz="8" w:space="0" w:color="000000"/>
              <w:right w:val="single" w:sz="8" w:space="0" w:color="auto"/>
            </w:tcBorders>
            <w:vAlign w:val="center"/>
            <w:hideMark/>
          </w:tcPr>
          <w:p w14:paraId="731F0EC9" w14:textId="77777777" w:rsidR="00584BDC" w:rsidRPr="00584BDC" w:rsidRDefault="00584BDC" w:rsidP="00584BDC">
            <w:pPr>
              <w:rPr>
                <w:rFonts w:ascii="Arial" w:eastAsia="Times New Roman" w:hAnsi="Arial" w:cs="Arial"/>
                <w:color w:val="000000"/>
                <w:sz w:val="14"/>
                <w:szCs w:val="14"/>
                <w:lang w:val="cs-CZ" w:eastAsia="cs-CZ"/>
              </w:rPr>
            </w:pPr>
          </w:p>
        </w:tc>
        <w:tc>
          <w:tcPr>
            <w:tcW w:w="568" w:type="dxa"/>
            <w:vMerge/>
            <w:tcBorders>
              <w:top w:val="nil"/>
              <w:left w:val="single" w:sz="8" w:space="0" w:color="auto"/>
              <w:bottom w:val="single" w:sz="8" w:space="0" w:color="000000"/>
              <w:right w:val="single" w:sz="8" w:space="0" w:color="auto"/>
            </w:tcBorders>
            <w:vAlign w:val="center"/>
            <w:hideMark/>
          </w:tcPr>
          <w:p w14:paraId="09871C46" w14:textId="77777777" w:rsidR="00584BDC" w:rsidRPr="00584BDC" w:rsidRDefault="00584BDC" w:rsidP="00584BDC">
            <w:pPr>
              <w:rPr>
                <w:rFonts w:ascii="Arial" w:eastAsia="Times New Roman" w:hAnsi="Arial" w:cs="Arial"/>
                <w:color w:val="000000"/>
                <w:sz w:val="14"/>
                <w:szCs w:val="14"/>
                <w:lang w:val="cs-CZ" w:eastAsia="cs-CZ"/>
              </w:rPr>
            </w:pPr>
          </w:p>
        </w:tc>
        <w:tc>
          <w:tcPr>
            <w:tcW w:w="1066" w:type="dxa"/>
            <w:vMerge/>
            <w:tcBorders>
              <w:top w:val="nil"/>
              <w:left w:val="single" w:sz="8" w:space="0" w:color="auto"/>
              <w:bottom w:val="single" w:sz="8" w:space="0" w:color="000000"/>
              <w:right w:val="single" w:sz="8" w:space="0" w:color="auto"/>
            </w:tcBorders>
            <w:vAlign w:val="center"/>
            <w:hideMark/>
          </w:tcPr>
          <w:p w14:paraId="1F546899" w14:textId="77777777" w:rsidR="00584BDC" w:rsidRPr="00584BDC" w:rsidRDefault="00584BDC" w:rsidP="00584BDC">
            <w:pPr>
              <w:rPr>
                <w:rFonts w:ascii="Arial" w:eastAsia="Times New Roman" w:hAnsi="Arial" w:cs="Arial"/>
                <w:color w:val="000000"/>
                <w:sz w:val="14"/>
                <w:szCs w:val="14"/>
                <w:lang w:val="cs-CZ" w:eastAsia="cs-CZ"/>
              </w:rPr>
            </w:pPr>
          </w:p>
        </w:tc>
        <w:tc>
          <w:tcPr>
            <w:tcW w:w="716" w:type="dxa"/>
            <w:vMerge/>
            <w:tcBorders>
              <w:top w:val="nil"/>
              <w:left w:val="single" w:sz="8" w:space="0" w:color="auto"/>
              <w:bottom w:val="single" w:sz="8" w:space="0" w:color="000000"/>
              <w:right w:val="single" w:sz="8" w:space="0" w:color="auto"/>
            </w:tcBorders>
            <w:vAlign w:val="center"/>
            <w:hideMark/>
          </w:tcPr>
          <w:p w14:paraId="043D6DC8" w14:textId="77777777" w:rsidR="00584BDC" w:rsidRPr="00584BDC" w:rsidRDefault="00584BDC" w:rsidP="00584BDC">
            <w:pPr>
              <w:rPr>
                <w:rFonts w:ascii="Arial" w:eastAsia="Times New Roman" w:hAnsi="Arial" w:cs="Arial"/>
                <w:color w:val="000000"/>
                <w:sz w:val="14"/>
                <w:szCs w:val="14"/>
                <w:lang w:val="cs-CZ" w:eastAsia="cs-CZ"/>
              </w:rPr>
            </w:pPr>
          </w:p>
        </w:tc>
        <w:tc>
          <w:tcPr>
            <w:tcW w:w="483" w:type="dxa"/>
            <w:vMerge/>
            <w:tcBorders>
              <w:top w:val="nil"/>
              <w:left w:val="single" w:sz="8" w:space="0" w:color="auto"/>
              <w:bottom w:val="single" w:sz="8" w:space="0" w:color="000000"/>
              <w:right w:val="single" w:sz="8" w:space="0" w:color="auto"/>
            </w:tcBorders>
            <w:vAlign w:val="center"/>
            <w:hideMark/>
          </w:tcPr>
          <w:p w14:paraId="43A94DF9" w14:textId="77777777" w:rsidR="00584BDC" w:rsidRPr="00584BDC" w:rsidRDefault="00584BDC" w:rsidP="00584BDC">
            <w:pPr>
              <w:rPr>
                <w:rFonts w:ascii="Arial" w:eastAsia="Times New Roman" w:hAnsi="Arial" w:cs="Arial"/>
                <w:color w:val="000000"/>
                <w:sz w:val="14"/>
                <w:szCs w:val="14"/>
                <w:lang w:val="cs-CZ" w:eastAsia="cs-CZ"/>
              </w:rPr>
            </w:pPr>
          </w:p>
        </w:tc>
        <w:tc>
          <w:tcPr>
            <w:tcW w:w="934" w:type="dxa"/>
            <w:vMerge/>
            <w:tcBorders>
              <w:top w:val="nil"/>
              <w:left w:val="single" w:sz="8" w:space="0" w:color="auto"/>
              <w:bottom w:val="single" w:sz="8" w:space="0" w:color="000000"/>
              <w:right w:val="single" w:sz="8" w:space="0" w:color="auto"/>
            </w:tcBorders>
            <w:vAlign w:val="center"/>
            <w:hideMark/>
          </w:tcPr>
          <w:p w14:paraId="51212BC3" w14:textId="77777777" w:rsidR="00584BDC" w:rsidRPr="00584BDC" w:rsidRDefault="00584BDC" w:rsidP="00584BDC">
            <w:pPr>
              <w:rPr>
                <w:rFonts w:ascii="Arial" w:eastAsia="Times New Roman" w:hAnsi="Arial" w:cs="Arial"/>
                <w:color w:val="000000"/>
                <w:sz w:val="14"/>
                <w:szCs w:val="14"/>
                <w:lang w:val="cs-CZ" w:eastAsia="cs-CZ"/>
              </w:rPr>
            </w:pPr>
          </w:p>
        </w:tc>
        <w:tc>
          <w:tcPr>
            <w:tcW w:w="946" w:type="dxa"/>
            <w:tcBorders>
              <w:top w:val="nil"/>
              <w:left w:val="nil"/>
              <w:bottom w:val="single" w:sz="8" w:space="0" w:color="auto"/>
              <w:right w:val="nil"/>
            </w:tcBorders>
            <w:shd w:val="clear" w:color="000000" w:fill="FFFFFF"/>
            <w:vAlign w:val="center"/>
            <w:hideMark/>
          </w:tcPr>
          <w:p w14:paraId="0098BDA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946" w:type="dxa"/>
            <w:tcBorders>
              <w:top w:val="nil"/>
              <w:left w:val="single" w:sz="8" w:space="0" w:color="auto"/>
              <w:bottom w:val="single" w:sz="8" w:space="0" w:color="auto"/>
              <w:right w:val="single" w:sz="8" w:space="0" w:color="auto"/>
            </w:tcBorders>
            <w:shd w:val="clear" w:color="000000" w:fill="FFFFFF"/>
            <w:vAlign w:val="center"/>
            <w:hideMark/>
          </w:tcPr>
          <w:p w14:paraId="7EB11D30" w14:textId="77777777"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671" w:type="dxa"/>
            <w:gridSpan w:val="2"/>
            <w:tcBorders>
              <w:top w:val="nil"/>
              <w:left w:val="nil"/>
              <w:bottom w:val="single" w:sz="8" w:space="0" w:color="auto"/>
              <w:right w:val="single" w:sz="8" w:space="0" w:color="auto"/>
            </w:tcBorders>
            <w:shd w:val="clear" w:color="000000" w:fill="FFFFFF"/>
            <w:vAlign w:val="center"/>
            <w:hideMark/>
          </w:tcPr>
          <w:p w14:paraId="6BB9B2FF"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671" w:type="dxa"/>
            <w:tcBorders>
              <w:top w:val="nil"/>
              <w:left w:val="nil"/>
              <w:bottom w:val="single" w:sz="8" w:space="0" w:color="auto"/>
              <w:right w:val="single" w:sz="8" w:space="0" w:color="auto"/>
            </w:tcBorders>
            <w:shd w:val="clear" w:color="000000" w:fill="FFFFFF"/>
            <w:vAlign w:val="center"/>
            <w:hideMark/>
          </w:tcPr>
          <w:p w14:paraId="4E14D00E"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0F7E86D3"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1036" w:type="dxa"/>
            <w:tcBorders>
              <w:top w:val="nil"/>
              <w:left w:val="nil"/>
              <w:bottom w:val="single" w:sz="8" w:space="0" w:color="auto"/>
              <w:right w:val="single" w:sz="8" w:space="0" w:color="auto"/>
            </w:tcBorders>
            <w:shd w:val="clear" w:color="000000" w:fill="FFFFFF"/>
            <w:vAlign w:val="center"/>
            <w:hideMark/>
          </w:tcPr>
          <w:p w14:paraId="0407090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auto" w:fill="auto"/>
            <w:vAlign w:val="center"/>
            <w:hideMark/>
          </w:tcPr>
          <w:p w14:paraId="1CF2D44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976" w:type="dxa"/>
            <w:tcBorders>
              <w:top w:val="nil"/>
              <w:left w:val="nil"/>
              <w:bottom w:val="single" w:sz="8" w:space="0" w:color="auto"/>
              <w:right w:val="single" w:sz="8" w:space="0" w:color="auto"/>
            </w:tcBorders>
            <w:shd w:val="clear" w:color="000000" w:fill="FFFFFF"/>
            <w:vAlign w:val="center"/>
            <w:hideMark/>
          </w:tcPr>
          <w:p w14:paraId="2AC63CC6"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0</w:t>
            </w:r>
          </w:p>
        </w:tc>
        <w:tc>
          <w:tcPr>
            <w:tcW w:w="776" w:type="dxa"/>
            <w:tcBorders>
              <w:top w:val="nil"/>
              <w:left w:val="nil"/>
              <w:bottom w:val="single" w:sz="8" w:space="0" w:color="auto"/>
              <w:right w:val="single" w:sz="8" w:space="0" w:color="auto"/>
            </w:tcBorders>
            <w:shd w:val="clear" w:color="000000" w:fill="FFFFFF"/>
            <w:vAlign w:val="center"/>
            <w:hideMark/>
          </w:tcPr>
          <w:p w14:paraId="12164C61"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7C7CCD8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6" w:type="dxa"/>
            <w:tcBorders>
              <w:top w:val="nil"/>
              <w:left w:val="nil"/>
              <w:bottom w:val="single" w:sz="8" w:space="0" w:color="auto"/>
              <w:right w:val="single" w:sz="8" w:space="0" w:color="auto"/>
            </w:tcBorders>
            <w:shd w:val="clear" w:color="000000" w:fill="FFFFFF"/>
            <w:vAlign w:val="center"/>
            <w:hideMark/>
          </w:tcPr>
          <w:p w14:paraId="5AE6696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777" w:type="dxa"/>
            <w:tcBorders>
              <w:top w:val="nil"/>
              <w:left w:val="nil"/>
              <w:bottom w:val="single" w:sz="8" w:space="0" w:color="auto"/>
              <w:right w:val="single" w:sz="8" w:space="0" w:color="auto"/>
            </w:tcBorders>
            <w:shd w:val="clear" w:color="000000" w:fill="FFFFFF"/>
            <w:vAlign w:val="center"/>
            <w:hideMark/>
          </w:tcPr>
          <w:p w14:paraId="54672DEC" w14:textId="77777777" w:rsidR="00584BDC" w:rsidRPr="00584BDC" w:rsidRDefault="00584BDC" w:rsidP="00584BDC">
            <w:pPr>
              <w:jc w:val="right"/>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c>
          <w:tcPr>
            <w:tcW w:w="833" w:type="dxa"/>
            <w:tcBorders>
              <w:top w:val="nil"/>
              <w:left w:val="nil"/>
              <w:bottom w:val="single" w:sz="8" w:space="0" w:color="auto"/>
              <w:right w:val="single" w:sz="8" w:space="0" w:color="auto"/>
            </w:tcBorders>
            <w:shd w:val="clear" w:color="000000" w:fill="FFFFFF"/>
            <w:vAlign w:val="center"/>
            <w:hideMark/>
          </w:tcPr>
          <w:p w14:paraId="1559A0D6" w14:textId="5FEE2FA1" w:rsidR="00584BDC" w:rsidRPr="00584BDC" w:rsidRDefault="00584BDC" w:rsidP="00584BDC">
            <w:pPr>
              <w:rPr>
                <w:rFonts w:ascii="Arial" w:eastAsia="Times New Roman" w:hAnsi="Arial" w:cs="Arial"/>
                <w:color w:val="000000"/>
                <w:sz w:val="14"/>
                <w:szCs w:val="14"/>
                <w:lang w:val="cs-CZ" w:eastAsia="cs-CZ"/>
              </w:rPr>
            </w:pPr>
            <w:r w:rsidRPr="00584BDC">
              <w:rPr>
                <w:rFonts w:ascii="Arial" w:eastAsia="Times New Roman" w:hAnsi="Arial" w:cs="Arial"/>
                <w:color w:val="000000"/>
                <w:sz w:val="14"/>
                <w:szCs w:val="14"/>
                <w:lang w:val="cs-CZ" w:eastAsia="cs-CZ"/>
              </w:rPr>
              <w:t> </w:t>
            </w:r>
          </w:p>
        </w:tc>
      </w:tr>
    </w:tbl>
    <w:p w14:paraId="68B91387" w14:textId="77777777" w:rsidR="00A2351A" w:rsidRDefault="00A2351A">
      <w:pPr>
        <w:keepNext/>
        <w:ind w:left="115" w:right="106"/>
        <w:jc w:val="both"/>
        <w:rPr>
          <w:rFonts w:ascii="Arial" w:eastAsia="Arial" w:hAnsi="Arial" w:cs="Arial"/>
          <w:color w:val="000000"/>
          <w:sz w:val="20"/>
        </w:rPr>
      </w:pPr>
    </w:p>
    <w:p w14:paraId="4EABCA00" w14:textId="77777777" w:rsidR="00A2351A" w:rsidRDefault="002D5C25">
      <w:pPr>
        <w:ind w:left="115" w:right="812"/>
        <w:rPr>
          <w:rFonts w:ascii="Arial" w:eastAsia="Arial" w:hAnsi="Arial" w:cs="Arial"/>
          <w:color w:val="000000"/>
          <w:sz w:val="16"/>
        </w:rPr>
      </w:pPr>
      <w:r>
        <w:rPr>
          <w:rFonts w:ascii="Arial" w:eastAsia="Arial" w:hAnsi="Arial" w:cs="Arial"/>
          <w:color w:val="000000"/>
          <w:sz w:val="16"/>
        </w:rPr>
        <w:t>*</w:t>
      </w:r>
      <w:r>
        <w:rPr>
          <w:rFonts w:ascii="Arial" w:eastAsia="Arial" w:hAnsi="Arial" w:cs="Arial"/>
          <w:color w:val="000000"/>
          <w:sz w:val="16"/>
        </w:rPr>
        <w:tab/>
        <w:t>Pro EFRR nebo Fond soudržnosti předloží členské státy pro ukazatele výstupů kumulativní hodnoty. Pro ESF jsou kumulativní hodnoty systémem SFC2014 vypočítány automaticky na základě ročních hodnot poskytnutých členskými státy. Hodnoty pro finanční ukazatele jsou kumulativní pro všechny fondy. Hodnoty pro klíčové prováděcí kroky jsou kumulativní pro všechny fondy, pokud jsou klíčové prováděcí kroky vyjádřeny pomocí čísla nebo procentního podílu. Je-li výsledek vymezen kvalitativně, je nutno v tabulce uvést, zda jej bylo dosaženo, či nikoli.</w:t>
      </w:r>
    </w:p>
    <w:p w14:paraId="5C648223" w14:textId="07691895" w:rsidR="006F3CBE" w:rsidRDefault="006F3CBE">
      <w:pPr>
        <w:ind w:left="115" w:right="812"/>
        <w:rPr>
          <w:rFonts w:ascii="Arial" w:eastAsia="Arial" w:hAnsi="Arial" w:cs="Arial"/>
          <w:color w:val="000000"/>
          <w:sz w:val="16"/>
        </w:rPr>
      </w:pPr>
    </w:p>
    <w:p w14:paraId="72E99E41" w14:textId="77777777" w:rsidR="006F3CBE" w:rsidRDefault="006F3CBE">
      <w:pPr>
        <w:ind w:left="115" w:right="812"/>
        <w:rPr>
          <w:rFonts w:ascii="Arial" w:eastAsia="Arial" w:hAnsi="Arial" w:cs="Arial"/>
          <w:color w:val="000000"/>
          <w:sz w:val="16"/>
        </w:rPr>
      </w:pPr>
    </w:p>
    <w:p w14:paraId="1641C242" w14:textId="77777777" w:rsidR="006F3CBE" w:rsidRDefault="006F3CBE">
      <w:pPr>
        <w:ind w:left="115" w:right="812"/>
        <w:rPr>
          <w:rFonts w:ascii="Arial" w:eastAsia="Arial" w:hAnsi="Arial" w:cs="Arial"/>
          <w:color w:val="000000"/>
          <w:sz w:val="16"/>
        </w:rPr>
      </w:pPr>
    </w:p>
    <w:p w14:paraId="514D5209" w14:textId="7ED7B832" w:rsidR="006F3CBE" w:rsidRDefault="006F3CBE" w:rsidP="00554A56">
      <w:pPr>
        <w:ind w:right="812"/>
        <w:rPr>
          <w:rFonts w:ascii="Arial" w:eastAsia="Arial" w:hAnsi="Arial" w:cs="Arial"/>
          <w:color w:val="000000"/>
          <w:sz w:val="16"/>
        </w:rPr>
      </w:pPr>
    </w:p>
    <w:p w14:paraId="2F714116" w14:textId="77777777" w:rsidR="00A2351A" w:rsidRDefault="002D5C25" w:rsidP="000B77CA">
      <w:pPr>
        <w:pStyle w:val="Nadpis2"/>
        <w:rPr>
          <w:sz w:val="16"/>
        </w:rPr>
      </w:pPr>
      <w:bookmarkStart w:id="12" w:name="_Toc39495068"/>
      <w:r>
        <w:t>Finanční údaje (čl. 50 odst. 2 nařízení (EU) č. 1303/2013)</w:t>
      </w:r>
      <w:r>
        <w:rPr>
          <w:sz w:val="16"/>
        </w:rPr>
        <w:t xml:space="preserve"> (10)</w:t>
      </w:r>
      <w:bookmarkEnd w:id="12"/>
    </w:p>
    <w:p w14:paraId="26DAAFBA" w14:textId="77777777" w:rsidR="00A2351A" w:rsidRDefault="00A2351A">
      <w:pPr>
        <w:tabs>
          <w:tab w:val="left" w:pos="1675"/>
        </w:tabs>
        <w:ind w:left="115" w:right="106"/>
        <w:rPr>
          <w:rFonts w:ascii="Arial" w:eastAsia="Arial" w:hAnsi="Arial" w:cs="Arial"/>
          <w:color w:val="000000"/>
          <w:sz w:val="20"/>
        </w:rPr>
      </w:pPr>
    </w:p>
    <w:p w14:paraId="2E943808" w14:textId="77777777" w:rsidR="00A2351A" w:rsidRDefault="002D5C25">
      <w:pPr>
        <w:keepNext/>
        <w:tabs>
          <w:tab w:val="left" w:pos="1675"/>
        </w:tabs>
        <w:ind w:left="115" w:right="106"/>
        <w:rPr>
          <w:rFonts w:ascii="Arial" w:eastAsia="Arial" w:hAnsi="Arial" w:cs="Arial"/>
          <w:b/>
          <w:bCs/>
          <w:i/>
          <w:iCs/>
          <w:color w:val="000000"/>
          <w:sz w:val="16"/>
        </w:rPr>
      </w:pPr>
      <w:r>
        <w:rPr>
          <w:rFonts w:ascii="Arial" w:eastAsia="Arial" w:hAnsi="Arial" w:cs="Arial"/>
          <w:b/>
          <w:bCs/>
          <w:i/>
          <w:iCs/>
          <w:color w:val="000000"/>
          <w:sz w:val="20"/>
        </w:rPr>
        <w:t>Tabulka 6: Finanční údaje na úrovni prioritních os a programů stanovené v tabulce 1 přílohy II prováděcího nařízení Komise (EU) č. 1011/2014</w:t>
      </w:r>
      <w:r>
        <w:rPr>
          <w:rFonts w:ascii="Arial" w:eastAsia="Arial" w:hAnsi="Arial" w:cs="Arial"/>
          <w:b/>
          <w:bCs/>
          <w:i/>
          <w:iCs/>
          <w:color w:val="000000"/>
          <w:sz w:val="16"/>
        </w:rPr>
        <w:t xml:space="preserve"> (11)</w:t>
      </w:r>
    </w:p>
    <w:tbl>
      <w:tblPr>
        <w:tblW w:w="0" w:type="auto"/>
        <w:tblInd w:w="128" w:type="dxa"/>
        <w:tblLayout w:type="fixed"/>
        <w:tblCellMar>
          <w:left w:w="0" w:type="dxa"/>
          <w:right w:w="0" w:type="dxa"/>
        </w:tblCellMar>
        <w:tblLook w:val="04A0" w:firstRow="1" w:lastRow="0" w:firstColumn="1" w:lastColumn="0" w:noHBand="0" w:noVBand="1"/>
      </w:tblPr>
      <w:tblGrid>
        <w:gridCol w:w="1022"/>
        <w:gridCol w:w="892"/>
        <w:gridCol w:w="1347"/>
        <w:gridCol w:w="708"/>
        <w:gridCol w:w="1701"/>
        <w:gridCol w:w="851"/>
        <w:gridCol w:w="1984"/>
        <w:gridCol w:w="838"/>
        <w:gridCol w:w="1997"/>
        <w:gridCol w:w="1843"/>
        <w:gridCol w:w="851"/>
        <w:gridCol w:w="986"/>
      </w:tblGrid>
      <w:tr w:rsidR="00E65A62" w14:paraId="0F66F053" w14:textId="77777777" w:rsidTr="00B158B8">
        <w:trPr>
          <w:cantSplit/>
          <w:tblHeader/>
        </w:trPr>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C01EBC"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Prioritní osa</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67EF6E"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Fond</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5946B3"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Kategorie regionu</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F9FEB2"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Základ pro výpočet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ACB8F3"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Financování celkem [EUR]</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40044A"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Míra spolufinancování [%]</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F165B2"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Celkové způsobilé náklady operací vybraných pro poskytnutí podpory [EUR]</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D73D32"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Podíl celkového přídělu, na nějž se vztahují vybrané operace [%]</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5397B5"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Veřejné způsobilé náklady operací vybraných pro poskytnutí podpory [EUR]</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EFCDD9"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Celková výše způsobilých výdajů, jež příjemci vykázali řídícímu orgánu [EUR]</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B8E889"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Podíl celkového přídělu, na nějž se vztahují způsobilé výdaje vykázané příjemci [%]</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BD760F" w14:textId="77777777" w:rsidR="00E65A62" w:rsidRDefault="00E65A62" w:rsidP="00B158B8">
            <w:pPr>
              <w:keepLines/>
              <w:ind w:left="57" w:right="57"/>
              <w:jc w:val="center"/>
              <w:rPr>
                <w:rFonts w:ascii="Arial" w:eastAsia="Arial" w:hAnsi="Arial" w:cs="Arial"/>
                <w:b/>
                <w:bCs/>
                <w:color w:val="000000"/>
                <w:sz w:val="14"/>
              </w:rPr>
            </w:pPr>
            <w:r>
              <w:rPr>
                <w:rFonts w:ascii="Arial" w:eastAsia="Arial" w:hAnsi="Arial" w:cs="Arial"/>
                <w:b/>
                <w:bCs/>
                <w:color w:val="000000"/>
                <w:sz w:val="14"/>
              </w:rPr>
              <w:t>Počet schválených operací</w:t>
            </w:r>
          </w:p>
        </w:tc>
      </w:tr>
      <w:tr w:rsidR="00B06182" w14:paraId="4F9CCE12"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1E5B0B"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03.1</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97AC5B"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BC068A"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5389B1"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D60F90"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1 434 961 724,00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1FCCFF" w14:textId="2683FEB0"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85,00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0829A1"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1 454 808 147,12</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31DAE8" w14:textId="46412FC0"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101,38</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A7D2D1" w14:textId="0AC6E5CC"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1 423 428 478,06</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4F8248" w14:textId="3DC47670"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759 073 970,97</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45BC6E" w14:textId="745B9F49"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52,90</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5A8B3E"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4702</w:t>
            </w:r>
          </w:p>
        </w:tc>
      </w:tr>
      <w:tr w:rsidR="00B06182" w14:paraId="4F9A67D8"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9A6ED1"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03.1</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9A1F71"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B511E3"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7BF128"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DF4E24"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87 903 952,00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C5A747" w14:textId="44E54567"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50,00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AF0D5B"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82 055 117,49</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A04F99" w14:textId="657BB186"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93,35</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1A7DDE" w14:textId="0C0F844B"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80 921 046,86</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5B8CF6" w14:textId="6C4D2F5F"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48 957 782,88</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3B6EA4" w14:textId="201E5ED1"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55,69</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106909"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311</w:t>
            </w:r>
          </w:p>
        </w:tc>
      </w:tr>
      <w:tr w:rsidR="00B06182" w14:paraId="7250B6E8" w14:textId="77777777" w:rsidTr="00B06182">
        <w:trPr>
          <w:trHeight w:val="381"/>
        </w:trPr>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8EA0AF"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03.1</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B743E7"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YEI</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B49ECE" w14:textId="77777777" w:rsidR="00B06182" w:rsidRDefault="00B06182" w:rsidP="00B06182">
            <w:pPr>
              <w:tabs>
                <w:tab w:val="left" w:pos="828"/>
              </w:tabs>
              <w:ind w:left="57" w:right="57"/>
              <w:rPr>
                <w:rFonts w:ascii="Arial" w:eastAsia="Arial" w:hAnsi="Arial" w:cs="Arial"/>
                <w:color w:val="000000"/>
                <w:sz w:val="14"/>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3D0CEA"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25632C"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29 599 966,00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5A539E" w14:textId="245BA862"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91,89</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46BCED"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32 206 062,27</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CA927D" w14:textId="4E780F41"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108,80</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627657" w14:textId="67517392"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32 206 062,27</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62B289" w14:textId="12FA3FF9"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28 166 972,95</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6814D4" w14:textId="3863A8D8"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95,16</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F3C171"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w:t>
            </w:r>
          </w:p>
        </w:tc>
      </w:tr>
      <w:tr w:rsidR="00B06182" w14:paraId="3A6E22E6"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85EA17"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03.2</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7243B5"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9C37F0"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1AF371"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F9F644"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657 567 878,00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695BBB" w14:textId="3A0CC1A0"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85,00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F0E448"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691 489 253,64</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7285B4" w14:textId="7188A6BE"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105,16</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804BCB" w14:textId="2D451AC6"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688 167 640,32</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E878E6" w14:textId="133074F4"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253 439 487,98</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72D458" w14:textId="42CB1B48"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38,54</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48DDB4"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1893</w:t>
            </w:r>
          </w:p>
        </w:tc>
      </w:tr>
      <w:tr w:rsidR="00B06182" w14:paraId="5D182D6F"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3DA999"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03.2</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A01678"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8AC2CD"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5FF7B5"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AEAE4D"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83 421 770,00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6187C1" w14:textId="2D8BD241"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50,00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A1D167"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80 107 727,61</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EB318A" w14:textId="4D80ED55"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96,03</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D83BCD" w14:textId="3AE5BF3F"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79 959 750,43</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7AD195" w14:textId="2F5C3175"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19 469 505,02</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C7351F" w14:textId="6034E244"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23,34</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4DA0A2"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156</w:t>
            </w:r>
          </w:p>
        </w:tc>
      </w:tr>
      <w:tr w:rsidR="00B06182" w14:paraId="081C6097"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93D937"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03.3</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00B6F2"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7742F2"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50205F"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F6A9EA"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41 119 628,00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E141D7" w14:textId="3B1269C9"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95,00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A781B0"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35 197 446,60</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2719B2" w14:textId="4F9899F9"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85,60</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11BCEC" w14:textId="1B05F3E3"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34 909 681,60</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897BDC" w14:textId="46B4EF57"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18 807 134,88</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615D66" w14:textId="10A0FC59"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45,74</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48C78E"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163</w:t>
            </w:r>
          </w:p>
        </w:tc>
      </w:tr>
      <w:tr w:rsidR="00B06182" w14:paraId="74F9B8AF"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B237B4"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03.3</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0FCCBC"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2E01B2"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03C263"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4516B2"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5 511 840,00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84967C" w14:textId="04E0290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60,00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8DFB93"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4 718 006,31</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F8F8CA" w14:textId="05537BF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85,60</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6D34AD" w14:textId="56B90EF1"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4 453 237,76</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8A9BC7" w14:textId="3258A081"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2 510 895,22</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86ED59" w14:textId="69F4BEDA"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45,55</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4C30D2"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163</w:t>
            </w:r>
          </w:p>
        </w:tc>
      </w:tr>
      <w:tr w:rsidR="00B06182" w14:paraId="5BFB3D65"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2F0DF5"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03.4</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37378F"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5B54B3"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CD1225"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3DFB58"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141 202 413,00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E03A02" w14:textId="5FC1012A"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85,00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1E2CCD"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129 648 083,44</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A998A7" w14:textId="08B450D1"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91,82</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5212F7" w14:textId="6A4B3A53"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128 941 103,15</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AE4E77" w14:textId="110370D8"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53 572 253,79</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052909" w14:textId="1F6862E6"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37,94</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041735"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337</w:t>
            </w:r>
          </w:p>
        </w:tc>
      </w:tr>
      <w:tr w:rsidR="00B06182" w14:paraId="5D3FC577"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6F3052"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03.4</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9D9174"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E1FCE9"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B05474"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A4CFDD"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14 180 400,00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C73670" w14:textId="6DC64370"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50,00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8048EA"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13 689 883,02</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7A3E3C" w14:textId="69C7990F"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96,54</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B235C6" w14:textId="7BC1526C"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13 599 246,14</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C5CCB0" w14:textId="21032C61"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5 874 691,16</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4A5B05" w14:textId="53A8BACB"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41,43</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92BBEA"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70</w:t>
            </w:r>
          </w:p>
        </w:tc>
      </w:tr>
      <w:tr w:rsidR="00B06182" w14:paraId="4E5972C6"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874EAE"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03.5</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E24AFE"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63CDC3"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Méně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D9835C"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91523D"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95 060 784,00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0CC4A0" w14:textId="349DBD1F"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85,00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E01F7E"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99 997 091,37</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24F7DE" w14:textId="290D5F5D"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105,19</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45EA59" w14:textId="59EE677D"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99 997 091,37</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3C24FC" w14:textId="1AB71F10"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40 922 050,05</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63AA6C" w14:textId="5B9DE3FB"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43,05</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8DA0AA"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w:t>
            </w:r>
          </w:p>
        </w:tc>
      </w:tr>
      <w:tr w:rsidR="00B06182" w14:paraId="37FDF464" w14:textId="77777777" w:rsidTr="00B06182">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94E7AD"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03.5</w:t>
            </w: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88B834"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ESF</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0F935C"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Více rozvinuté regiony</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94FC8C" w14:textId="77777777" w:rsidR="00B06182" w:rsidRDefault="00B06182" w:rsidP="00B06182">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A975AD"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7 879 670,00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14607D" w14:textId="577B6716"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50,00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C671CD"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8 283 462,34</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08AFDF" w14:textId="0546B484"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105,12</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4FD527" w14:textId="1DC4BEF7"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8 283 462,34</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B11C86" w14:textId="7B41C58D" w:rsidR="00B06182" w:rsidRDefault="00B0618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3 389 861,16</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A014FA" w14:textId="29F3DC0D"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43,02</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517B90" w14:textId="77777777" w:rsidR="00B06182" w:rsidRDefault="00B06182" w:rsidP="00B06182">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6</w:t>
            </w:r>
          </w:p>
        </w:tc>
      </w:tr>
      <w:tr w:rsidR="00B06182" w14:paraId="6764FB63" w14:textId="77777777" w:rsidTr="00B06182">
        <w:trPr>
          <w:trHeight w:val="353"/>
        </w:trPr>
        <w:tc>
          <w:tcPr>
            <w:tcW w:w="102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957932" w14:textId="77777777" w:rsidR="00E65A62" w:rsidRDefault="00E65A62" w:rsidP="00B158B8">
            <w:pPr>
              <w:tabs>
                <w:tab w:val="left" w:pos="828"/>
              </w:tabs>
              <w:ind w:left="57" w:right="57"/>
              <w:rPr>
                <w:rFonts w:ascii="Arial" w:eastAsia="Arial" w:hAnsi="Arial" w:cs="Arial"/>
                <w:color w:val="000000"/>
                <w:sz w:val="14"/>
              </w:rPr>
            </w:pPr>
          </w:p>
        </w:tc>
        <w:tc>
          <w:tcPr>
            <w:tcW w:w="8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5736FA" w14:textId="77777777" w:rsidR="00E65A62" w:rsidRDefault="00E65A62" w:rsidP="00B158B8">
            <w:pPr>
              <w:tabs>
                <w:tab w:val="left" w:pos="828"/>
              </w:tabs>
              <w:ind w:left="57" w:right="57"/>
              <w:rPr>
                <w:rFonts w:ascii="Arial" w:eastAsia="Arial" w:hAnsi="Arial" w:cs="Arial"/>
                <w:color w:val="000000"/>
                <w:sz w:val="1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E4D70E" w14:textId="77777777" w:rsidR="00E65A62" w:rsidRDefault="00E65A62" w:rsidP="00B158B8">
            <w:pPr>
              <w:tabs>
                <w:tab w:val="left" w:pos="828"/>
              </w:tabs>
              <w:ind w:left="57" w:right="57"/>
              <w:rPr>
                <w:rFonts w:ascii="Arial" w:eastAsia="Arial" w:hAnsi="Arial" w:cs="Arial"/>
                <w:color w:val="000000"/>
                <w:sz w:val="14"/>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1B23CD" w14:textId="77777777" w:rsidR="00E65A62" w:rsidRDefault="00E65A62" w:rsidP="00B158B8">
            <w:pPr>
              <w:tabs>
                <w:tab w:val="left" w:pos="828"/>
              </w:tabs>
              <w:ind w:left="57" w:right="57"/>
              <w:rPr>
                <w:rFonts w:ascii="Arial" w:eastAsia="Arial" w:hAnsi="Arial" w:cs="Arial"/>
                <w:color w:val="000000"/>
                <w:sz w:val="14"/>
              </w:rPr>
            </w:pPr>
            <w:r>
              <w:rPr>
                <w:rFonts w:ascii="Arial" w:eastAsia="Arial" w:hAnsi="Arial" w:cs="Arial"/>
                <w:color w:val="000000"/>
                <w:sz w:val="14"/>
              </w:rPr>
              <w:t>Celkem</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396902" w14:textId="77777777" w:rsidR="00E65A62" w:rsidRDefault="00E65A62" w:rsidP="00B158B8">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2 598 410 025,00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7E3D08" w14:textId="5E06E2B8" w:rsidR="00E65A62" w:rsidRDefault="00E65A62" w:rsidP="00B158B8">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82,58</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F82470" w14:textId="14A1D312" w:rsidR="00E65A62" w:rsidRDefault="00E65A62" w:rsidP="00B06182">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2 632 200 281,21</w:t>
            </w:r>
          </w:p>
        </w:tc>
        <w:tc>
          <w:tcPr>
            <w:tcW w:w="83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9AAFEF" w14:textId="6CDEF15F" w:rsidR="00E65A62" w:rsidRDefault="00B06182" w:rsidP="00B158B8">
            <w:pPr>
              <w:keepNext/>
              <w:keepLines/>
              <w:tabs>
                <w:tab w:val="left" w:pos="828"/>
              </w:tabs>
              <w:ind w:left="57" w:right="57"/>
              <w:jc w:val="right"/>
              <w:rPr>
                <w:rFonts w:ascii="Arial" w:eastAsia="Arial" w:hAnsi="Arial" w:cs="Arial"/>
                <w:color w:val="000000"/>
                <w:sz w:val="14"/>
              </w:rPr>
            </w:pPr>
            <w:r w:rsidRPr="00B06182">
              <w:rPr>
                <w:rFonts w:ascii="Arial" w:eastAsia="Arial" w:hAnsi="Arial" w:cs="Arial"/>
                <w:color w:val="000000"/>
                <w:sz w:val="14"/>
              </w:rPr>
              <w:t>101,3</w:t>
            </w:r>
            <w:r>
              <w:rPr>
                <w:rFonts w:ascii="Arial" w:eastAsia="Arial" w:hAnsi="Arial" w:cs="Arial"/>
                <w:color w:val="000000"/>
                <w:sz w:val="14"/>
              </w:rPr>
              <w:t>0</w:t>
            </w:r>
          </w:p>
        </w:tc>
        <w:tc>
          <w:tcPr>
            <w:tcW w:w="19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5C361A" w14:textId="0CF8E613" w:rsidR="00E65A62" w:rsidRDefault="00E65A62" w:rsidP="00B158B8">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2 594 866 800,30</w:t>
            </w:r>
          </w:p>
        </w:tc>
        <w:tc>
          <w:tcPr>
            <w:tcW w:w="184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94217D" w14:textId="68233E32" w:rsidR="00E65A62" w:rsidRDefault="00E65A62" w:rsidP="00B158B8">
            <w:pPr>
              <w:keepNext/>
              <w:keepLines/>
              <w:tabs>
                <w:tab w:val="left" w:pos="828"/>
              </w:tabs>
              <w:ind w:left="57" w:right="57"/>
              <w:jc w:val="right"/>
              <w:rPr>
                <w:rFonts w:ascii="Arial" w:eastAsia="Arial" w:hAnsi="Arial" w:cs="Arial"/>
                <w:color w:val="000000"/>
                <w:sz w:val="14"/>
              </w:rPr>
            </w:pPr>
            <w:r w:rsidRPr="00E65A62">
              <w:rPr>
                <w:rFonts w:ascii="Arial" w:eastAsia="Arial" w:hAnsi="Arial" w:cs="Arial"/>
                <w:color w:val="000000"/>
                <w:sz w:val="14"/>
              </w:rPr>
              <w:t>1 234 184 606,06</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D5B266" w14:textId="77777777" w:rsidR="00E65A62" w:rsidRDefault="00E65A62" w:rsidP="00B158B8">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47,50</w:t>
            </w:r>
          </w:p>
        </w:tc>
        <w:tc>
          <w:tcPr>
            <w:tcW w:w="9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29A9D3" w14:textId="77777777" w:rsidR="00E65A62" w:rsidRDefault="00E65A62" w:rsidP="00B158B8">
            <w:pPr>
              <w:keepNext/>
              <w:keepLines/>
              <w:tabs>
                <w:tab w:val="left" w:pos="828"/>
              </w:tabs>
              <w:ind w:left="57" w:right="57"/>
              <w:jc w:val="right"/>
              <w:rPr>
                <w:rFonts w:ascii="Arial" w:eastAsia="Arial" w:hAnsi="Arial" w:cs="Arial"/>
                <w:color w:val="000000"/>
                <w:sz w:val="14"/>
              </w:rPr>
            </w:pPr>
            <w:r>
              <w:rPr>
                <w:rFonts w:ascii="Arial" w:eastAsia="Arial" w:hAnsi="Arial" w:cs="Arial"/>
                <w:color w:val="000000"/>
                <w:sz w:val="14"/>
              </w:rPr>
              <w:t>7814</w:t>
            </w:r>
          </w:p>
        </w:tc>
      </w:tr>
    </w:tbl>
    <w:p w14:paraId="07364CFF" w14:textId="77777777" w:rsidR="00A2351A" w:rsidRDefault="00A2351A" w:rsidP="00AE4C46">
      <w:pPr>
        <w:tabs>
          <w:tab w:val="left" w:pos="1675"/>
        </w:tabs>
        <w:ind w:right="108"/>
        <w:rPr>
          <w:rFonts w:ascii="Arial" w:eastAsia="Arial" w:hAnsi="Arial" w:cs="Arial"/>
          <w:color w:val="000000"/>
          <w:sz w:val="20"/>
        </w:rPr>
      </w:pPr>
    </w:p>
    <w:p w14:paraId="1C6DF8C2" w14:textId="461822D5" w:rsidR="00AE4C46" w:rsidRDefault="00EB441F" w:rsidP="00AE4C46">
      <w:pPr>
        <w:tabs>
          <w:tab w:val="left" w:pos="1675"/>
        </w:tabs>
        <w:ind w:left="115" w:right="106"/>
        <w:rPr>
          <w:rFonts w:ascii="Arial" w:eastAsia="Arial" w:hAnsi="Arial" w:cs="Arial"/>
          <w:color w:val="000000"/>
          <w:sz w:val="20"/>
        </w:rPr>
      </w:pPr>
      <w:r w:rsidRPr="00AE4C46">
        <w:rPr>
          <w:rFonts w:ascii="Arial" w:eastAsia="Arial" w:hAnsi="Arial" w:cs="Arial"/>
          <w:color w:val="000000"/>
          <w:sz w:val="20"/>
        </w:rPr>
        <w:t>*</w:t>
      </w:r>
      <w:r w:rsidRPr="00AE4C46">
        <w:rPr>
          <w:rFonts w:ascii="Arial" w:hAnsi="Arial" w:cs="Arial"/>
          <w:sz w:val="16"/>
          <w:szCs w:val="16"/>
        </w:rPr>
        <w:t xml:space="preserve"> </w:t>
      </w:r>
      <w:r w:rsidR="00AE4C46" w:rsidRPr="00AE4C46">
        <w:rPr>
          <w:rFonts w:ascii="Arial" w:hAnsi="Arial" w:cs="Arial"/>
          <w:sz w:val="20"/>
          <w:szCs w:val="20"/>
        </w:rPr>
        <w:t>výpočet sloupce Počet vybraných operací vyplývá z algoritmu nastaveného v MS2014+ a je použit jiný výpočet v případě projektů, které jsou realizovány v obou kategoriích regionů.</w:t>
      </w:r>
    </w:p>
    <w:p w14:paraId="318D42FE" w14:textId="77777777" w:rsidR="00A2351A" w:rsidRDefault="00A2351A">
      <w:pPr>
        <w:tabs>
          <w:tab w:val="left" w:pos="1675"/>
        </w:tabs>
        <w:ind w:left="115" w:right="106"/>
        <w:rPr>
          <w:rFonts w:ascii="Arial" w:eastAsia="Arial" w:hAnsi="Arial" w:cs="Arial"/>
          <w:color w:val="000000"/>
          <w:sz w:val="20"/>
        </w:rPr>
      </w:pPr>
    </w:p>
    <w:p w14:paraId="134FE1A5" w14:textId="77777777" w:rsidR="00A2351A" w:rsidRDefault="002D5C25">
      <w:pPr>
        <w:keepNext/>
        <w:tabs>
          <w:tab w:val="left" w:pos="1675"/>
        </w:tabs>
        <w:ind w:left="115" w:right="106"/>
        <w:rPr>
          <w:rFonts w:ascii="Arial" w:eastAsia="Arial" w:hAnsi="Arial" w:cs="Arial"/>
          <w:b/>
          <w:bCs/>
          <w:i/>
          <w:iCs/>
          <w:color w:val="000000"/>
          <w:sz w:val="20"/>
        </w:rPr>
      </w:pPr>
      <w:r>
        <w:rPr>
          <w:rFonts w:ascii="Arial" w:eastAsia="Arial" w:hAnsi="Arial" w:cs="Arial"/>
          <w:b/>
          <w:bCs/>
          <w:i/>
          <w:iCs/>
          <w:color w:val="000000"/>
          <w:sz w:val="20"/>
        </w:rPr>
        <w:t>Tabulka 7: Rozdělení kumulativních finančních údajů podle kategorie intervencí u EFRR, ESF a Fondu soudržnosti (čl. 112 odst. 1 a 2 nařízení (EU) č. 1303/2013 a článek 5 nařízení (EU) č. 1304/2013)</w:t>
      </w:r>
    </w:p>
    <w:p w14:paraId="7A902279" w14:textId="77777777" w:rsidR="00A2351A" w:rsidRDefault="002D5C25">
      <w:pPr>
        <w:keepNext/>
        <w:tabs>
          <w:tab w:val="left" w:pos="1675"/>
        </w:tabs>
        <w:ind w:left="115" w:right="106"/>
        <w:rPr>
          <w:rFonts w:ascii="Arial" w:eastAsia="Arial" w:hAnsi="Arial" w:cs="Arial"/>
          <w:b/>
          <w:bCs/>
          <w:i/>
          <w:iCs/>
          <w:color w:val="000000"/>
          <w:sz w:val="20"/>
        </w:rPr>
      </w:pPr>
      <w:r>
        <w:rPr>
          <w:rFonts w:ascii="Arial" w:eastAsia="Arial" w:hAnsi="Arial" w:cs="Arial"/>
          <w:b/>
          <w:bCs/>
          <w:i/>
          <w:iCs/>
          <w:color w:val="000000"/>
          <w:sz w:val="20"/>
        </w:rPr>
        <w:t>(jak je stanoveno v tabulce 2 přílohy II prováděcího nařízení Komise (EU) č. 1011/2014)</w:t>
      </w:r>
    </w:p>
    <w:p w14:paraId="06876A41" w14:textId="77777777" w:rsidR="00A2351A" w:rsidRDefault="00A2351A">
      <w:pPr>
        <w:keepNext/>
        <w:tabs>
          <w:tab w:val="left" w:pos="1675"/>
        </w:tabs>
        <w:ind w:left="115" w:right="106"/>
        <w:rPr>
          <w:rFonts w:ascii="Arial" w:eastAsia="Arial" w:hAnsi="Arial" w:cs="Arial"/>
          <w:color w:val="000000"/>
          <w:sz w:val="20"/>
        </w:rPr>
      </w:pPr>
    </w:p>
    <w:p w14:paraId="55E75333" w14:textId="184EDCB8" w:rsidR="00A2351A" w:rsidRDefault="00496C84">
      <w:pPr>
        <w:tabs>
          <w:tab w:val="left" w:pos="1675"/>
        </w:tabs>
        <w:ind w:left="115" w:right="106"/>
        <w:rPr>
          <w:rFonts w:ascii="Arial" w:eastAsia="Arial" w:hAnsi="Arial" w:cs="Arial"/>
          <w:color w:val="000000"/>
          <w:sz w:val="20"/>
        </w:rPr>
      </w:pPr>
      <w:r>
        <w:rPr>
          <w:rFonts w:ascii="Arial" w:eastAsia="Arial" w:hAnsi="Arial" w:cs="Arial"/>
          <w:color w:val="000000"/>
          <w:sz w:val="20"/>
        </w:rPr>
        <w:t xml:space="preserve">Tabulka 7 je uvedena v příloze </w:t>
      </w:r>
      <w:r w:rsidR="008B7797">
        <w:rPr>
          <w:rFonts w:ascii="Arial" w:eastAsia="Arial" w:hAnsi="Arial" w:cs="Arial"/>
          <w:color w:val="000000"/>
          <w:sz w:val="20"/>
        </w:rPr>
        <w:t>č. 3</w:t>
      </w:r>
      <w:r>
        <w:rPr>
          <w:rFonts w:ascii="Arial" w:eastAsia="Arial" w:hAnsi="Arial" w:cs="Arial"/>
          <w:color w:val="000000"/>
          <w:sz w:val="20"/>
        </w:rPr>
        <w:t xml:space="preserve"> této zprávy a to zdůvodu nadměrné velikosti této tabulky.</w:t>
      </w:r>
    </w:p>
    <w:p w14:paraId="4BF592FD" w14:textId="77777777" w:rsidR="00A2351A" w:rsidRDefault="00A2351A" w:rsidP="006F3CBE">
      <w:pPr>
        <w:keepNext/>
        <w:tabs>
          <w:tab w:val="left" w:pos="1675"/>
        </w:tabs>
        <w:ind w:right="106"/>
        <w:rPr>
          <w:rFonts w:ascii="Arial" w:eastAsia="Arial" w:hAnsi="Arial" w:cs="Arial"/>
          <w:color w:val="000000"/>
          <w:sz w:val="20"/>
        </w:rPr>
      </w:pPr>
    </w:p>
    <w:p w14:paraId="2714D52B" w14:textId="77777777" w:rsidR="00A2351A" w:rsidRDefault="002D5C25">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6542A39E" w14:textId="77777777" w:rsidR="00A2351A" w:rsidRDefault="002D5C25">
      <w:pPr>
        <w:keepNext/>
        <w:tabs>
          <w:tab w:val="left" w:pos="1675"/>
        </w:tabs>
        <w:ind w:left="115" w:right="529"/>
        <w:rPr>
          <w:rFonts w:ascii="Arial" w:eastAsia="Arial" w:hAnsi="Arial" w:cs="Arial"/>
          <w:color w:val="000000"/>
          <w:sz w:val="16"/>
        </w:rPr>
      </w:pPr>
      <w:r>
        <w:rPr>
          <w:rFonts w:ascii="Arial" w:eastAsia="Arial" w:hAnsi="Arial" w:cs="Arial"/>
          <w:color w:val="000000"/>
          <w:sz w:val="16"/>
        </w:rPr>
        <w:t xml:space="preserve">10 - Strukturované údaje požadované pro zprávu o YEI, která má být předložena v dubnu 2015 v souladu s čl. 19 odst. 3 a přílohou II nařízení (EU) č. 1304/2013. </w:t>
      </w:r>
    </w:p>
    <w:p w14:paraId="488BCBCD" w14:textId="77777777" w:rsidR="00A2351A" w:rsidRDefault="002D5C25">
      <w:pPr>
        <w:keepNext/>
        <w:tabs>
          <w:tab w:val="left" w:pos="1675"/>
        </w:tabs>
        <w:ind w:left="115" w:right="529"/>
        <w:rPr>
          <w:rFonts w:ascii="Arial" w:eastAsia="Arial" w:hAnsi="Arial" w:cs="Arial"/>
          <w:color w:val="000000"/>
          <w:sz w:val="16"/>
        </w:rPr>
      </w:pPr>
      <w:r>
        <w:rPr>
          <w:rFonts w:ascii="Arial" w:eastAsia="Arial" w:hAnsi="Arial" w:cs="Arial"/>
          <w:color w:val="000000"/>
          <w:sz w:val="16"/>
        </w:rPr>
        <w:t>11 - Prováděcí nařízení Komise (EU) č. 1011/2014 ze dne 22. září 2014, kterým se stanoví prováděcí pravidla k nařízení Evropského parlamentu a Rady (EU) č. 1303/2013, pokud jde o vzory pro předkládání určitých informací Komisi, a podrobná pravidla týkající se výměny informací mezi příjemci a řídicími orgány, certifikačními orgány, auditními orgány a zprostředkujícími subjekty (Úř. věst. L 286, 30.9.2014, s. 1).</w:t>
      </w:r>
    </w:p>
    <w:p w14:paraId="0F4BD1FB" w14:textId="77777777" w:rsidR="00A2351A" w:rsidRDefault="002D5C25">
      <w:r>
        <w:br w:type="page"/>
      </w:r>
    </w:p>
    <w:p w14:paraId="6AC34F7D" w14:textId="77777777" w:rsidR="00A2351A" w:rsidRDefault="00A2351A">
      <w:pPr>
        <w:tabs>
          <w:tab w:val="left" w:pos="1675"/>
        </w:tabs>
        <w:ind w:left="115" w:right="106"/>
        <w:rPr>
          <w:rFonts w:ascii="Arial" w:eastAsia="Arial" w:hAnsi="Arial" w:cs="Arial"/>
          <w:color w:val="000000"/>
          <w:sz w:val="20"/>
        </w:rPr>
      </w:pPr>
    </w:p>
    <w:p w14:paraId="61CD6F49" w14:textId="77777777" w:rsidR="00A2351A" w:rsidRDefault="002D5C25">
      <w:pPr>
        <w:keepNext/>
        <w:tabs>
          <w:tab w:val="left" w:pos="1675"/>
        </w:tabs>
        <w:ind w:left="115" w:right="106"/>
        <w:rPr>
          <w:rFonts w:ascii="Arial" w:eastAsia="Arial" w:hAnsi="Arial" w:cs="Arial"/>
          <w:b/>
          <w:bCs/>
          <w:i/>
          <w:iCs/>
          <w:color w:val="000000"/>
          <w:sz w:val="16"/>
        </w:rPr>
      </w:pPr>
      <w:r>
        <w:rPr>
          <w:rFonts w:ascii="Arial" w:eastAsia="Arial" w:hAnsi="Arial" w:cs="Arial"/>
          <w:b/>
          <w:bCs/>
          <w:i/>
          <w:iCs/>
          <w:color w:val="000000"/>
          <w:sz w:val="20"/>
        </w:rPr>
        <w:t xml:space="preserve">Tabulka 8: Využití křížového financování </w:t>
      </w:r>
      <w:r>
        <w:rPr>
          <w:rFonts w:ascii="Arial" w:eastAsia="Arial" w:hAnsi="Arial" w:cs="Arial"/>
          <w:b/>
          <w:bCs/>
          <w:i/>
          <w:iCs/>
          <w:color w:val="000000"/>
          <w:sz w:val="16"/>
        </w:rPr>
        <w:t>(12)</w:t>
      </w:r>
    </w:p>
    <w:tbl>
      <w:tblPr>
        <w:tblW w:w="0" w:type="auto"/>
        <w:tblInd w:w="58" w:type="dxa"/>
        <w:tblLayout w:type="fixed"/>
        <w:tblCellMar>
          <w:left w:w="0" w:type="dxa"/>
          <w:right w:w="0" w:type="dxa"/>
        </w:tblCellMar>
        <w:tblLook w:val="04A0" w:firstRow="1" w:lastRow="0" w:firstColumn="1" w:lastColumn="0" w:noHBand="0" w:noVBand="1"/>
      </w:tblPr>
      <w:tblGrid>
        <w:gridCol w:w="4463"/>
        <w:gridCol w:w="2033"/>
        <w:gridCol w:w="2083"/>
        <w:gridCol w:w="2083"/>
        <w:gridCol w:w="2083"/>
        <w:gridCol w:w="2221"/>
      </w:tblGrid>
      <w:tr w:rsidR="002C20B5" w14:paraId="77756BAD" w14:textId="77777777" w:rsidTr="002C20B5">
        <w:trPr>
          <w:tblHeader/>
        </w:trPr>
        <w:tc>
          <w:tcPr>
            <w:tcW w:w="4463" w:type="dxa"/>
            <w:tcBorders>
              <w:top w:val="single" w:sz="4" w:space="0" w:color="000000"/>
              <w:left w:val="single" w:sz="4" w:space="0" w:color="000000"/>
              <w:bottom w:val="single" w:sz="4" w:space="0" w:color="000000"/>
              <w:right w:val="single" w:sz="4" w:space="0" w:color="000000"/>
            </w:tcBorders>
            <w:shd w:val="clear" w:color="auto" w:fill="FFFFFF"/>
          </w:tcPr>
          <w:p w14:paraId="5593F91B" w14:textId="77777777" w:rsidR="002C20B5" w:rsidRDefault="002C20B5" w:rsidP="002C20B5">
            <w:pPr>
              <w:tabs>
                <w:tab w:val="left" w:pos="828"/>
              </w:tabs>
              <w:ind w:left="57" w:right="57"/>
              <w:jc w:val="center"/>
              <w:rPr>
                <w:rFonts w:ascii="Arial" w:eastAsia="Arial" w:hAnsi="Arial" w:cs="Arial"/>
                <w:b/>
                <w:bCs/>
                <w:color w:val="000000"/>
                <w:sz w:val="14"/>
              </w:rPr>
            </w:pPr>
            <w:bookmarkStart w:id="13" w:name="OLE_LINK5"/>
            <w:r>
              <w:rPr>
                <w:rFonts w:ascii="Arial" w:eastAsia="Arial" w:hAnsi="Arial" w:cs="Arial"/>
                <w:b/>
                <w:bCs/>
                <w:color w:val="000000"/>
                <w:sz w:val="14"/>
              </w:rPr>
              <w:t>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tcPr>
          <w:p w14:paraId="28C85840"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2.</w:t>
            </w:r>
          </w:p>
        </w:tc>
        <w:tc>
          <w:tcPr>
            <w:tcW w:w="2083" w:type="dxa"/>
            <w:tcBorders>
              <w:top w:val="single" w:sz="4" w:space="0" w:color="000000"/>
              <w:left w:val="single" w:sz="4" w:space="0" w:color="000000"/>
              <w:bottom w:val="single" w:sz="4" w:space="0" w:color="000000"/>
              <w:right w:val="single" w:sz="4" w:space="0" w:color="000000"/>
            </w:tcBorders>
            <w:shd w:val="clear" w:color="auto" w:fill="FFFFFF"/>
          </w:tcPr>
          <w:p w14:paraId="28EE681E"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3.</w:t>
            </w:r>
          </w:p>
        </w:tc>
        <w:tc>
          <w:tcPr>
            <w:tcW w:w="2083" w:type="dxa"/>
            <w:tcBorders>
              <w:top w:val="single" w:sz="4" w:space="0" w:color="000000"/>
              <w:left w:val="single" w:sz="4" w:space="0" w:color="000000"/>
              <w:bottom w:val="single" w:sz="4" w:space="0" w:color="000000"/>
              <w:right w:val="single" w:sz="4" w:space="0" w:color="000000"/>
            </w:tcBorders>
            <w:shd w:val="clear" w:color="auto" w:fill="FFFFFF"/>
          </w:tcPr>
          <w:p w14:paraId="5D1D0AB5"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4.</w:t>
            </w:r>
          </w:p>
        </w:tc>
        <w:tc>
          <w:tcPr>
            <w:tcW w:w="2083" w:type="dxa"/>
            <w:tcBorders>
              <w:top w:val="single" w:sz="4" w:space="0" w:color="000000"/>
              <w:left w:val="single" w:sz="4" w:space="0" w:color="000000"/>
              <w:bottom w:val="single" w:sz="4" w:space="0" w:color="000000"/>
              <w:right w:val="single" w:sz="4" w:space="0" w:color="000000"/>
            </w:tcBorders>
            <w:shd w:val="clear" w:color="auto" w:fill="FFFFFF"/>
          </w:tcPr>
          <w:p w14:paraId="3E30AA5B"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5.</w:t>
            </w:r>
          </w:p>
        </w:tc>
        <w:tc>
          <w:tcPr>
            <w:tcW w:w="2221" w:type="dxa"/>
            <w:tcBorders>
              <w:top w:val="single" w:sz="4" w:space="0" w:color="000000"/>
              <w:left w:val="single" w:sz="4" w:space="0" w:color="000000"/>
              <w:bottom w:val="single" w:sz="4" w:space="0" w:color="000000"/>
              <w:right w:val="single" w:sz="4" w:space="0" w:color="000000"/>
            </w:tcBorders>
            <w:shd w:val="clear" w:color="auto" w:fill="FFFFFF"/>
          </w:tcPr>
          <w:p w14:paraId="6C042E69"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6.</w:t>
            </w:r>
          </w:p>
        </w:tc>
      </w:tr>
      <w:tr w:rsidR="002C20B5" w14:paraId="39D2180B" w14:textId="77777777" w:rsidTr="002C20B5">
        <w:trPr>
          <w:tblHeader/>
        </w:trPr>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B0BDA9"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Využití křížového financování</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68F94E"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Prioritní osa</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30D106"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Výše podpory EU, která má být použita na křížové financování na základě vybraných operací</w:t>
            </w:r>
            <w:r>
              <w:rPr>
                <w:rFonts w:ascii="Arial" w:eastAsia="Arial" w:hAnsi="Arial" w:cs="Arial"/>
                <w:b/>
                <w:bCs/>
                <w:color w:val="000000"/>
                <w:sz w:val="9"/>
                <w:vertAlign w:val="superscript"/>
              </w:rPr>
              <w:t xml:space="preserve"> </w:t>
            </w:r>
            <w:r>
              <w:rPr>
                <w:rFonts w:ascii="Arial" w:eastAsia="Arial" w:hAnsi="Arial" w:cs="Arial"/>
                <w:b/>
                <w:bCs/>
                <w:color w:val="000000"/>
                <w:sz w:val="14"/>
              </w:rPr>
              <w:t>(2) (v EUR)</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F82AF"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Podíl podpory EU pro prioritní osu</w:t>
            </w:r>
          </w:p>
          <w:p w14:paraId="59D5538E"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 %)</w:t>
            </w:r>
          </w:p>
          <w:p w14:paraId="67F36293"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(3/podpora EU pro prioritní osu x 100)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198222"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Výše podpory EU využité v rámci křížového financování na základě způsobilých výdajů, které příjemce vykázal řídicímu orgánu (v EUR)</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A23F4D"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Podíl podpory EU pro prioritní osu</w:t>
            </w:r>
          </w:p>
          <w:p w14:paraId="3B6324A5"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 %)</w:t>
            </w:r>
          </w:p>
          <w:p w14:paraId="6581A634" w14:textId="77777777" w:rsidR="002C20B5" w:rsidRDefault="002C20B5" w:rsidP="002C20B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(5/podpora EU pro prioritní osu x 100)</w:t>
            </w:r>
          </w:p>
        </w:tc>
      </w:tr>
      <w:tr w:rsidR="00044B56" w14:paraId="1F275898" w14:textId="77777777" w:rsidTr="00044B56">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F14133" w14:textId="77777777" w:rsidR="00044B56" w:rsidRDefault="00044B56" w:rsidP="00044B56">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5F2E41" w14:textId="77777777" w:rsidR="00044B56" w:rsidRDefault="00044B56" w:rsidP="00044B56">
            <w:pPr>
              <w:ind w:left="57" w:right="57"/>
              <w:rPr>
                <w:rFonts w:ascii="Arial" w:eastAsia="Arial" w:hAnsi="Arial" w:cs="Arial"/>
                <w:color w:val="000000"/>
                <w:sz w:val="14"/>
              </w:rPr>
            </w:pPr>
            <w:r>
              <w:rPr>
                <w:rFonts w:ascii="Arial" w:eastAsia="Arial" w:hAnsi="Arial" w:cs="Arial"/>
                <w:color w:val="000000"/>
                <w:sz w:val="14"/>
              </w:rPr>
              <w:t>03.1</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7E163B" w14:textId="6B4759C3"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4 410 051,67</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27AC20" w14:textId="096A7237"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0,37</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0332FF" w14:textId="18E6AA87"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4 108 860,37</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C845B6" w14:textId="0B13ACF2"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0,35</w:t>
            </w:r>
          </w:p>
        </w:tc>
      </w:tr>
      <w:tr w:rsidR="00044B56" w14:paraId="532720D3" w14:textId="77777777" w:rsidTr="00044B56">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E9443" w14:textId="77777777" w:rsidR="00044B56" w:rsidRDefault="00044B56" w:rsidP="00044B56">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0AAE65" w14:textId="77777777" w:rsidR="00044B56" w:rsidRDefault="00044B56" w:rsidP="00044B56">
            <w:pPr>
              <w:ind w:left="57" w:right="57"/>
              <w:rPr>
                <w:rFonts w:ascii="Arial" w:eastAsia="Arial" w:hAnsi="Arial" w:cs="Arial"/>
                <w:color w:val="000000"/>
                <w:sz w:val="14"/>
              </w:rPr>
            </w:pPr>
            <w:r>
              <w:rPr>
                <w:rFonts w:ascii="Arial" w:eastAsia="Arial" w:hAnsi="Arial" w:cs="Arial"/>
                <w:color w:val="000000"/>
                <w:sz w:val="14"/>
              </w:rPr>
              <w:t>03.2</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153A6" w14:textId="7FD84E90" w:rsidR="00044B56" w:rsidRPr="00044B56" w:rsidRDefault="00044B56" w:rsidP="00044B56">
            <w:pPr>
              <w:ind w:left="57" w:right="57"/>
              <w:jc w:val="right"/>
              <w:rPr>
                <w:rFonts w:ascii="Arial" w:eastAsia="Arial" w:hAnsi="Arial" w:cs="Arial"/>
                <w:color w:val="000000"/>
                <w:sz w:val="14"/>
              </w:rPr>
            </w:pPr>
            <w:r>
              <w:rPr>
                <w:rFonts w:ascii="Arial" w:eastAsia="Arial" w:hAnsi="Arial" w:cs="Arial"/>
                <w:color w:val="000000"/>
                <w:sz w:val="14"/>
              </w:rPr>
              <w:t>12 </w:t>
            </w:r>
            <w:r w:rsidRPr="00044B56">
              <w:rPr>
                <w:rFonts w:ascii="Arial" w:eastAsia="Arial" w:hAnsi="Arial" w:cs="Arial"/>
                <w:color w:val="000000"/>
                <w:sz w:val="14"/>
              </w:rPr>
              <w:t>1</w:t>
            </w:r>
            <w:r>
              <w:rPr>
                <w:rFonts w:ascii="Arial" w:eastAsia="Arial" w:hAnsi="Arial" w:cs="Arial"/>
                <w:color w:val="000000"/>
                <w:sz w:val="14"/>
              </w:rPr>
              <w:t>29 191</w:t>
            </w:r>
            <w:r w:rsidRPr="00044B56">
              <w:rPr>
                <w:rFonts w:ascii="Arial" w:eastAsia="Arial" w:hAnsi="Arial" w:cs="Arial"/>
                <w:color w:val="000000"/>
                <w:sz w:val="14"/>
              </w:rPr>
              <w:t>,</w:t>
            </w:r>
            <w:r>
              <w:rPr>
                <w:rFonts w:ascii="Arial" w:eastAsia="Arial" w:hAnsi="Arial" w:cs="Arial"/>
                <w:color w:val="000000"/>
                <w:sz w:val="14"/>
              </w:rPr>
              <w:t>03</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82E3EB" w14:textId="38042C5E" w:rsidR="00044B56" w:rsidRPr="00044B56" w:rsidRDefault="00044B56" w:rsidP="00044B56">
            <w:pPr>
              <w:ind w:left="57" w:right="57"/>
              <w:jc w:val="right"/>
              <w:rPr>
                <w:rFonts w:ascii="Arial" w:eastAsia="Arial" w:hAnsi="Arial" w:cs="Arial"/>
                <w:color w:val="000000"/>
                <w:sz w:val="14"/>
              </w:rPr>
            </w:pPr>
            <w:r>
              <w:rPr>
                <w:rFonts w:ascii="Arial" w:eastAsia="Arial" w:hAnsi="Arial" w:cs="Arial"/>
                <w:color w:val="000000"/>
                <w:sz w:val="14"/>
              </w:rPr>
              <w:t>2,15</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6E7555" w14:textId="24D7C17B"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19 178,55</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97F1E2" w14:textId="4AF2D253"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r>
      <w:tr w:rsidR="00044B56" w14:paraId="086B9F51" w14:textId="77777777" w:rsidTr="00044B56">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3218F" w14:textId="77777777" w:rsidR="00044B56" w:rsidRDefault="00044B56" w:rsidP="00044B56">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CB3BCD" w14:textId="77777777" w:rsidR="00044B56" w:rsidRDefault="00044B56" w:rsidP="00044B56">
            <w:pPr>
              <w:ind w:left="57" w:right="57"/>
              <w:rPr>
                <w:rFonts w:ascii="Arial" w:eastAsia="Arial" w:hAnsi="Arial" w:cs="Arial"/>
                <w:color w:val="000000"/>
                <w:sz w:val="14"/>
              </w:rPr>
            </w:pPr>
            <w:r>
              <w:rPr>
                <w:rFonts w:ascii="Arial" w:eastAsia="Arial" w:hAnsi="Arial" w:cs="Arial"/>
                <w:color w:val="000000"/>
                <w:sz w:val="14"/>
              </w:rPr>
              <w:t>03.3</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C1DA94" w14:textId="7FC10AC1"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3 606,24</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B0E9A" w14:textId="78632CCB"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0,01</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9BCB36" w14:textId="7DC54080"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CFC955" w14:textId="5C10E99E"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r>
      <w:tr w:rsidR="00044B56" w14:paraId="26C227CF" w14:textId="77777777" w:rsidTr="00044B56">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CBAD4F" w14:textId="77777777" w:rsidR="00044B56" w:rsidRDefault="00044B56" w:rsidP="00044B56">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C48318" w14:textId="77777777" w:rsidR="00044B56" w:rsidRDefault="00044B56" w:rsidP="00044B56">
            <w:pPr>
              <w:ind w:left="57" w:right="57"/>
              <w:rPr>
                <w:rFonts w:ascii="Arial" w:eastAsia="Arial" w:hAnsi="Arial" w:cs="Arial"/>
                <w:color w:val="000000"/>
                <w:sz w:val="14"/>
              </w:rPr>
            </w:pPr>
            <w:r>
              <w:rPr>
                <w:rFonts w:ascii="Arial" w:eastAsia="Arial" w:hAnsi="Arial" w:cs="Arial"/>
                <w:color w:val="000000"/>
                <w:sz w:val="14"/>
              </w:rPr>
              <w:t>03.4</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60FEE" w14:textId="019C7BB9"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1 994,21</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FDD9A1" w14:textId="06595378"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92C9DB" w14:textId="5FF6F26E"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6C4A2" w14:textId="0C12B2B1"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r>
      <w:tr w:rsidR="00044B56" w14:paraId="08721103" w14:textId="77777777" w:rsidTr="00044B56">
        <w:tc>
          <w:tcPr>
            <w:tcW w:w="44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7E0971" w14:textId="77777777" w:rsidR="00044B56" w:rsidRDefault="00044B56" w:rsidP="00044B56">
            <w:pPr>
              <w:tabs>
                <w:tab w:val="left" w:pos="828"/>
              </w:tabs>
              <w:ind w:left="57" w:right="57"/>
              <w:rPr>
                <w:rFonts w:ascii="Arial" w:eastAsia="Arial" w:hAnsi="Arial" w:cs="Arial"/>
                <w:color w:val="000000"/>
                <w:sz w:val="14"/>
              </w:rPr>
            </w:pPr>
            <w:r>
              <w:rPr>
                <w:rFonts w:ascii="Arial" w:eastAsia="Arial" w:hAnsi="Arial" w:cs="Arial"/>
                <w:color w:val="000000"/>
                <w:sz w:val="14"/>
              </w:rPr>
              <w:t>Křížové financování: náklady způsobilé pro podporu na základě EFRR, avšak podpořené z ESF (1)</w:t>
            </w:r>
          </w:p>
        </w:tc>
        <w:tc>
          <w:tcPr>
            <w:tcW w:w="20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3CF457" w14:textId="77777777" w:rsidR="00044B56" w:rsidRDefault="00044B56" w:rsidP="00044B56">
            <w:pPr>
              <w:ind w:left="57" w:right="57"/>
              <w:rPr>
                <w:rFonts w:ascii="Arial" w:eastAsia="Arial" w:hAnsi="Arial" w:cs="Arial"/>
                <w:color w:val="000000"/>
                <w:sz w:val="14"/>
              </w:rPr>
            </w:pPr>
            <w:r>
              <w:rPr>
                <w:rFonts w:ascii="Arial" w:eastAsia="Arial" w:hAnsi="Arial" w:cs="Arial"/>
                <w:color w:val="000000"/>
                <w:sz w:val="14"/>
              </w:rPr>
              <w:t>03.5</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76819A" w14:textId="63763E41"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56C7A2" w14:textId="7328B380"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c>
          <w:tcPr>
            <w:tcW w:w="20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359820" w14:textId="3C7DFD8A"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c>
          <w:tcPr>
            <w:tcW w:w="22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19CA48" w14:textId="374F846C" w:rsidR="00044B56" w:rsidRPr="00044B56" w:rsidRDefault="00044B56" w:rsidP="00044B56">
            <w:pPr>
              <w:ind w:left="57" w:right="57"/>
              <w:jc w:val="right"/>
              <w:rPr>
                <w:rFonts w:ascii="Arial" w:eastAsia="Arial" w:hAnsi="Arial" w:cs="Arial"/>
                <w:color w:val="000000"/>
                <w:sz w:val="14"/>
              </w:rPr>
            </w:pPr>
            <w:r w:rsidRPr="00044B56">
              <w:rPr>
                <w:rFonts w:ascii="Arial" w:eastAsia="Arial" w:hAnsi="Arial" w:cs="Arial"/>
                <w:color w:val="000000"/>
                <w:sz w:val="14"/>
              </w:rPr>
              <w:t>0,00</w:t>
            </w:r>
          </w:p>
        </w:tc>
      </w:tr>
      <w:bookmarkEnd w:id="13"/>
    </w:tbl>
    <w:p w14:paraId="21332D8C" w14:textId="692C56FA" w:rsidR="00A2351A" w:rsidRPr="002C20B5" w:rsidRDefault="00A2351A" w:rsidP="002C20B5">
      <w:pPr>
        <w:keepNext/>
        <w:tabs>
          <w:tab w:val="left" w:pos="1675"/>
        </w:tabs>
        <w:ind w:left="115" w:right="106"/>
        <w:rPr>
          <w:rFonts w:ascii="Arial" w:eastAsia="Arial" w:hAnsi="Arial" w:cs="Arial"/>
          <w:b/>
          <w:bCs/>
          <w:i/>
          <w:iCs/>
          <w:color w:val="000000"/>
          <w:sz w:val="16"/>
        </w:rPr>
      </w:pPr>
    </w:p>
    <w:p w14:paraId="7CC27DCF" w14:textId="77777777" w:rsidR="00A2351A" w:rsidRDefault="002D5C25">
      <w:pPr>
        <w:keepNext/>
        <w:tabs>
          <w:tab w:val="left" w:pos="534"/>
        </w:tabs>
        <w:ind w:left="115" w:right="812"/>
        <w:rPr>
          <w:rFonts w:ascii="Arial" w:eastAsia="Arial" w:hAnsi="Arial" w:cs="Arial"/>
          <w:color w:val="000000"/>
          <w:sz w:val="16"/>
        </w:rPr>
      </w:pPr>
      <w:r>
        <w:rPr>
          <w:rFonts w:ascii="Arial" w:eastAsia="Arial" w:hAnsi="Arial" w:cs="Arial"/>
          <w:color w:val="000000"/>
          <w:sz w:val="16"/>
        </w:rPr>
        <w:t>1</w:t>
      </w:r>
      <w:r>
        <w:rPr>
          <w:rFonts w:ascii="Arial" w:eastAsia="Arial" w:hAnsi="Arial" w:cs="Arial"/>
          <w:color w:val="000000"/>
          <w:sz w:val="16"/>
        </w:rPr>
        <w:tab/>
        <w:t>Není-li možné stanovit přesné částky předem, před provedením operace, měla by být zpráva založena na stropech platných pro danou operaci, tj. pokud může operace EFRR zahrnovat až 20 % výdajů typu ESF, měla by zpráva vycházet z předpokladu, že za tímto účelem lze použít celých 20 %. Pokud byla operace dokončena, měly by údaje použité pro tento sloupec vycházet z reálných nákladů, které příjemci vznikly.</w:t>
      </w:r>
    </w:p>
    <w:p w14:paraId="4C615E84" w14:textId="77777777" w:rsidR="00A2351A" w:rsidRDefault="002D5C25">
      <w:pPr>
        <w:keepNext/>
        <w:tabs>
          <w:tab w:val="left" w:pos="534"/>
        </w:tabs>
        <w:ind w:left="115" w:right="812"/>
        <w:rPr>
          <w:rFonts w:ascii="Arial" w:eastAsia="Arial" w:hAnsi="Arial" w:cs="Arial"/>
          <w:color w:val="000000"/>
          <w:sz w:val="16"/>
        </w:rPr>
      </w:pPr>
      <w:r>
        <w:rPr>
          <w:rFonts w:ascii="Arial" w:eastAsia="Arial" w:hAnsi="Arial" w:cs="Arial"/>
          <w:color w:val="000000"/>
          <w:sz w:val="16"/>
        </w:rPr>
        <w:t>2</w:t>
      </w:r>
      <w:r>
        <w:rPr>
          <w:rFonts w:ascii="Arial" w:eastAsia="Arial" w:hAnsi="Arial" w:cs="Arial"/>
          <w:color w:val="000000"/>
          <w:sz w:val="16"/>
        </w:rPr>
        <w:tab/>
        <w:t>Čl. 98 odst. 2 nařízení (EU) č. 1303/2013.</w:t>
      </w:r>
    </w:p>
    <w:p w14:paraId="4E73D295" w14:textId="77777777" w:rsidR="00A2351A" w:rsidRDefault="00A2351A">
      <w:pPr>
        <w:tabs>
          <w:tab w:val="left" w:pos="1675"/>
        </w:tabs>
        <w:ind w:left="115" w:right="106"/>
        <w:rPr>
          <w:rFonts w:ascii="Arial" w:eastAsia="Arial" w:hAnsi="Arial" w:cs="Arial"/>
          <w:color w:val="000000"/>
          <w:sz w:val="20"/>
        </w:rPr>
      </w:pPr>
    </w:p>
    <w:p w14:paraId="7562DE27" w14:textId="77777777" w:rsidR="00496C84" w:rsidRDefault="00496C84">
      <w:pPr>
        <w:tabs>
          <w:tab w:val="left" w:pos="1675"/>
        </w:tabs>
        <w:ind w:left="115" w:right="106"/>
        <w:rPr>
          <w:rFonts w:ascii="Arial" w:eastAsia="Arial" w:hAnsi="Arial" w:cs="Arial"/>
          <w:color w:val="000000"/>
          <w:sz w:val="20"/>
        </w:rPr>
      </w:pPr>
    </w:p>
    <w:p w14:paraId="7891B5A5" w14:textId="77777777" w:rsidR="00496C84" w:rsidRDefault="00496C84">
      <w:pPr>
        <w:tabs>
          <w:tab w:val="left" w:pos="1675"/>
        </w:tabs>
        <w:ind w:left="115" w:right="106"/>
        <w:rPr>
          <w:rFonts w:ascii="Arial" w:eastAsia="Arial" w:hAnsi="Arial" w:cs="Arial"/>
          <w:color w:val="000000"/>
          <w:sz w:val="20"/>
        </w:rPr>
      </w:pPr>
    </w:p>
    <w:p w14:paraId="415E7D18" w14:textId="77777777" w:rsidR="00496C84" w:rsidRDefault="00496C84">
      <w:pPr>
        <w:tabs>
          <w:tab w:val="left" w:pos="1675"/>
        </w:tabs>
        <w:ind w:left="115" w:right="106"/>
        <w:rPr>
          <w:rFonts w:ascii="Arial" w:eastAsia="Arial" w:hAnsi="Arial" w:cs="Arial"/>
          <w:color w:val="000000"/>
          <w:sz w:val="20"/>
        </w:rPr>
      </w:pPr>
    </w:p>
    <w:p w14:paraId="3BF181A1" w14:textId="77777777" w:rsidR="00496C84" w:rsidRDefault="00496C84">
      <w:pPr>
        <w:tabs>
          <w:tab w:val="left" w:pos="1675"/>
        </w:tabs>
        <w:ind w:left="115" w:right="106"/>
        <w:rPr>
          <w:rFonts w:ascii="Arial" w:eastAsia="Arial" w:hAnsi="Arial" w:cs="Arial"/>
          <w:color w:val="000000"/>
          <w:sz w:val="20"/>
        </w:rPr>
      </w:pPr>
    </w:p>
    <w:p w14:paraId="1CBD123C" w14:textId="77777777" w:rsidR="00496C84" w:rsidRDefault="00496C84">
      <w:pPr>
        <w:tabs>
          <w:tab w:val="left" w:pos="1675"/>
        </w:tabs>
        <w:ind w:left="115" w:right="106"/>
        <w:rPr>
          <w:rFonts w:ascii="Arial" w:eastAsia="Arial" w:hAnsi="Arial" w:cs="Arial"/>
          <w:color w:val="000000"/>
          <w:sz w:val="20"/>
        </w:rPr>
      </w:pPr>
    </w:p>
    <w:p w14:paraId="05DFAC3E" w14:textId="77777777" w:rsidR="00496C84" w:rsidRDefault="00496C84">
      <w:pPr>
        <w:tabs>
          <w:tab w:val="left" w:pos="1675"/>
        </w:tabs>
        <w:ind w:left="115" w:right="106"/>
        <w:rPr>
          <w:rFonts w:ascii="Arial" w:eastAsia="Arial" w:hAnsi="Arial" w:cs="Arial"/>
          <w:color w:val="000000"/>
          <w:sz w:val="20"/>
        </w:rPr>
      </w:pPr>
    </w:p>
    <w:p w14:paraId="43667EEA" w14:textId="77777777" w:rsidR="00496C84" w:rsidRDefault="00496C84">
      <w:pPr>
        <w:tabs>
          <w:tab w:val="left" w:pos="1675"/>
        </w:tabs>
        <w:ind w:left="115" w:right="106"/>
        <w:rPr>
          <w:rFonts w:ascii="Arial" w:eastAsia="Arial" w:hAnsi="Arial" w:cs="Arial"/>
          <w:color w:val="000000"/>
          <w:sz w:val="20"/>
        </w:rPr>
      </w:pPr>
    </w:p>
    <w:p w14:paraId="75DBA65B" w14:textId="77777777" w:rsidR="00496C84" w:rsidRDefault="00496C84">
      <w:pPr>
        <w:tabs>
          <w:tab w:val="left" w:pos="1675"/>
        </w:tabs>
        <w:ind w:left="115" w:right="106"/>
        <w:rPr>
          <w:rFonts w:ascii="Arial" w:eastAsia="Arial" w:hAnsi="Arial" w:cs="Arial"/>
          <w:color w:val="000000"/>
          <w:sz w:val="20"/>
        </w:rPr>
      </w:pPr>
    </w:p>
    <w:p w14:paraId="447DFEEE" w14:textId="77777777" w:rsidR="00496C84" w:rsidRDefault="00496C84">
      <w:pPr>
        <w:tabs>
          <w:tab w:val="left" w:pos="1675"/>
        </w:tabs>
        <w:ind w:left="115" w:right="106"/>
        <w:rPr>
          <w:rFonts w:ascii="Arial" w:eastAsia="Arial" w:hAnsi="Arial" w:cs="Arial"/>
          <w:color w:val="000000"/>
          <w:sz w:val="20"/>
        </w:rPr>
      </w:pPr>
    </w:p>
    <w:p w14:paraId="7C20F572" w14:textId="77777777" w:rsidR="00496C84" w:rsidRDefault="00496C84">
      <w:pPr>
        <w:tabs>
          <w:tab w:val="left" w:pos="1675"/>
        </w:tabs>
        <w:ind w:left="115" w:right="106"/>
        <w:rPr>
          <w:rFonts w:ascii="Arial" w:eastAsia="Arial" w:hAnsi="Arial" w:cs="Arial"/>
          <w:color w:val="000000"/>
          <w:sz w:val="20"/>
        </w:rPr>
      </w:pPr>
    </w:p>
    <w:p w14:paraId="66536D9F" w14:textId="77777777" w:rsidR="00496C84" w:rsidRDefault="00496C84">
      <w:pPr>
        <w:tabs>
          <w:tab w:val="left" w:pos="1675"/>
        </w:tabs>
        <w:ind w:left="115" w:right="106"/>
        <w:rPr>
          <w:rFonts w:ascii="Arial" w:eastAsia="Arial" w:hAnsi="Arial" w:cs="Arial"/>
          <w:color w:val="000000"/>
          <w:sz w:val="20"/>
        </w:rPr>
      </w:pPr>
    </w:p>
    <w:p w14:paraId="2C2FD1BA" w14:textId="77777777" w:rsidR="00496C84" w:rsidRDefault="00496C84">
      <w:pPr>
        <w:tabs>
          <w:tab w:val="left" w:pos="1675"/>
        </w:tabs>
        <w:ind w:left="115" w:right="106"/>
        <w:rPr>
          <w:rFonts w:ascii="Arial" w:eastAsia="Arial" w:hAnsi="Arial" w:cs="Arial"/>
          <w:color w:val="000000"/>
          <w:sz w:val="20"/>
        </w:rPr>
      </w:pPr>
    </w:p>
    <w:p w14:paraId="213FC5B2" w14:textId="77777777" w:rsidR="00496C84" w:rsidRDefault="00496C84">
      <w:pPr>
        <w:tabs>
          <w:tab w:val="left" w:pos="1675"/>
        </w:tabs>
        <w:ind w:left="115" w:right="106"/>
        <w:rPr>
          <w:rFonts w:ascii="Arial" w:eastAsia="Arial" w:hAnsi="Arial" w:cs="Arial"/>
          <w:color w:val="000000"/>
          <w:sz w:val="20"/>
        </w:rPr>
      </w:pPr>
    </w:p>
    <w:p w14:paraId="15020FCF" w14:textId="77777777" w:rsidR="00496C84" w:rsidRDefault="00496C84">
      <w:pPr>
        <w:tabs>
          <w:tab w:val="left" w:pos="1675"/>
        </w:tabs>
        <w:ind w:left="115" w:right="106"/>
        <w:rPr>
          <w:rFonts w:ascii="Arial" w:eastAsia="Arial" w:hAnsi="Arial" w:cs="Arial"/>
          <w:color w:val="000000"/>
          <w:sz w:val="20"/>
        </w:rPr>
      </w:pPr>
    </w:p>
    <w:p w14:paraId="150E8EB1" w14:textId="77777777" w:rsidR="00496C84" w:rsidRDefault="00496C84">
      <w:pPr>
        <w:tabs>
          <w:tab w:val="left" w:pos="1675"/>
        </w:tabs>
        <w:ind w:left="115" w:right="106"/>
        <w:rPr>
          <w:rFonts w:ascii="Arial" w:eastAsia="Arial" w:hAnsi="Arial" w:cs="Arial"/>
          <w:color w:val="000000"/>
          <w:sz w:val="20"/>
        </w:rPr>
      </w:pPr>
    </w:p>
    <w:p w14:paraId="7AF88308" w14:textId="77777777" w:rsidR="00496C84" w:rsidRDefault="00496C84">
      <w:pPr>
        <w:tabs>
          <w:tab w:val="left" w:pos="1675"/>
        </w:tabs>
        <w:ind w:left="115" w:right="106"/>
        <w:rPr>
          <w:rFonts w:ascii="Arial" w:eastAsia="Arial" w:hAnsi="Arial" w:cs="Arial"/>
          <w:color w:val="000000"/>
          <w:sz w:val="20"/>
        </w:rPr>
      </w:pPr>
    </w:p>
    <w:p w14:paraId="633B818E" w14:textId="77777777" w:rsidR="00496C84" w:rsidRDefault="00496C84">
      <w:pPr>
        <w:tabs>
          <w:tab w:val="left" w:pos="1675"/>
        </w:tabs>
        <w:ind w:left="115" w:right="106"/>
        <w:rPr>
          <w:rFonts w:ascii="Arial" w:eastAsia="Arial" w:hAnsi="Arial" w:cs="Arial"/>
          <w:color w:val="000000"/>
          <w:sz w:val="20"/>
        </w:rPr>
      </w:pPr>
    </w:p>
    <w:p w14:paraId="784DDA83" w14:textId="17129FA2" w:rsidR="00A2351A" w:rsidRDefault="00A2351A" w:rsidP="00473C57">
      <w:pPr>
        <w:keepNext/>
        <w:tabs>
          <w:tab w:val="left" w:pos="1675"/>
        </w:tabs>
        <w:ind w:right="106"/>
        <w:rPr>
          <w:rFonts w:ascii="Arial" w:eastAsia="Arial" w:hAnsi="Arial" w:cs="Arial"/>
          <w:color w:val="000000"/>
          <w:sz w:val="20"/>
        </w:rPr>
      </w:pPr>
    </w:p>
    <w:p w14:paraId="5DC4D7C3" w14:textId="77777777" w:rsidR="00A2351A" w:rsidRDefault="002D5C25">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63963D90" w14:textId="77777777" w:rsidR="00A2351A" w:rsidRDefault="002D5C25">
      <w:pPr>
        <w:tabs>
          <w:tab w:val="left" w:pos="1675"/>
        </w:tabs>
        <w:ind w:left="115" w:right="106"/>
        <w:rPr>
          <w:rFonts w:ascii="Arial" w:eastAsia="Arial" w:hAnsi="Arial" w:cs="Arial"/>
          <w:b/>
          <w:bCs/>
          <w:i/>
          <w:iCs/>
          <w:color w:val="000000"/>
          <w:sz w:val="20"/>
        </w:rPr>
      </w:pPr>
      <w:r>
        <w:rPr>
          <w:rFonts w:ascii="Arial" w:eastAsia="Arial" w:hAnsi="Arial" w:cs="Arial"/>
          <w:color w:val="000000"/>
          <w:sz w:val="16"/>
        </w:rPr>
        <w:t>12 - Použitelné pouze u operačních programů v rámci cíle Investice pro růst a zaměstnanost, které zahrnují ESF a/nebo EFRR.</w:t>
      </w:r>
      <w:r>
        <w:rPr>
          <w:rFonts w:ascii="Arial" w:eastAsia="Arial" w:hAnsi="Arial" w:cs="Arial"/>
          <w:b/>
          <w:bCs/>
          <w:i/>
          <w:iCs/>
          <w:color w:val="000000"/>
          <w:sz w:val="20"/>
        </w:rPr>
        <w:t xml:space="preserve"> </w:t>
      </w:r>
    </w:p>
    <w:p w14:paraId="15C4A278" w14:textId="77777777" w:rsidR="00A2351A" w:rsidRDefault="00A2351A">
      <w:pPr>
        <w:tabs>
          <w:tab w:val="left" w:pos="1675"/>
        </w:tabs>
        <w:ind w:left="115" w:right="106"/>
        <w:rPr>
          <w:rFonts w:ascii="Arial" w:eastAsia="Arial" w:hAnsi="Arial" w:cs="Arial"/>
          <w:color w:val="000000"/>
          <w:sz w:val="8"/>
        </w:rPr>
      </w:pPr>
    </w:p>
    <w:p w14:paraId="33999150" w14:textId="77777777" w:rsidR="00A2351A" w:rsidRDefault="002D5C25">
      <w:r>
        <w:br w:type="page"/>
      </w:r>
    </w:p>
    <w:p w14:paraId="25687AFD" w14:textId="77777777" w:rsidR="00A2351A" w:rsidRDefault="00A2351A">
      <w:pPr>
        <w:tabs>
          <w:tab w:val="left" w:pos="1675"/>
        </w:tabs>
        <w:ind w:left="115" w:right="106"/>
        <w:rPr>
          <w:rFonts w:ascii="Arial" w:eastAsia="Arial" w:hAnsi="Arial" w:cs="Arial"/>
          <w:color w:val="000000"/>
          <w:sz w:val="8"/>
        </w:rPr>
      </w:pPr>
    </w:p>
    <w:p w14:paraId="3442F5FB" w14:textId="77777777" w:rsidR="00A2351A" w:rsidRDefault="002D5C25">
      <w:pPr>
        <w:spacing w:after="200" w:line="276" w:lineRule="auto"/>
        <w:ind w:left="115" w:right="106"/>
        <w:rPr>
          <w:rFonts w:ascii="Arial" w:eastAsia="Arial" w:hAnsi="Arial" w:cs="Arial"/>
          <w:b/>
          <w:bCs/>
          <w:i/>
          <w:iCs/>
          <w:color w:val="000000"/>
          <w:sz w:val="16"/>
        </w:rPr>
      </w:pPr>
      <w:r>
        <w:rPr>
          <w:rFonts w:ascii="Arial" w:eastAsia="Arial" w:hAnsi="Arial" w:cs="Arial"/>
          <w:b/>
          <w:bCs/>
          <w:i/>
          <w:iCs/>
          <w:color w:val="000000"/>
          <w:sz w:val="20"/>
        </w:rPr>
        <w:t xml:space="preserve">Tabulka 10: Náklady na operace prováděné mimo Unii (ESF) </w:t>
      </w:r>
      <w:r>
        <w:rPr>
          <w:rFonts w:ascii="Arial" w:eastAsia="Arial" w:hAnsi="Arial" w:cs="Arial"/>
          <w:b/>
          <w:bCs/>
          <w:i/>
          <w:iCs/>
          <w:color w:val="000000"/>
          <w:sz w:val="16"/>
        </w:rPr>
        <w:t>(13)</w:t>
      </w:r>
    </w:p>
    <w:tbl>
      <w:tblPr>
        <w:tblW w:w="0" w:type="auto"/>
        <w:tblInd w:w="58" w:type="dxa"/>
        <w:tblLayout w:type="fixed"/>
        <w:tblCellMar>
          <w:left w:w="0" w:type="dxa"/>
          <w:right w:w="0" w:type="dxa"/>
        </w:tblCellMar>
        <w:tblLook w:val="04A0" w:firstRow="1" w:lastRow="0" w:firstColumn="1" w:lastColumn="0" w:noHBand="0" w:noVBand="1"/>
      </w:tblPr>
      <w:tblGrid>
        <w:gridCol w:w="3902"/>
        <w:gridCol w:w="3902"/>
        <w:gridCol w:w="3902"/>
        <w:gridCol w:w="3539"/>
      </w:tblGrid>
      <w:tr w:rsidR="00A2351A" w14:paraId="2291476D" w14:textId="77777777">
        <w:trPr>
          <w:tblHeader/>
        </w:trPr>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E36F42"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1.</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2FFEFC"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2.</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55D261"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3.</w:t>
            </w:r>
          </w:p>
        </w:tc>
        <w:tc>
          <w:tcPr>
            <w:tcW w:w="35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49BFE"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4.</w:t>
            </w:r>
          </w:p>
        </w:tc>
      </w:tr>
      <w:tr w:rsidR="00A2351A" w14:paraId="48ECFEA4" w14:textId="77777777">
        <w:trPr>
          <w:tblHeader/>
        </w:trPr>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6DE682"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Výše výdajů, které mají být vynaloženy mimo Unii v rámci tematických cílů 8 a 10 na základě vybraných operací (v EUR)</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30CEC3"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Podíl celkového finančního přídělu (příspěvek Unie a vnitrostátní příspěvek) na program ESF nebo část programu financovaného z více fondů, která souvisí s ESF</w:t>
            </w:r>
          </w:p>
          <w:p w14:paraId="5C78D7E5"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 %)</w:t>
            </w:r>
          </w:p>
          <w:p w14:paraId="22FF49DB"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(1/ celkový finanční (příspěvek Unie a vnitrostátní příspěvek) na program ESF nebo část programu financovaného z více fondů, která souvisí s ESF x 100)</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10BFC"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Způsobilé výdaje vynaložené mimo Unii, které příjemce vykázal řídicímu orgánu (v EUR)</w:t>
            </w:r>
          </w:p>
        </w:tc>
        <w:tc>
          <w:tcPr>
            <w:tcW w:w="35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F58995"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Podíl celkového finančního přídělu (příspěvek Unie a vnitrostátní příspěvek) na program ESF nebo část programu financovaného z více fondů, která souvisí s ESF</w:t>
            </w:r>
          </w:p>
          <w:p w14:paraId="34ABD419"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 %)</w:t>
            </w:r>
          </w:p>
          <w:p w14:paraId="3EF49B0C"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(3/ celkový finanční (příspěvek Unie a vnitrostátní příspěvek) na program ESF nebo část programu financovaného z více fondů, která souvisí s ESF x 100)</w:t>
            </w:r>
          </w:p>
        </w:tc>
      </w:tr>
      <w:tr w:rsidR="00A2351A" w14:paraId="22CB5782" w14:textId="77777777">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F1A6E7" w14:textId="77777777" w:rsidR="00A2351A" w:rsidRDefault="002D5C25">
            <w:pPr>
              <w:ind w:left="57" w:right="57"/>
              <w:jc w:val="right"/>
              <w:rPr>
                <w:rFonts w:ascii="Arial" w:eastAsia="Arial" w:hAnsi="Arial" w:cs="Arial"/>
                <w:color w:val="000000"/>
                <w:sz w:val="14"/>
              </w:rPr>
            </w:pPr>
            <w:r>
              <w:rPr>
                <w:rFonts w:ascii="Arial" w:eastAsia="Arial" w:hAnsi="Arial" w:cs="Arial"/>
                <w:color w:val="000000"/>
                <w:sz w:val="14"/>
              </w:rPr>
              <w:t>0,00</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9CD724" w14:textId="77777777" w:rsidR="00A2351A" w:rsidRDefault="002D5C25">
            <w:pPr>
              <w:ind w:left="57" w:right="57"/>
              <w:jc w:val="right"/>
              <w:rPr>
                <w:rFonts w:ascii="Arial" w:eastAsia="Arial" w:hAnsi="Arial" w:cs="Arial"/>
                <w:color w:val="000000"/>
                <w:sz w:val="14"/>
              </w:rPr>
            </w:pPr>
            <w:r>
              <w:rPr>
                <w:rFonts w:ascii="Arial" w:eastAsia="Arial" w:hAnsi="Arial" w:cs="Arial"/>
                <w:color w:val="000000"/>
                <w:sz w:val="14"/>
              </w:rPr>
              <w:t>0,00</w:t>
            </w:r>
          </w:p>
        </w:tc>
        <w:tc>
          <w:tcPr>
            <w:tcW w:w="39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F65724" w14:textId="77777777" w:rsidR="00A2351A" w:rsidRDefault="002D5C25">
            <w:pPr>
              <w:ind w:left="57" w:right="57"/>
              <w:jc w:val="right"/>
              <w:rPr>
                <w:rFonts w:ascii="Arial" w:eastAsia="Arial" w:hAnsi="Arial" w:cs="Arial"/>
                <w:color w:val="000000"/>
                <w:sz w:val="14"/>
              </w:rPr>
            </w:pPr>
            <w:r>
              <w:rPr>
                <w:rFonts w:ascii="Arial" w:eastAsia="Arial" w:hAnsi="Arial" w:cs="Arial"/>
                <w:color w:val="000000"/>
                <w:sz w:val="14"/>
              </w:rPr>
              <w:t>0,00</w:t>
            </w:r>
          </w:p>
        </w:tc>
        <w:tc>
          <w:tcPr>
            <w:tcW w:w="35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7A02D4" w14:textId="77777777" w:rsidR="00A2351A" w:rsidRDefault="002D5C25">
            <w:pPr>
              <w:ind w:left="57" w:right="57"/>
              <w:jc w:val="right"/>
              <w:rPr>
                <w:rFonts w:ascii="Arial" w:eastAsia="Arial" w:hAnsi="Arial" w:cs="Arial"/>
                <w:color w:val="000000"/>
                <w:sz w:val="14"/>
              </w:rPr>
            </w:pPr>
            <w:r>
              <w:rPr>
                <w:rFonts w:ascii="Arial" w:eastAsia="Arial" w:hAnsi="Arial" w:cs="Arial"/>
                <w:color w:val="000000"/>
                <w:sz w:val="14"/>
              </w:rPr>
              <w:t>0,00</w:t>
            </w:r>
          </w:p>
        </w:tc>
      </w:tr>
    </w:tbl>
    <w:p w14:paraId="6DE8DD8E" w14:textId="77777777" w:rsidR="00A2351A" w:rsidRDefault="00A2351A">
      <w:pPr>
        <w:tabs>
          <w:tab w:val="left" w:pos="1675"/>
        </w:tabs>
        <w:ind w:left="115" w:right="106"/>
        <w:rPr>
          <w:rFonts w:ascii="Arial" w:eastAsia="Arial" w:hAnsi="Arial" w:cs="Arial"/>
          <w:color w:val="000000"/>
          <w:sz w:val="20"/>
        </w:rPr>
      </w:pPr>
    </w:p>
    <w:p w14:paraId="19888DCB" w14:textId="77777777" w:rsidR="00A2351A" w:rsidRDefault="002D5C25">
      <w:pPr>
        <w:spacing w:before="120" w:after="120"/>
        <w:ind w:left="115" w:right="106"/>
        <w:jc w:val="both"/>
        <w:rPr>
          <w:rFonts w:ascii="Arial" w:eastAsia="Arial" w:hAnsi="Arial" w:cs="Arial"/>
          <w:b/>
          <w:bCs/>
          <w:i/>
          <w:iCs/>
          <w:color w:val="000000"/>
          <w:sz w:val="16"/>
        </w:rPr>
      </w:pPr>
      <w:r>
        <w:rPr>
          <w:rFonts w:ascii="Arial" w:eastAsia="Arial" w:hAnsi="Arial" w:cs="Arial"/>
          <w:b/>
          <w:bCs/>
          <w:i/>
          <w:iCs/>
          <w:color w:val="000000"/>
          <w:sz w:val="20"/>
        </w:rPr>
        <w:t xml:space="preserve">Tabulka 11: Přidělení zdrojů YEI mladým lidem mimo způsobilé regiony na úrovni NUTS 2 (článek 16 nařízení (EU) č. 1304/2013) </w:t>
      </w:r>
      <w:r>
        <w:rPr>
          <w:rFonts w:ascii="Arial" w:eastAsia="Arial" w:hAnsi="Arial" w:cs="Arial"/>
          <w:b/>
          <w:bCs/>
          <w:i/>
          <w:iCs/>
          <w:color w:val="000000"/>
          <w:sz w:val="16"/>
        </w:rPr>
        <w:t>(14)</w:t>
      </w:r>
    </w:p>
    <w:tbl>
      <w:tblPr>
        <w:tblW w:w="0" w:type="auto"/>
        <w:tblInd w:w="58" w:type="dxa"/>
        <w:tblLayout w:type="fixed"/>
        <w:tblCellMar>
          <w:left w:w="0" w:type="dxa"/>
          <w:right w:w="0" w:type="dxa"/>
        </w:tblCellMar>
        <w:tblLook w:val="04A0" w:firstRow="1" w:lastRow="0" w:firstColumn="1" w:lastColumn="0" w:noHBand="0" w:noVBand="1"/>
      </w:tblPr>
      <w:tblGrid>
        <w:gridCol w:w="616"/>
        <w:gridCol w:w="1957"/>
        <w:gridCol w:w="3167"/>
        <w:gridCol w:w="3167"/>
        <w:gridCol w:w="3167"/>
        <w:gridCol w:w="3167"/>
      </w:tblGrid>
      <w:tr w:rsidR="00A2351A" w14:paraId="19C06F69" w14:textId="77777777">
        <w:trPr>
          <w:tblHeader/>
        </w:trPr>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46C4E"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1.</w:t>
            </w:r>
          </w:p>
        </w:tc>
        <w:tc>
          <w:tcPr>
            <w:tcW w:w="19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BB1B7"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2.</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DC153"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3.</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7E7321"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4.</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139AFF"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5.</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2DF297"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6.</w:t>
            </w:r>
          </w:p>
        </w:tc>
      </w:tr>
      <w:tr w:rsidR="00A2351A" w14:paraId="1E8CF603" w14:textId="77777777">
        <w:trPr>
          <w:tblHeader/>
        </w:trPr>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7EDFD9" w14:textId="77777777" w:rsidR="00A2351A" w:rsidRDefault="00A2351A">
            <w:pPr>
              <w:ind w:left="57" w:right="57"/>
              <w:jc w:val="both"/>
            </w:pPr>
          </w:p>
        </w:tc>
        <w:tc>
          <w:tcPr>
            <w:tcW w:w="19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5E2CFF"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Prioritní osa</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F11012"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Výše podpory EU v rámci YEI (zvláštní příděl pro YEI a odpovídající podpora z ESF), jež má být přidělena mladým lidem mimo způsobilé regiony na úrovni NUTS 2 (v EUR), jak je uvedeno v bodě 2.A.6.1 operačního programu</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026FC8"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Výše podpory EU v rámci YEI (zvláštní příděl pro YEI a odpovídající podpora z ESF) přidělené na operace na podporu mladých lidí mimo způsobilé regiony na úrovni NUTS 2 (v EUR)</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7456B"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Způsobilé výdaje vynaložené při operacích na podporu mladých lidí mimo způsobilé regiony (v EUR)</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ED3B7" w14:textId="77777777" w:rsidR="00A2351A" w:rsidRDefault="002D5C25">
            <w:pPr>
              <w:tabs>
                <w:tab w:val="left" w:pos="828"/>
              </w:tabs>
              <w:ind w:left="57" w:right="57"/>
              <w:jc w:val="center"/>
              <w:rPr>
                <w:rFonts w:ascii="Arial" w:eastAsia="Arial" w:hAnsi="Arial" w:cs="Arial"/>
                <w:b/>
                <w:bCs/>
                <w:color w:val="000000"/>
                <w:sz w:val="14"/>
              </w:rPr>
            </w:pPr>
            <w:r>
              <w:rPr>
                <w:rFonts w:ascii="Arial" w:eastAsia="Arial" w:hAnsi="Arial" w:cs="Arial"/>
                <w:b/>
                <w:bCs/>
                <w:color w:val="000000"/>
                <w:sz w:val="14"/>
              </w:rPr>
              <w:t>Odpovídající podpora EU na způsobilé výdaje vynaložené při operacích na podporu mladých lidí mimo způsobilé regiony, která vyplývá z použití míry spolufinancování u prioritní osy (v EUR)</w:t>
            </w:r>
          </w:p>
        </w:tc>
      </w:tr>
      <w:tr w:rsidR="00A2351A" w14:paraId="151CB81B" w14:textId="77777777">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6A576" w14:textId="77777777" w:rsidR="00A2351A" w:rsidRDefault="00A2351A">
            <w:pPr>
              <w:ind w:left="57" w:right="57"/>
              <w:jc w:val="both"/>
            </w:pPr>
          </w:p>
        </w:tc>
        <w:tc>
          <w:tcPr>
            <w:tcW w:w="19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66792" w14:textId="77777777" w:rsidR="00A2351A" w:rsidRDefault="002D5C25">
            <w:pPr>
              <w:ind w:left="165" w:right="165"/>
              <w:rPr>
                <w:rFonts w:ascii="Arial" w:eastAsia="Arial" w:hAnsi="Arial" w:cs="Arial"/>
                <w:color w:val="000000"/>
                <w:sz w:val="14"/>
              </w:rPr>
            </w:pPr>
            <w:r>
              <w:rPr>
                <w:rFonts w:ascii="Arial" w:eastAsia="Arial" w:hAnsi="Arial" w:cs="Arial"/>
                <w:color w:val="000000"/>
                <w:sz w:val="14"/>
              </w:rPr>
              <w:t>03.1 Podpora zaměstnanosti a adaptability pracovní síly</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8045B8" w14:textId="77777777" w:rsidR="00A2351A" w:rsidRDefault="002D5C25">
            <w:pPr>
              <w:ind w:left="57" w:right="57"/>
              <w:jc w:val="right"/>
              <w:rPr>
                <w:rFonts w:ascii="Arial" w:eastAsia="Arial" w:hAnsi="Arial" w:cs="Arial"/>
                <w:color w:val="000000"/>
                <w:sz w:val="14"/>
              </w:rPr>
            </w:pPr>
            <w:r>
              <w:rPr>
                <w:rFonts w:ascii="Arial" w:eastAsia="Arial" w:hAnsi="Arial" w:cs="Arial"/>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FA372" w14:textId="77777777" w:rsidR="00A2351A" w:rsidRDefault="002D5C25">
            <w:pPr>
              <w:ind w:left="57" w:right="57"/>
              <w:jc w:val="right"/>
              <w:rPr>
                <w:rFonts w:ascii="Arial" w:eastAsia="Arial" w:hAnsi="Arial" w:cs="Arial"/>
                <w:color w:val="000000"/>
                <w:sz w:val="14"/>
              </w:rPr>
            </w:pPr>
            <w:r>
              <w:rPr>
                <w:rFonts w:ascii="Arial" w:eastAsia="Arial" w:hAnsi="Arial" w:cs="Arial"/>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2E3325" w14:textId="77777777" w:rsidR="00A2351A" w:rsidRDefault="002D5C25">
            <w:pPr>
              <w:ind w:left="57" w:right="57"/>
              <w:jc w:val="right"/>
              <w:rPr>
                <w:rFonts w:ascii="Arial" w:eastAsia="Arial" w:hAnsi="Arial" w:cs="Arial"/>
                <w:color w:val="000000"/>
                <w:sz w:val="14"/>
              </w:rPr>
            </w:pPr>
            <w:r>
              <w:rPr>
                <w:rFonts w:ascii="Arial" w:eastAsia="Arial" w:hAnsi="Arial" w:cs="Arial"/>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6CC70B" w14:textId="77777777" w:rsidR="00A2351A" w:rsidRDefault="002D5C25">
            <w:pPr>
              <w:ind w:left="57" w:right="57"/>
              <w:jc w:val="right"/>
              <w:rPr>
                <w:rFonts w:ascii="Arial" w:eastAsia="Arial" w:hAnsi="Arial" w:cs="Arial"/>
                <w:color w:val="000000"/>
                <w:sz w:val="14"/>
              </w:rPr>
            </w:pPr>
            <w:r>
              <w:rPr>
                <w:rFonts w:ascii="Arial" w:eastAsia="Arial" w:hAnsi="Arial" w:cs="Arial"/>
                <w:color w:val="000000"/>
                <w:sz w:val="14"/>
              </w:rPr>
              <w:t>0,00</w:t>
            </w:r>
          </w:p>
        </w:tc>
      </w:tr>
      <w:tr w:rsidR="00A2351A" w14:paraId="5B95FC2F" w14:textId="77777777">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CFA5C0" w14:textId="77777777" w:rsidR="00A2351A" w:rsidRDefault="002D5C25">
            <w:pPr>
              <w:ind w:left="57" w:right="57"/>
              <w:jc w:val="both"/>
              <w:rPr>
                <w:rFonts w:ascii="Arial" w:eastAsia="Arial" w:hAnsi="Arial" w:cs="Arial"/>
                <w:b/>
                <w:bCs/>
                <w:color w:val="000000"/>
                <w:sz w:val="14"/>
              </w:rPr>
            </w:pPr>
            <w:r>
              <w:rPr>
                <w:rFonts w:ascii="Arial" w:eastAsia="Arial" w:hAnsi="Arial" w:cs="Arial"/>
                <w:b/>
                <w:bCs/>
                <w:color w:val="000000"/>
                <w:sz w:val="14"/>
              </w:rPr>
              <w:t>Celkem</w:t>
            </w:r>
          </w:p>
        </w:tc>
        <w:tc>
          <w:tcPr>
            <w:tcW w:w="19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6643A" w14:textId="77777777" w:rsidR="00A2351A" w:rsidRDefault="00A2351A">
            <w:pPr>
              <w:ind w:left="57" w:right="57"/>
              <w:jc w:val="both"/>
            </w:pP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00F17" w14:textId="77777777" w:rsidR="00A2351A" w:rsidRDefault="002D5C25">
            <w:pPr>
              <w:ind w:left="57" w:right="57"/>
              <w:jc w:val="right"/>
              <w:rPr>
                <w:rFonts w:ascii="Arial" w:eastAsia="Arial" w:hAnsi="Arial" w:cs="Arial"/>
                <w:b/>
                <w:bCs/>
                <w:color w:val="000000"/>
                <w:sz w:val="14"/>
              </w:rPr>
            </w:pPr>
            <w:r>
              <w:rPr>
                <w:rFonts w:ascii="Arial" w:eastAsia="Arial" w:hAnsi="Arial" w:cs="Arial"/>
                <w:b/>
                <w:bCs/>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1FAF29" w14:textId="77777777" w:rsidR="00A2351A" w:rsidRDefault="002D5C25">
            <w:pPr>
              <w:ind w:left="57" w:right="57"/>
              <w:jc w:val="right"/>
              <w:rPr>
                <w:rFonts w:ascii="Arial" w:eastAsia="Arial" w:hAnsi="Arial" w:cs="Arial"/>
                <w:b/>
                <w:bCs/>
                <w:color w:val="000000"/>
                <w:sz w:val="14"/>
              </w:rPr>
            </w:pPr>
            <w:r>
              <w:rPr>
                <w:rFonts w:ascii="Arial" w:eastAsia="Arial" w:hAnsi="Arial" w:cs="Arial"/>
                <w:b/>
                <w:bCs/>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8F8E84" w14:textId="77777777" w:rsidR="00A2351A" w:rsidRDefault="002D5C25">
            <w:pPr>
              <w:ind w:left="57" w:right="57"/>
              <w:jc w:val="right"/>
              <w:rPr>
                <w:rFonts w:ascii="Arial" w:eastAsia="Arial" w:hAnsi="Arial" w:cs="Arial"/>
                <w:b/>
                <w:bCs/>
                <w:color w:val="000000"/>
                <w:sz w:val="14"/>
              </w:rPr>
            </w:pPr>
            <w:r>
              <w:rPr>
                <w:rFonts w:ascii="Arial" w:eastAsia="Arial" w:hAnsi="Arial" w:cs="Arial"/>
                <w:b/>
                <w:bCs/>
                <w:color w:val="000000"/>
                <w:sz w:val="14"/>
              </w:rPr>
              <w:t>0,00</w:t>
            </w:r>
          </w:p>
        </w:tc>
        <w:tc>
          <w:tcPr>
            <w:tcW w:w="31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5B1087" w14:textId="77777777" w:rsidR="00A2351A" w:rsidRDefault="002D5C25">
            <w:pPr>
              <w:ind w:left="57" w:right="57"/>
              <w:jc w:val="right"/>
              <w:rPr>
                <w:rFonts w:ascii="Arial" w:eastAsia="Arial" w:hAnsi="Arial" w:cs="Arial"/>
                <w:b/>
                <w:bCs/>
                <w:color w:val="000000"/>
                <w:sz w:val="14"/>
              </w:rPr>
            </w:pPr>
            <w:r>
              <w:rPr>
                <w:rFonts w:ascii="Arial" w:eastAsia="Arial" w:hAnsi="Arial" w:cs="Arial"/>
                <w:b/>
                <w:bCs/>
                <w:color w:val="000000"/>
                <w:sz w:val="14"/>
              </w:rPr>
              <w:t>0,00</w:t>
            </w:r>
          </w:p>
        </w:tc>
      </w:tr>
    </w:tbl>
    <w:p w14:paraId="23F87B8E" w14:textId="77777777" w:rsidR="00A2351A" w:rsidRDefault="00A2351A">
      <w:pPr>
        <w:spacing w:after="200" w:line="276" w:lineRule="auto"/>
        <w:ind w:left="115" w:right="106"/>
        <w:rPr>
          <w:rFonts w:ascii="Calibri" w:eastAsia="Calibri" w:hAnsi="Calibri" w:cs="Calibri"/>
          <w:color w:val="000000"/>
        </w:rPr>
      </w:pPr>
    </w:p>
    <w:p w14:paraId="0EA8C052" w14:textId="77777777" w:rsidR="00A2351A" w:rsidRDefault="00A2351A">
      <w:pPr>
        <w:tabs>
          <w:tab w:val="left" w:pos="1675"/>
        </w:tabs>
        <w:ind w:left="115" w:right="106"/>
        <w:rPr>
          <w:rFonts w:ascii="Arial" w:eastAsia="Arial" w:hAnsi="Arial" w:cs="Arial"/>
          <w:color w:val="000000"/>
          <w:sz w:val="20"/>
        </w:rPr>
      </w:pPr>
    </w:p>
    <w:p w14:paraId="7AE6B312" w14:textId="77777777" w:rsidR="00A2351A" w:rsidRDefault="00A2351A">
      <w:pPr>
        <w:keepNext/>
        <w:tabs>
          <w:tab w:val="left" w:pos="1675"/>
        </w:tabs>
        <w:ind w:left="115" w:right="106"/>
        <w:rPr>
          <w:rFonts w:ascii="Arial" w:eastAsia="Arial" w:hAnsi="Arial" w:cs="Arial"/>
          <w:color w:val="000000"/>
          <w:sz w:val="20"/>
        </w:rPr>
      </w:pPr>
    </w:p>
    <w:p w14:paraId="4752E372" w14:textId="1E9614D4" w:rsidR="00496C84" w:rsidRDefault="00496C84">
      <w:pPr>
        <w:keepNext/>
        <w:tabs>
          <w:tab w:val="left" w:pos="1675"/>
        </w:tabs>
        <w:ind w:left="115" w:right="106"/>
        <w:rPr>
          <w:rFonts w:ascii="Arial" w:eastAsia="Arial" w:hAnsi="Arial" w:cs="Arial"/>
          <w:color w:val="000000"/>
          <w:sz w:val="20"/>
        </w:rPr>
      </w:pPr>
    </w:p>
    <w:p w14:paraId="37179403" w14:textId="77777777" w:rsidR="00496C84" w:rsidRDefault="00496C84">
      <w:pPr>
        <w:keepNext/>
        <w:tabs>
          <w:tab w:val="left" w:pos="1675"/>
        </w:tabs>
        <w:ind w:left="115" w:right="106"/>
        <w:rPr>
          <w:rFonts w:ascii="Arial" w:eastAsia="Arial" w:hAnsi="Arial" w:cs="Arial"/>
          <w:color w:val="000000"/>
          <w:sz w:val="20"/>
        </w:rPr>
      </w:pPr>
    </w:p>
    <w:p w14:paraId="37168210" w14:textId="77777777" w:rsidR="00496C84" w:rsidRDefault="00496C84">
      <w:pPr>
        <w:keepNext/>
        <w:tabs>
          <w:tab w:val="left" w:pos="1675"/>
        </w:tabs>
        <w:ind w:left="115" w:right="106"/>
        <w:rPr>
          <w:rFonts w:ascii="Arial" w:eastAsia="Arial" w:hAnsi="Arial" w:cs="Arial"/>
          <w:color w:val="000000"/>
          <w:sz w:val="20"/>
        </w:rPr>
      </w:pPr>
    </w:p>
    <w:p w14:paraId="4273058B" w14:textId="77777777" w:rsidR="00496C84" w:rsidRDefault="00496C84">
      <w:pPr>
        <w:keepNext/>
        <w:tabs>
          <w:tab w:val="left" w:pos="1675"/>
        </w:tabs>
        <w:ind w:left="115" w:right="106"/>
        <w:rPr>
          <w:rFonts w:ascii="Arial" w:eastAsia="Arial" w:hAnsi="Arial" w:cs="Arial"/>
          <w:color w:val="000000"/>
          <w:sz w:val="20"/>
        </w:rPr>
      </w:pPr>
    </w:p>
    <w:p w14:paraId="43624C28" w14:textId="77777777" w:rsidR="00496C84" w:rsidRDefault="00496C84">
      <w:pPr>
        <w:keepNext/>
        <w:tabs>
          <w:tab w:val="left" w:pos="1675"/>
        </w:tabs>
        <w:ind w:left="115" w:right="106"/>
        <w:rPr>
          <w:rFonts w:ascii="Arial" w:eastAsia="Arial" w:hAnsi="Arial" w:cs="Arial"/>
          <w:color w:val="000000"/>
          <w:sz w:val="20"/>
        </w:rPr>
      </w:pPr>
    </w:p>
    <w:p w14:paraId="641207F0" w14:textId="77777777" w:rsidR="00496C84" w:rsidRDefault="00496C84">
      <w:pPr>
        <w:keepNext/>
        <w:tabs>
          <w:tab w:val="left" w:pos="1675"/>
        </w:tabs>
        <w:ind w:left="115" w:right="106"/>
        <w:rPr>
          <w:rFonts w:ascii="Arial" w:eastAsia="Arial" w:hAnsi="Arial" w:cs="Arial"/>
          <w:color w:val="000000"/>
          <w:sz w:val="20"/>
        </w:rPr>
      </w:pPr>
    </w:p>
    <w:p w14:paraId="4E4C4624" w14:textId="77777777" w:rsidR="00496C84" w:rsidRDefault="00496C84">
      <w:pPr>
        <w:keepNext/>
        <w:tabs>
          <w:tab w:val="left" w:pos="1675"/>
        </w:tabs>
        <w:ind w:left="115" w:right="106"/>
        <w:rPr>
          <w:rFonts w:ascii="Arial" w:eastAsia="Arial" w:hAnsi="Arial" w:cs="Arial"/>
          <w:color w:val="000000"/>
          <w:sz w:val="20"/>
        </w:rPr>
      </w:pPr>
    </w:p>
    <w:p w14:paraId="7F70BCF6" w14:textId="77777777" w:rsidR="00A2351A" w:rsidRDefault="00A2351A">
      <w:pPr>
        <w:keepNext/>
        <w:tabs>
          <w:tab w:val="left" w:pos="1675"/>
        </w:tabs>
        <w:ind w:left="115" w:right="106"/>
        <w:rPr>
          <w:rFonts w:ascii="Arial" w:eastAsia="Arial" w:hAnsi="Arial" w:cs="Arial"/>
          <w:color w:val="000000"/>
          <w:sz w:val="20"/>
        </w:rPr>
      </w:pPr>
    </w:p>
    <w:p w14:paraId="230E1A23" w14:textId="77777777" w:rsidR="00A2351A" w:rsidRDefault="00A2351A">
      <w:pPr>
        <w:keepNext/>
        <w:tabs>
          <w:tab w:val="left" w:pos="1675"/>
        </w:tabs>
        <w:ind w:left="115" w:right="106"/>
        <w:rPr>
          <w:rFonts w:ascii="Arial" w:eastAsia="Arial" w:hAnsi="Arial" w:cs="Arial"/>
          <w:color w:val="000000"/>
          <w:sz w:val="20"/>
        </w:rPr>
      </w:pPr>
    </w:p>
    <w:p w14:paraId="6F0D726D" w14:textId="77777777" w:rsidR="00A2351A" w:rsidRDefault="002D5C25">
      <w:pPr>
        <w:keepNext/>
        <w:tabs>
          <w:tab w:val="left" w:pos="1675"/>
        </w:tabs>
        <w:ind w:left="115" w:right="106"/>
        <w:rPr>
          <w:rFonts w:ascii="Arial" w:eastAsia="Arial" w:hAnsi="Arial" w:cs="Arial"/>
          <w:color w:val="000000"/>
          <w:sz w:val="16"/>
        </w:rPr>
      </w:pPr>
      <w:r>
        <w:rPr>
          <w:rFonts w:ascii="Arial" w:eastAsia="Arial" w:hAnsi="Arial" w:cs="Arial"/>
          <w:color w:val="000000"/>
          <w:sz w:val="16"/>
        </w:rPr>
        <w:t>----------------------------------------------------</w:t>
      </w:r>
    </w:p>
    <w:p w14:paraId="71EBA4E6" w14:textId="77777777" w:rsidR="00A2351A" w:rsidRDefault="002D5C25">
      <w:pPr>
        <w:keepNext/>
        <w:tabs>
          <w:tab w:val="left" w:pos="1675"/>
        </w:tabs>
        <w:ind w:left="115" w:right="529"/>
        <w:rPr>
          <w:rFonts w:ascii="Arial" w:eastAsia="Arial" w:hAnsi="Arial" w:cs="Arial"/>
          <w:color w:val="000000"/>
          <w:sz w:val="16"/>
        </w:rPr>
      </w:pPr>
      <w:r>
        <w:rPr>
          <w:rFonts w:ascii="Arial" w:eastAsia="Arial" w:hAnsi="Arial" w:cs="Arial"/>
          <w:color w:val="000000"/>
          <w:sz w:val="16"/>
        </w:rPr>
        <w:t xml:space="preserve">13 - V souladu se stropy stanovenými v článku 13 nařízení (EU) č. 1304/2013 a s jejich výhradou.  </w:t>
      </w:r>
    </w:p>
    <w:p w14:paraId="7821FB92" w14:textId="77777777" w:rsidR="00A2351A" w:rsidRDefault="002D5C25">
      <w:pPr>
        <w:keepNext/>
        <w:tabs>
          <w:tab w:val="left" w:pos="1675"/>
        </w:tabs>
        <w:ind w:left="115" w:right="529"/>
        <w:rPr>
          <w:rFonts w:ascii="Arial" w:eastAsia="Arial" w:hAnsi="Arial" w:cs="Arial"/>
          <w:color w:val="000000"/>
          <w:sz w:val="16"/>
        </w:rPr>
      </w:pPr>
      <w:r>
        <w:rPr>
          <w:rFonts w:ascii="Arial" w:eastAsia="Arial" w:hAnsi="Arial" w:cs="Arial"/>
          <w:color w:val="000000"/>
          <w:sz w:val="16"/>
        </w:rPr>
        <w:t>14 - Strukturované údaje požadované pro zprávu o YEI, která má být předložena v dubnu 2015 v souladu s čl. 19 odst. 3 a přílohou II nařízení (EU) č. 1304/2013.</w:t>
      </w:r>
    </w:p>
    <w:p w14:paraId="4ABCFF28" w14:textId="77777777" w:rsidR="00A2351A" w:rsidRDefault="00A2351A">
      <w:pPr>
        <w:spacing w:after="200" w:line="276" w:lineRule="auto"/>
        <w:ind w:left="115" w:right="106"/>
        <w:rPr>
          <w:rFonts w:ascii="Calibri" w:eastAsia="Calibri" w:hAnsi="Calibri" w:cs="Calibri"/>
          <w:color w:val="000000"/>
        </w:rPr>
      </w:pPr>
    </w:p>
    <w:p w14:paraId="4F9589C2" w14:textId="77777777" w:rsidR="00A2351A" w:rsidRDefault="00A2351A">
      <w:pPr>
        <w:sectPr w:rsidR="00A2351A" w:rsidSect="00B158B8">
          <w:headerReference w:type="default" r:id="rId15"/>
          <w:footerReference w:type="default" r:id="rId16"/>
          <w:pgSz w:w="16820" w:h="11900" w:orient="landscape"/>
          <w:pgMar w:top="840" w:right="520" w:bottom="1540" w:left="560" w:header="601" w:footer="576" w:gutter="0"/>
          <w:cols w:space="720"/>
          <w:noEndnote/>
        </w:sectPr>
      </w:pPr>
    </w:p>
    <w:p w14:paraId="36D2A45B" w14:textId="77777777" w:rsidR="00A2351A" w:rsidRDefault="002D5C25" w:rsidP="00496C84">
      <w:pPr>
        <w:pStyle w:val="Nadpis1"/>
      </w:pPr>
      <w:bookmarkStart w:id="14" w:name="_Toc39495069"/>
      <w:r>
        <w:t>SHRNUTÍ EVALUACÍ (čl. 50 odst. 2 nařízení (EU) č. 1303/2013)</w:t>
      </w:r>
      <w:bookmarkEnd w:id="14"/>
    </w:p>
    <w:p w14:paraId="50727433" w14:textId="77777777" w:rsidR="0077025C" w:rsidRDefault="0077025C" w:rsidP="0077025C">
      <w:pPr>
        <w:spacing w:after="120" w:line="264" w:lineRule="auto"/>
        <w:ind w:left="119" w:right="121"/>
        <w:jc w:val="both"/>
        <w:rPr>
          <w:rFonts w:ascii="Arial" w:eastAsia="Arial" w:hAnsi="Arial" w:cs="Arial"/>
          <w:color w:val="000000"/>
        </w:rPr>
      </w:pPr>
    </w:p>
    <w:p w14:paraId="7C127EBC" w14:textId="74F4050B" w:rsidR="0077025C" w:rsidRPr="00867D12" w:rsidRDefault="0077025C" w:rsidP="0077025C">
      <w:pPr>
        <w:spacing w:after="120" w:line="264" w:lineRule="auto"/>
        <w:ind w:left="119" w:right="121"/>
        <w:jc w:val="both"/>
        <w:rPr>
          <w:rFonts w:ascii="Arial" w:eastAsia="Arial" w:hAnsi="Arial" w:cs="Arial"/>
          <w:color w:val="000000"/>
          <w:u w:val="single"/>
        </w:rPr>
      </w:pPr>
      <w:r w:rsidRPr="00867D12">
        <w:rPr>
          <w:rFonts w:ascii="Arial" w:eastAsia="Arial" w:hAnsi="Arial" w:cs="Arial"/>
          <w:color w:val="000000"/>
          <w:u w:val="single"/>
        </w:rPr>
        <w:t>V roce 2019 byly ukončeny tyto evaluace nebo etapy evaluací:</w:t>
      </w:r>
    </w:p>
    <w:p w14:paraId="6C94F844" w14:textId="77777777"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 xml:space="preserve">03.004 Evaluace výsledků pilotní podpory budování kapacit a profesionalizace NNO: </w:t>
      </w:r>
      <w:r w:rsidRPr="0077025C">
        <w:rPr>
          <w:rFonts w:ascii="Arial" w:eastAsia="Arial" w:hAnsi="Arial" w:cs="Arial"/>
          <w:color w:val="000000"/>
        </w:rPr>
        <w:t>V roce 2019 skončil sběr dat do závěrečného dotazníku a byla dokončena evaluace celé výzvy. Fokusní skupiny i porovnání obou dotazníků, vstupního a závěrečného, shodně potvrdily, že v průběhu intervence došlo jak k významnému posunu ve využívání různých nástrojů pro zvýšení kapacit nevládních neziskových organizací, tak také k reálnému pozitivnímu dopadu na fungování podpořených organizací. Reálné zlepšení respondenti potvrdili v oblastech sledující efektivitu fungování NNO, např. ve vztahu k řízení lidských zdrojů, vizuálnímu stylu organizace, kvalitě služeb nebo míře závislosti na dobrovolnících.</w:t>
      </w:r>
    </w:p>
    <w:p w14:paraId="2A054037" w14:textId="2F40A218"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03.011 Evaluace výsledků pilotní podpory mezinárodní mobility znevýhodněné mládeže:</w:t>
      </w:r>
      <w:r w:rsidRPr="0077025C">
        <w:rPr>
          <w:rFonts w:ascii="Arial" w:eastAsia="Arial" w:hAnsi="Arial" w:cs="Arial"/>
          <w:color w:val="000000"/>
        </w:rPr>
        <w:t xml:space="preserve"> Ve 3Q 2019 byla dokončena Závěrečná zpráva hodnotící celkový dopad projektů výzvy </w:t>
      </w:r>
      <w:r w:rsidR="00867D12">
        <w:rPr>
          <w:rFonts w:ascii="Arial" w:eastAsia="Arial" w:hAnsi="Arial" w:cs="Arial"/>
          <w:color w:val="000000"/>
        </w:rPr>
        <w:t xml:space="preserve">č. </w:t>
      </w:r>
      <w:r w:rsidRPr="0077025C">
        <w:rPr>
          <w:rFonts w:ascii="Arial" w:eastAsia="Arial" w:hAnsi="Arial" w:cs="Arial"/>
          <w:color w:val="000000"/>
        </w:rPr>
        <w:t xml:space="preserve">32. Na základě výsledků této evaluace současně probíhala příprava evaluačního designu a evaluačních dotazníků pro navazující výzvu </w:t>
      </w:r>
      <w:r w:rsidR="00867D12">
        <w:rPr>
          <w:rFonts w:ascii="Arial" w:eastAsia="Arial" w:hAnsi="Arial" w:cs="Arial"/>
          <w:color w:val="000000"/>
        </w:rPr>
        <w:t xml:space="preserve">č. </w:t>
      </w:r>
      <w:r w:rsidRPr="0077025C">
        <w:rPr>
          <w:rFonts w:ascii="Arial" w:eastAsia="Arial" w:hAnsi="Arial" w:cs="Arial"/>
          <w:color w:val="000000"/>
        </w:rPr>
        <w:t>59 mezinárodní mobility v rámci 2. etapy evaluace. Od června 2019 byl spuštěn vstupní dotazník a od srpna 2019 dotazník průběžný. Dotazníky jsou vyplňovány průběžně podle začátku realizace jednotlivých projektů. V závěru roku 2019 začala probíhat příprava kvalitativního šetření, které bude řešeno veřejnou zakázkou.</w:t>
      </w:r>
    </w:p>
    <w:p w14:paraId="3000F796" w14:textId="5E548B73" w:rsidR="0077025C" w:rsidRPr="0077025C" w:rsidRDefault="0077025C" w:rsidP="00867D12">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03.020 Evaluace dětských skupin a dětských klubů:</w:t>
      </w:r>
      <w:r w:rsidRPr="0077025C">
        <w:rPr>
          <w:rFonts w:ascii="Arial" w:eastAsia="Arial" w:hAnsi="Arial" w:cs="Arial"/>
          <w:color w:val="000000"/>
        </w:rPr>
        <w:t xml:space="preserve"> V roce 2019 byla dokončena závěrečná zpráva</w:t>
      </w:r>
      <w:r w:rsidR="00867D12">
        <w:rPr>
          <w:rFonts w:ascii="Arial" w:eastAsia="Arial" w:hAnsi="Arial" w:cs="Arial"/>
          <w:color w:val="000000"/>
        </w:rPr>
        <w:t xml:space="preserve"> </w:t>
      </w:r>
      <w:r w:rsidRPr="0077025C">
        <w:rPr>
          <w:rFonts w:ascii="Arial" w:eastAsia="Arial" w:hAnsi="Arial" w:cs="Arial"/>
          <w:color w:val="000000"/>
        </w:rPr>
        <w:t>z 2. etapy evaluace vyhodnocující dětské kluby. Vyhodnocení probíhalo skrze interní dotazníkové šetření na cílovou skupinu a příjemce.</w:t>
      </w:r>
    </w:p>
    <w:p w14:paraId="3026FA81" w14:textId="77777777"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03.027 Hodnocení výsledků Strategie komunitně vedeného místního rozvoje - CLLD (I.):</w:t>
      </w:r>
      <w:r w:rsidRPr="0077025C">
        <w:rPr>
          <w:rFonts w:ascii="Arial" w:eastAsia="Arial" w:hAnsi="Arial" w:cs="Arial"/>
          <w:color w:val="000000"/>
        </w:rPr>
        <w:t xml:space="preserve"> V listopadu 2019 byla závěrečnou zprávou dokončena externí zakázka na případové studie. Cílem šetření bylo zachytit dobrou praxi projektů se zaměřením na podporu zaměstnanosti a sociálního začleňování. Případové studie budou sloužit mimo jiné jako podklad pro zástupce MAS jako konkrétní příklady projektů, které využily specifických možností podpory formou komunitně vedeného místního rozvoje (CLLD).</w:t>
      </w:r>
    </w:p>
    <w:p w14:paraId="6264E580" w14:textId="652CE41E"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03.032 Strategická evaluace OPZ II:</w:t>
      </w:r>
      <w:r w:rsidRPr="0077025C">
        <w:rPr>
          <w:rFonts w:ascii="Arial" w:eastAsia="Arial" w:hAnsi="Arial" w:cs="Arial"/>
          <w:color w:val="000000"/>
        </w:rPr>
        <w:t xml:space="preserve"> Cílem evaluace bylo vyhodnocení pokroku v implementaci OPZ v polovině období k 31. 12. 2018, vč. výsledků a příspěvku OPZ k cílům DoP. Zdro</w:t>
      </w:r>
      <w:r w:rsidR="00867D12">
        <w:rPr>
          <w:rFonts w:ascii="Arial" w:eastAsia="Arial" w:hAnsi="Arial" w:cs="Arial"/>
          <w:color w:val="000000"/>
        </w:rPr>
        <w:t>jem dat byla dokumentace OPZ, MS</w:t>
      </w:r>
      <w:r w:rsidRPr="0077025C">
        <w:rPr>
          <w:rFonts w:ascii="Arial" w:eastAsia="Arial" w:hAnsi="Arial" w:cs="Arial"/>
          <w:color w:val="000000"/>
        </w:rPr>
        <w:t>2014+ a doplňkově ŘO OPZ pro daný SC. Byla sledována relevance podpory, finanční a věcný pokrok a plnění výsledků podle dosažených hodnot indikátorů výsledku. Pokrok OPZ odpovídá očekávání, byly splněny všechny ukazatele milníků i plnění pravid</w:t>
      </w:r>
      <w:r w:rsidR="00867D12">
        <w:rPr>
          <w:rFonts w:ascii="Arial" w:eastAsia="Arial" w:hAnsi="Arial" w:cs="Arial"/>
          <w:color w:val="000000"/>
        </w:rPr>
        <w:t>la n+3. Nejvíce pokročilá je PO</w:t>
      </w:r>
      <w:r w:rsidRPr="0077025C">
        <w:rPr>
          <w:rFonts w:ascii="Arial" w:eastAsia="Arial" w:hAnsi="Arial" w:cs="Arial"/>
          <w:color w:val="000000"/>
        </w:rPr>
        <w:t xml:space="preserve">1 s ohledem na včasnou a rychlou implementaci velkých projektů APZ, naopak zaostávají velké systémové projekty </w:t>
      </w:r>
      <w:r w:rsidR="00867D12">
        <w:rPr>
          <w:rFonts w:ascii="Arial" w:eastAsia="Arial" w:hAnsi="Arial" w:cs="Arial"/>
          <w:color w:val="000000"/>
        </w:rPr>
        <w:t xml:space="preserve">napříč OPZ a projekty ITI/IPRÚ. </w:t>
      </w:r>
      <w:r w:rsidRPr="0077025C">
        <w:rPr>
          <w:rFonts w:ascii="Arial" w:eastAsia="Arial" w:hAnsi="Arial" w:cs="Arial"/>
          <w:color w:val="000000"/>
        </w:rPr>
        <w:t>Nejčastější příčiny byly pomalé přijímání pracovníků do projektů, dlouhé zadávání věřených zakázek, složitější koordinace ITI/IPRÚ a snížení počtu potenciálních účastníků projektů z CS v souvislosti s ekonomickým růstem v 2014-2018.</w:t>
      </w:r>
    </w:p>
    <w:p w14:paraId="53C55A02" w14:textId="77777777" w:rsidR="0077025C" w:rsidRPr="00867D12" w:rsidRDefault="0077025C" w:rsidP="0077025C">
      <w:pPr>
        <w:spacing w:after="120" w:line="264" w:lineRule="auto"/>
        <w:ind w:left="119" w:right="121"/>
        <w:jc w:val="both"/>
        <w:rPr>
          <w:rFonts w:ascii="Arial" w:eastAsia="Arial" w:hAnsi="Arial" w:cs="Arial"/>
          <w:color w:val="000000"/>
          <w:u w:val="single"/>
        </w:rPr>
      </w:pPr>
      <w:r w:rsidRPr="00867D12">
        <w:rPr>
          <w:rFonts w:ascii="Arial" w:eastAsia="Arial" w:hAnsi="Arial" w:cs="Arial"/>
          <w:color w:val="000000"/>
          <w:u w:val="single"/>
        </w:rPr>
        <w:t xml:space="preserve">Níže jsou uvedeny evaluace, které jsou v realizaci: </w:t>
      </w:r>
    </w:p>
    <w:p w14:paraId="551AD7E4" w14:textId="77777777"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03.002 Evaluace národních a regionálních projektů APZ:</w:t>
      </w:r>
      <w:r w:rsidRPr="0077025C">
        <w:rPr>
          <w:rFonts w:ascii="Arial" w:eastAsia="Arial" w:hAnsi="Arial" w:cs="Arial"/>
          <w:color w:val="000000"/>
        </w:rPr>
        <w:t xml:space="preserve"> V únoru 2019 byla dokončena sebeevaluace projektů NoPP SÚPM a NoPP VPP. V průběhu roku probíhaly přípravy zadávacích dokumentací k evaluaci dalších projektů APZ - VDTP II, RIP, POVEZ, EURES.  Pro projekt EURES vznikl interně vytvořený dotazník, který bude distribuován mezi klienty projektu v příštím roce. Pro projekty RIP soustavně probíhá sběr dat formou dvoufázového dotazníku na měkké přínosy u CS, jehož vyhodnocení bude součástí evaluace.</w:t>
      </w:r>
    </w:p>
    <w:p w14:paraId="01D92584" w14:textId="77777777"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03.003 Zpětná vazba klientů OPZ:</w:t>
      </w:r>
      <w:r w:rsidRPr="0077025C">
        <w:rPr>
          <w:rFonts w:ascii="Arial" w:eastAsia="Arial" w:hAnsi="Arial" w:cs="Arial"/>
          <w:color w:val="000000"/>
        </w:rPr>
        <w:t xml:space="preserve"> Každoroční dotazníkový průzkum spokojeností klientů OPZ. Dotazník byl v tomto ročníku šetření rozdělen na dva typy, první a obsáhlejší pro příjemce, druhý pro neúspěšné žadatele. Mezi příjemci stejně jako v předchozích letech jednoznačně převládali respondenti, kteří byli se všemi jednotlivými sledovanými tématy administrace výzev a projektů OPZ spokojení. Dotazník pro neúspěšné měl nízkou návratnost, více kritizována byla pouze fáze hodnocení projektů, jinak i zde převládala spokojenost. Sběr dat proběhl v březnu 2019. </w:t>
      </w:r>
    </w:p>
    <w:p w14:paraId="0280EAB6" w14:textId="77777777"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03.006 Evaluace pilotního ověření mikrojeslí:</w:t>
      </w:r>
      <w:r w:rsidRPr="0077025C">
        <w:rPr>
          <w:rFonts w:ascii="Arial" w:eastAsia="Arial" w:hAnsi="Arial" w:cs="Arial"/>
          <w:color w:val="000000"/>
        </w:rPr>
        <w:t xml:space="preserve"> V roce 2019 začala druhá etapa evaluace, jejímž cílem je pilotní vyhodnocení výzev na podporu péče o děti od šesti měsíců do čtyř let a zmapovat přispění této služby ke zvýšení zaměstnanosti, případně zvýšení příjmů a spokojenosti se sladěním rodinných a pracovních povinností rodičů. V rámci evaluace probíhá dotazníkové šetření s cílovou skupinou a zřizovateli služby. Zároveň jsou se zřizovateli v rámci kvalitativního došetření realizovány také hloubkové rozhovory. V první polovině roku 2020 zpracovány také údaje z docházkového systému, které poskytnou detailnější vhled do rozvržení, rozsahu a fluktuace docházky těchto malých dětí do mikrojeslí.</w:t>
      </w:r>
    </w:p>
    <w:p w14:paraId="26B8EC9D" w14:textId="77777777"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03.009 Hodnocení dopadů podpory sociálního podnikání:</w:t>
      </w:r>
      <w:r w:rsidRPr="0077025C">
        <w:rPr>
          <w:rFonts w:ascii="Arial" w:eastAsia="Arial" w:hAnsi="Arial" w:cs="Arial"/>
          <w:color w:val="000000"/>
        </w:rPr>
        <w:t xml:space="preserve"> V lednu 2019 byla dokončena 1. průběžná zpráva ze sběru dat z dotazníku pro podpořené osoby. Klíčovou součástí šetření je posouzení vnímání bariér vstupu na pracovní trh ze strany osob se znevýhodněním. Dále je zjišťován vlastní pohled cílové skupiny na své pracovní kompetence a spokojenost s vybranými aspekty života. Vnímání bariér, posouzení pracovních kompetencí i spokojenost budou sledovány i v časovém vývoji – hodnocena bude změna postojů při zahájení projektu a po ukončení projektu. V dubnu 2019 byla dokončena 2. průběžná zpráva z interního průběžného dotazníku pro příjemce podpory (sociální podnikatele). Cílem tohoto dotazníku je vyhodnotit realizaci projektů, předpoklady udržitelnosti, ale také zmapovat potřeby sociálních podniků z hlediska poradenství, finančních nástrojů či nastavení podnikatelského prostředí.</w:t>
      </w:r>
    </w:p>
    <w:p w14:paraId="1F59F8C2" w14:textId="0D683C2F"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03.015 Vyhodnocení výsledků podpor</w:t>
      </w:r>
      <w:r w:rsidR="00867D12" w:rsidRPr="00867D12">
        <w:rPr>
          <w:rFonts w:ascii="Arial" w:eastAsia="Arial" w:hAnsi="Arial" w:cs="Arial"/>
          <w:b/>
          <w:color w:val="000000"/>
        </w:rPr>
        <w:t>y sociálních inovací v PO</w:t>
      </w:r>
      <w:r w:rsidRPr="00867D12">
        <w:rPr>
          <w:rFonts w:ascii="Arial" w:eastAsia="Arial" w:hAnsi="Arial" w:cs="Arial"/>
          <w:b/>
          <w:color w:val="000000"/>
        </w:rPr>
        <w:t>3 OPZ:</w:t>
      </w:r>
      <w:r w:rsidRPr="0077025C">
        <w:rPr>
          <w:rFonts w:ascii="Arial" w:eastAsia="Arial" w:hAnsi="Arial" w:cs="Arial"/>
          <w:color w:val="000000"/>
        </w:rPr>
        <w:t xml:space="preserve"> V rámci evaluace byla v roce 2019 zahájena veřejná zakázka Kvalitativní</w:t>
      </w:r>
      <w:r w:rsidR="00867D12">
        <w:rPr>
          <w:rFonts w:ascii="Arial" w:eastAsia="Arial" w:hAnsi="Arial" w:cs="Arial"/>
          <w:color w:val="000000"/>
        </w:rPr>
        <w:t xml:space="preserve"> šetření inovačních projektů PO</w:t>
      </w:r>
      <w:r w:rsidRPr="0077025C">
        <w:rPr>
          <w:rFonts w:ascii="Arial" w:eastAsia="Arial" w:hAnsi="Arial" w:cs="Arial"/>
          <w:color w:val="000000"/>
        </w:rPr>
        <w:t>3 OPZ. Proběhlo 41 rozhovorů a 2 fokusní skupiny s respondenty z vybraných 5 projektů. Připravuje se Průběžná evaluační zpráva, která využije šetření a bude na základě desk-research prezentovat charakteristiky všech projektů z inovačních výzev a dále 5 případových studií na vývoj podpořených inovací. Na základě zjištění budou formulovány souhrnné závěry a doporučení pro nastavení implementace podpory sociálních inovací v OPZ+.</w:t>
      </w:r>
    </w:p>
    <w:p w14:paraId="59A8DF60" w14:textId="796B1FFA"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 xml:space="preserve">03.041 Evaluace výzev </w:t>
      </w:r>
      <w:r w:rsidR="00867D12" w:rsidRPr="00867D12">
        <w:rPr>
          <w:rFonts w:ascii="Arial" w:eastAsia="Arial" w:hAnsi="Arial" w:cs="Arial"/>
          <w:b/>
          <w:color w:val="000000"/>
        </w:rPr>
        <w:t xml:space="preserve">č. </w:t>
      </w:r>
      <w:r w:rsidRPr="00867D12">
        <w:rPr>
          <w:rFonts w:ascii="Arial" w:eastAsia="Arial" w:hAnsi="Arial" w:cs="Arial"/>
          <w:b/>
          <w:color w:val="000000"/>
        </w:rPr>
        <w:t>33 a 34 OPZ pro územní samosprávné celky:</w:t>
      </w:r>
      <w:r w:rsidRPr="0077025C">
        <w:rPr>
          <w:rFonts w:ascii="Arial" w:eastAsia="Arial" w:hAnsi="Arial" w:cs="Arial"/>
          <w:color w:val="000000"/>
        </w:rPr>
        <w:t xml:space="preserve"> V průběhu roku 2019 probíhal sběr dat formou dotazníků pro kontaktní osoby projektů a dále pro účastníky vzdělávacích aktivit, poté byly výsledky šetření zpracovávány. Šetření mezi kontaktními osobami ukázalo pozitivní hodnocení jak nastavení samotné výzvy, tak i z hlediska přínosu realizovaných aktivit. Pozitivní hodnocení je patrné i ze strany účastníků vzdělávacích aktivit realizovaných v rámci těchto výzev. V roce 2020 dojde ke kvalitativnímu došetření formou zpracování případových studií externím dodavatelem.</w:t>
      </w:r>
    </w:p>
    <w:p w14:paraId="3E8E48DB" w14:textId="77777777" w:rsidR="0077025C" w:rsidRPr="0077025C" w:rsidRDefault="0077025C" w:rsidP="0077025C">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03.042 Evaluace dětských skupin II:</w:t>
      </w:r>
      <w:r w:rsidRPr="0077025C">
        <w:rPr>
          <w:rFonts w:ascii="Arial" w:eastAsia="Arial" w:hAnsi="Arial" w:cs="Arial"/>
          <w:color w:val="000000"/>
        </w:rPr>
        <w:t xml:space="preserve"> navázala na Evaluaci dětských skupin a dětských klubů I. V průběhu roku 2019 bylo interně realizováno dotazníkové šetření mezi cílovou skupinou (rodiče dětí navštěvujících DS). Data z tohoto dotazníkového šetření budou vyhodnocena v první polovině roku 2020.</w:t>
      </w:r>
    </w:p>
    <w:p w14:paraId="22A62538" w14:textId="51500660" w:rsidR="0077025C" w:rsidRPr="0077025C" w:rsidRDefault="0077025C" w:rsidP="00330287">
      <w:pPr>
        <w:spacing w:after="120" w:line="264" w:lineRule="auto"/>
        <w:ind w:left="119" w:right="121"/>
        <w:jc w:val="both"/>
        <w:rPr>
          <w:rFonts w:ascii="Arial" w:eastAsia="Arial" w:hAnsi="Arial" w:cs="Arial"/>
          <w:color w:val="000000"/>
        </w:rPr>
      </w:pPr>
      <w:r w:rsidRPr="00867D12">
        <w:rPr>
          <w:rFonts w:ascii="Arial" w:eastAsia="Arial" w:hAnsi="Arial" w:cs="Arial"/>
          <w:b/>
          <w:color w:val="000000"/>
        </w:rPr>
        <w:t>03.036 Evaluace podpory dalšího podnikového vzdělávání zaměstnanců (I.):</w:t>
      </w:r>
      <w:r w:rsidRPr="0077025C">
        <w:rPr>
          <w:rFonts w:ascii="Arial" w:eastAsia="Arial" w:hAnsi="Arial" w:cs="Arial"/>
          <w:color w:val="000000"/>
        </w:rPr>
        <w:t xml:space="preserve"> V roce 2019 proběhlo interně dotazníkové šetření s příjemci první výzvy na další podnikové vzdělávání (výzva </w:t>
      </w:r>
      <w:r w:rsidR="00867D12">
        <w:rPr>
          <w:rFonts w:ascii="Arial" w:eastAsia="Arial" w:hAnsi="Arial" w:cs="Arial"/>
          <w:color w:val="000000"/>
        </w:rPr>
        <w:t xml:space="preserve">č. </w:t>
      </w:r>
      <w:r w:rsidRPr="0077025C">
        <w:rPr>
          <w:rFonts w:ascii="Arial" w:eastAsia="Arial" w:hAnsi="Arial" w:cs="Arial"/>
          <w:color w:val="000000"/>
        </w:rPr>
        <w:t>43).</w:t>
      </w:r>
      <w:r w:rsidR="00330287">
        <w:rPr>
          <w:rFonts w:ascii="Arial" w:eastAsia="Arial" w:hAnsi="Arial" w:cs="Arial"/>
          <w:color w:val="000000"/>
        </w:rPr>
        <w:t xml:space="preserve"> </w:t>
      </w:r>
      <w:r w:rsidRPr="0077025C">
        <w:rPr>
          <w:rFonts w:ascii="Arial" w:eastAsia="Arial" w:hAnsi="Arial" w:cs="Arial"/>
          <w:color w:val="000000"/>
        </w:rPr>
        <w:t>Na toto šetření koncem roku navázala analýza dat o podpořených osobách (účastnících vzdělávání) z monitorovacího systému IS ESF, rovněž zpracovávaná interně. Tato analýza by měla přinést bližší informace o tom, jaké osoby jsou ve výzvě nejvíce podporovány a v jakých oblastech vzdělávání. Výstup z tohoto dílčího šetření vznikne v první polovině roku 2020.</w:t>
      </w:r>
    </w:p>
    <w:p w14:paraId="5AEEAAFC" w14:textId="77777777" w:rsidR="0077025C" w:rsidRPr="0077025C" w:rsidRDefault="0077025C" w:rsidP="0077025C">
      <w:pPr>
        <w:spacing w:after="120" w:line="264" w:lineRule="auto"/>
        <w:ind w:left="119" w:right="121"/>
        <w:jc w:val="both"/>
        <w:rPr>
          <w:rFonts w:ascii="Arial" w:eastAsia="Arial" w:hAnsi="Arial" w:cs="Arial"/>
          <w:color w:val="000000"/>
        </w:rPr>
      </w:pPr>
      <w:r w:rsidRPr="00330287">
        <w:rPr>
          <w:rFonts w:ascii="Arial" w:eastAsia="Arial" w:hAnsi="Arial" w:cs="Arial"/>
          <w:b/>
          <w:color w:val="000000"/>
        </w:rPr>
        <w:t xml:space="preserve">03.038 Dotazníkové šetření u příjemců soutěžních projektů OPZ (Dotazník ZoR): </w:t>
      </w:r>
      <w:r w:rsidRPr="0077025C">
        <w:rPr>
          <w:rFonts w:ascii="Arial" w:eastAsia="Arial" w:hAnsi="Arial" w:cs="Arial"/>
          <w:color w:val="000000"/>
        </w:rPr>
        <w:t>V dubnu 2019 byla zpracována první průběžná zpráva z dat sesbíraných v dotazníku do závěrečné zprávy o realizaci, který se zaměřuje na výsledky soutěžních projektů. Cílem tohoto dotazníku je zmapovat základní výsledky projektů resp. přínosy účasti podpořených osob v projektech. Zjišťuje dosažené přínosy v zaměstnanosti účastníků, v jejich vzdělání, ve změně postojů a motivaci. Dále zkoumá zahrnutí principu rovnosti žen a mužů. Zjišťuje také specifické přínosy projektů dle jejich zaměření. Podstatnou součástí dotazníku je také zmapování problémů a překážek během přípravy a realizace projektů a zachycení dobré praxe.</w:t>
      </w:r>
    </w:p>
    <w:p w14:paraId="112276FE" w14:textId="77777777" w:rsidR="0077025C" w:rsidRPr="0077025C" w:rsidRDefault="0077025C" w:rsidP="0077025C">
      <w:pPr>
        <w:spacing w:after="120" w:line="264" w:lineRule="auto"/>
        <w:ind w:left="119" w:right="121"/>
        <w:jc w:val="both"/>
        <w:rPr>
          <w:rFonts w:ascii="Arial" w:eastAsia="Arial" w:hAnsi="Arial" w:cs="Arial"/>
          <w:color w:val="000000"/>
        </w:rPr>
      </w:pPr>
      <w:r w:rsidRPr="00330287">
        <w:rPr>
          <w:rFonts w:ascii="Arial" w:eastAsia="Arial" w:hAnsi="Arial" w:cs="Arial"/>
          <w:b/>
          <w:color w:val="000000"/>
        </w:rPr>
        <w:t>03.040 Hodnocení nastavení a výsledků integrovaných nástrojů ITI a IPRÚ (I.):</w:t>
      </w:r>
      <w:r w:rsidRPr="0077025C">
        <w:rPr>
          <w:rFonts w:ascii="Arial" w:eastAsia="Arial" w:hAnsi="Arial" w:cs="Arial"/>
          <w:color w:val="000000"/>
        </w:rPr>
        <w:t xml:space="preserve"> Vedle komplexní evaluace prováděné EJ NOK probíhá dílčí šetření na úrovni OPZ. V dubnu 2019 bylo zpracováno vyhodnocení interního šetření mezi žadateli o podporu projektů v rámci Integrovaných územních investic (ITI) a Integrovaných plánů rozvoje území (IPRÚ) v programovém rámci OPZ. Dále probíhala příprava zadávací dokumentace ke kvalitativnímu došetření vyhodnocení fungování a přínosu tematických pracovních skupin ITI/IPRÚ navázaných na výzvy OPZ. V září 2019 byla podepsána smlouva s dodavatelem kvalitativního šetření a v říjnu 2019 byla předána vstupní zpráva.</w:t>
      </w:r>
    </w:p>
    <w:p w14:paraId="723BA1E5" w14:textId="77777777" w:rsidR="0077025C" w:rsidRPr="0077025C" w:rsidRDefault="0077025C" w:rsidP="0077025C">
      <w:pPr>
        <w:spacing w:after="120" w:line="264" w:lineRule="auto"/>
        <w:ind w:left="119" w:right="121"/>
        <w:jc w:val="both"/>
        <w:rPr>
          <w:rFonts w:ascii="Arial" w:eastAsia="Arial" w:hAnsi="Arial" w:cs="Arial"/>
          <w:color w:val="000000"/>
        </w:rPr>
      </w:pPr>
      <w:r w:rsidRPr="00330287">
        <w:rPr>
          <w:rFonts w:ascii="Arial" w:eastAsia="Arial" w:hAnsi="Arial" w:cs="Arial"/>
          <w:b/>
          <w:color w:val="000000"/>
        </w:rPr>
        <w:t xml:space="preserve">03.043 Analýza situace v oblasti transformace pobytových sociálních služeb a evaluace výzev OPZ na podporu transformace: </w:t>
      </w:r>
      <w:r w:rsidRPr="0077025C">
        <w:rPr>
          <w:rFonts w:ascii="Arial" w:eastAsia="Arial" w:hAnsi="Arial" w:cs="Arial"/>
          <w:color w:val="000000"/>
        </w:rPr>
        <w:t>Analýza služeb je realizována na základě syntézy dostupných dat MPSV a vlastního sběru. V roce 2019 byl v interním šetření distribuován všem poskytovatelům dotazník zaměřený na postoje, aktuální stav a výhled deinstitucionalizace. Zkoumání kritérií ústavnosti v jednotlivých typech zařízení ukázalo, že nejčastěji je naplňují domovy se zvláštním režimem, kritéria komunitních služeb naopak nejčastěji naplňují chráněná bydlení. V rámci vyhodnocení výzev OPZ zaměřených na transformaci pobytových služeb probíhala příprava veřejné zakázky na sběr dat o realizovaných projektech.</w:t>
      </w:r>
    </w:p>
    <w:p w14:paraId="74BED429" w14:textId="28B4A26F" w:rsidR="0077025C" w:rsidRPr="0077025C" w:rsidRDefault="0077025C" w:rsidP="0077025C">
      <w:pPr>
        <w:spacing w:after="120" w:line="264" w:lineRule="auto"/>
        <w:ind w:left="119" w:right="121"/>
        <w:jc w:val="both"/>
        <w:rPr>
          <w:rFonts w:ascii="Arial" w:eastAsia="Arial" w:hAnsi="Arial" w:cs="Arial"/>
          <w:color w:val="000000"/>
        </w:rPr>
      </w:pPr>
      <w:r w:rsidRPr="00330287">
        <w:rPr>
          <w:rFonts w:ascii="Arial" w:eastAsia="Arial" w:hAnsi="Arial" w:cs="Arial"/>
          <w:b/>
          <w:color w:val="000000"/>
        </w:rPr>
        <w:t xml:space="preserve">03.044 Evaluace výsledků výzvy Podpora programu Housing First (Bydlení především): </w:t>
      </w:r>
      <w:r w:rsidRPr="0077025C">
        <w:rPr>
          <w:rFonts w:ascii="Arial" w:eastAsia="Arial" w:hAnsi="Arial" w:cs="Arial"/>
          <w:color w:val="000000"/>
        </w:rPr>
        <w:t xml:space="preserve">V roce 2019 byl zahájen sběr dat </w:t>
      </w:r>
      <w:r w:rsidR="00330287">
        <w:rPr>
          <w:rFonts w:ascii="Arial" w:eastAsia="Arial" w:hAnsi="Arial" w:cs="Arial"/>
          <w:color w:val="000000"/>
        </w:rPr>
        <w:t xml:space="preserve">pro evaluaci výzvy OPZ č. 108 </w:t>
      </w:r>
      <w:r w:rsidR="00330287" w:rsidRPr="00330287">
        <w:rPr>
          <w:rFonts w:ascii="Arial" w:eastAsia="Arial" w:hAnsi="Arial" w:cs="Arial"/>
          <w:color w:val="000000"/>
        </w:rPr>
        <w:t>„</w:t>
      </w:r>
      <w:r w:rsidRPr="0077025C">
        <w:rPr>
          <w:rFonts w:ascii="Arial" w:eastAsia="Arial" w:hAnsi="Arial" w:cs="Arial"/>
          <w:color w:val="000000"/>
        </w:rPr>
        <w:t>Podpora programu Housing First</w:t>
      </w:r>
      <w:r w:rsidR="00330287">
        <w:rPr>
          <w:rFonts w:ascii="Arial" w:eastAsia="Arial" w:hAnsi="Arial" w:cs="Arial"/>
          <w:color w:val="000000"/>
        </w:rPr>
        <w:t>”</w:t>
      </w:r>
      <w:r w:rsidRPr="0077025C">
        <w:rPr>
          <w:rFonts w:ascii="Arial" w:eastAsia="Arial" w:hAnsi="Arial" w:cs="Arial"/>
          <w:color w:val="000000"/>
        </w:rPr>
        <w:t>. U příjemců podpory jsou zjišťovány základní parametry podpory v jednotlivých projektech – např. počet sociálních bytů poskytnutých v projektu, způsob mapování cílové skupiny a výběru podpořených domácností nebo parametry nájemní smlouvy k sociálnímu bydlení. Klíčovou součástí evaluace je dotazníkové šetření mezi zástupci podpořených domácností. Dotazování s domácnostmi by měla proběhnout celkem třikrát – před nastěhováním domácnosti do bytu, po 12 měsících od nastěhování domácnosti do bytu a po 24 měsících od nastěhování.</w:t>
      </w:r>
    </w:p>
    <w:p w14:paraId="6E690C17" w14:textId="62221C1D" w:rsidR="008C046D" w:rsidRPr="0077025C" w:rsidRDefault="0077025C" w:rsidP="0077025C">
      <w:pPr>
        <w:spacing w:after="120" w:line="264" w:lineRule="auto"/>
        <w:ind w:left="119" w:right="121"/>
        <w:jc w:val="both"/>
        <w:rPr>
          <w:rFonts w:ascii="Arial" w:eastAsia="Arial" w:hAnsi="Arial" w:cs="Arial"/>
          <w:color w:val="000000"/>
        </w:rPr>
      </w:pPr>
      <w:r w:rsidRPr="0077025C">
        <w:rPr>
          <w:rFonts w:ascii="Arial" w:eastAsia="Arial" w:hAnsi="Arial" w:cs="Arial"/>
          <w:color w:val="000000"/>
        </w:rPr>
        <w:t>Další doplňující informace k této kapitole jsou uvedeny v př</w:t>
      </w:r>
      <w:r w:rsidR="008B7797">
        <w:rPr>
          <w:rFonts w:ascii="Arial" w:eastAsia="Arial" w:hAnsi="Arial" w:cs="Arial"/>
          <w:color w:val="000000"/>
        </w:rPr>
        <w:t>íloze č. 4</w:t>
      </w:r>
      <w:r w:rsidRPr="0077025C">
        <w:rPr>
          <w:rFonts w:ascii="Arial" w:eastAsia="Arial" w:hAnsi="Arial" w:cs="Arial"/>
          <w:color w:val="000000"/>
        </w:rPr>
        <w:t>.</w:t>
      </w:r>
    </w:p>
    <w:p w14:paraId="49040363" w14:textId="77777777" w:rsidR="00A2351A" w:rsidRDefault="002D5C25" w:rsidP="00496C84">
      <w:pPr>
        <w:pStyle w:val="Nadpis1"/>
      </w:pPr>
      <w:bookmarkStart w:id="15" w:name="_Toc39495070"/>
      <w:r>
        <w:t>INFORMACE O IMPLEMENTACI INICIATIVY NA PODPORU ZAMĚSTNANOSTI MLADÝCH LIDÍ, JE-LI POUŽITELNÉ (čl. 19 odst. 2 a 4 nařízení (EU) č. 1304/2013)</w:t>
      </w:r>
      <w:bookmarkEnd w:id="15"/>
    </w:p>
    <w:p w14:paraId="6538C0A5" w14:textId="77777777" w:rsidR="008C046D" w:rsidRDefault="008C046D" w:rsidP="008C046D">
      <w:pPr>
        <w:spacing w:after="120" w:line="264" w:lineRule="auto"/>
        <w:ind w:left="119" w:right="121"/>
        <w:jc w:val="both"/>
        <w:rPr>
          <w:rFonts w:ascii="Arial" w:eastAsia="Arial" w:hAnsi="Arial" w:cs="Arial"/>
          <w:color w:val="000000"/>
        </w:rPr>
      </w:pPr>
    </w:p>
    <w:p w14:paraId="3395BDE5" w14:textId="77777777" w:rsidR="0077025C" w:rsidRPr="00330287" w:rsidRDefault="0077025C" w:rsidP="0077025C">
      <w:pPr>
        <w:spacing w:after="120" w:line="264" w:lineRule="auto"/>
        <w:ind w:left="119" w:right="121"/>
        <w:jc w:val="both"/>
        <w:rPr>
          <w:rFonts w:ascii="Arial" w:eastAsia="Arial" w:hAnsi="Arial" w:cs="Arial"/>
          <w:color w:val="000000"/>
          <w:u w:val="single"/>
        </w:rPr>
      </w:pPr>
      <w:r w:rsidRPr="00330287">
        <w:rPr>
          <w:rFonts w:ascii="Arial" w:eastAsia="Arial" w:hAnsi="Arial" w:cs="Arial"/>
          <w:color w:val="000000"/>
          <w:u w:val="single"/>
        </w:rPr>
        <w:t>Obecný popis provádění YEI</w:t>
      </w:r>
    </w:p>
    <w:p w14:paraId="12A2B82A" w14:textId="77777777" w:rsidR="0077025C" w:rsidRPr="0077025C" w:rsidRDefault="0077025C" w:rsidP="0077025C">
      <w:pPr>
        <w:spacing w:after="120" w:line="264" w:lineRule="auto"/>
        <w:ind w:left="119" w:right="121"/>
        <w:jc w:val="both"/>
        <w:rPr>
          <w:rFonts w:ascii="Arial" w:eastAsia="Arial" w:hAnsi="Arial" w:cs="Arial"/>
          <w:color w:val="000000"/>
        </w:rPr>
      </w:pPr>
      <w:r w:rsidRPr="0077025C">
        <w:rPr>
          <w:rFonts w:ascii="Arial" w:eastAsia="Arial" w:hAnsi="Arial" w:cs="Arial"/>
          <w:color w:val="000000"/>
        </w:rPr>
        <w:t>Projekty YEI jsou zaměřeny na cílovou skupinu (CS) lidí mladších 30 let, kteří nejsou v zaměstnání, ve vzdělávání nebo v profesní přípravě, žijících v Karlovarském, Ústeckém a Moravskoslezském kraji (Region NUTS II Severozápad a NUTS II Moravskoslezsko), jsou nezaměstnaní nebo neaktivní (včetně dlouhodobě nezaměstnaných) nezávisle na tom, zda jsou registrováni na Úřadu práce ČR (ÚP ČR) jako uchazeči o zaměstnání či nikoli. Projekty se zaměřují kromě zprostředkování zaměstnání na podporu zahájení samostatné výdělečné činnosti, motivační aktivity, poskytování poradenské činnosti, poskytování rekvalifikací a na podporu aktivit k získání pracovních návyků a zkušeností včetně možnosti stáží do zahraničí. CS v Regionu NUTS II Severozápad a NUTS II Moravskoslezsko je nejvíce postižena nezaměstnaností, mimo jiné spojenou se sociálním vyloučením.</w:t>
      </w:r>
    </w:p>
    <w:p w14:paraId="077FCFB2" w14:textId="18C15926" w:rsidR="0077025C" w:rsidRPr="0077025C" w:rsidRDefault="0077025C" w:rsidP="0077025C">
      <w:pPr>
        <w:spacing w:after="120" w:line="264" w:lineRule="auto"/>
        <w:ind w:left="119" w:right="121"/>
        <w:jc w:val="both"/>
        <w:rPr>
          <w:rFonts w:ascii="Arial" w:eastAsia="Arial" w:hAnsi="Arial" w:cs="Arial"/>
          <w:color w:val="000000"/>
        </w:rPr>
      </w:pPr>
      <w:r w:rsidRPr="0077025C">
        <w:rPr>
          <w:rFonts w:ascii="Arial" w:eastAsia="Arial" w:hAnsi="Arial" w:cs="Arial"/>
          <w:color w:val="000000"/>
        </w:rPr>
        <w:t>V rá</w:t>
      </w:r>
      <w:r w:rsidR="00330287">
        <w:rPr>
          <w:rFonts w:ascii="Arial" w:eastAsia="Arial" w:hAnsi="Arial" w:cs="Arial"/>
          <w:color w:val="000000"/>
        </w:rPr>
        <w:t>mci investiční priority 1.5 (IP</w:t>
      </w:r>
      <w:r w:rsidRPr="0077025C">
        <w:rPr>
          <w:rFonts w:ascii="Arial" w:eastAsia="Arial" w:hAnsi="Arial" w:cs="Arial"/>
          <w:color w:val="000000"/>
        </w:rPr>
        <w:t>1.5) byly dosud vyhlášeny čtyři výzvy, z nichž v červenci 2019 byla vyhlášena poslední výzva pro region NUTS II Severozápad a NUTS II Moravskoslezsko. Ve výzvě č. 3 „Iniciativa na podporu zaměstnanosti mládeže pro  region NUTS Severozápad v Ústeckém a Karlovarském kraji“ byly Krajskými pobočkami ÚP ČR v Ústí nad Labem a v Karlových Varech realizovány 2 projekty. Realizace těchto projektů byla ukončena v 2019 a bylo podpořeno 4 060 osob. V soutěžní (otevřené) výzvě č. 116 „Iniciativa na podporu zaměstnanosti mládeže pro region NUTS II Severozápad – kraje“ byly realizovány dva projekty Ústeckého kraje a jeden projekt  Karlovarským krajem. Projekty ukončily svou fyzickou realizaci k 31. 12. 2018 a podpořeno bylo 1 388 osob. V soutěžní (otevřené) výzvě č. 91 „Iniciativa na podporu zaměstnanosti mládeže pro regiony NUTS II Severozápad a NUTS II Moravskoslezsko – kraje“ byly realizovány v roce 2019  dva projekty - pro Ústecký kraj a Moravskoslezský kraj. Do projektů byly zařazovány přednostně osoby, které nebyly evidovanými uchazeči o zaměstnání na ÚP ČR, ale splňovaly ch</w:t>
      </w:r>
      <w:r w:rsidR="00330287">
        <w:rPr>
          <w:rFonts w:ascii="Arial" w:eastAsia="Arial" w:hAnsi="Arial" w:cs="Arial"/>
          <w:color w:val="000000"/>
        </w:rPr>
        <w:t>arakteristiky cílové skupiny IP</w:t>
      </w:r>
      <w:r w:rsidRPr="0077025C">
        <w:rPr>
          <w:rFonts w:ascii="Arial" w:eastAsia="Arial" w:hAnsi="Arial" w:cs="Arial"/>
          <w:color w:val="000000"/>
        </w:rPr>
        <w:t xml:space="preserve">1.5. Tyto projekty byly ukončeny k 31. 10. 2019 a podpořeno bylo celkem 263 osob. Na základě potřeby jednotlivých regionů byla v roce 2019 vyhlášena výzva č. 136 „Iniciativa na podporu zaměstnanosti mládeže pro region NUTS II Severozápad a NUTS II Moravskoslezsko - ÚP ČR“, která je zaměřena na mladé lidi s kumulací hendikepů. Výzva cílí na zvýšení účasti CS na trhu práce a snížení jejich závislosti na systému sociální ochrany a služeb zaměstnanosti. Oprávněným žadatelem je ÚP ČR. </w:t>
      </w:r>
    </w:p>
    <w:p w14:paraId="4D4F8820" w14:textId="77777777" w:rsidR="0077025C" w:rsidRPr="00330287" w:rsidRDefault="0077025C" w:rsidP="0077025C">
      <w:pPr>
        <w:spacing w:after="120" w:line="264" w:lineRule="auto"/>
        <w:ind w:left="119" w:right="121"/>
        <w:jc w:val="both"/>
        <w:rPr>
          <w:rFonts w:ascii="Arial" w:eastAsia="Arial" w:hAnsi="Arial" w:cs="Arial"/>
          <w:color w:val="000000"/>
          <w:u w:val="single"/>
        </w:rPr>
      </w:pPr>
      <w:r w:rsidRPr="00330287">
        <w:rPr>
          <w:rFonts w:ascii="Arial" w:eastAsia="Arial" w:hAnsi="Arial" w:cs="Arial"/>
          <w:color w:val="000000"/>
          <w:u w:val="single"/>
        </w:rPr>
        <w:t>Popis případných problémů, které se vyskytly při provádění YEI, a opatření přijatých k odstranění těchto problémů</w:t>
      </w:r>
    </w:p>
    <w:p w14:paraId="3A02C71B" w14:textId="20B0C41D" w:rsidR="00A2351A" w:rsidRPr="008C046D" w:rsidRDefault="0077025C" w:rsidP="0077025C">
      <w:pPr>
        <w:spacing w:after="120" w:line="264" w:lineRule="auto"/>
        <w:ind w:left="119" w:right="121"/>
        <w:jc w:val="both"/>
        <w:rPr>
          <w:rFonts w:ascii="Arial" w:eastAsia="Arial" w:hAnsi="Arial" w:cs="Arial"/>
          <w:color w:val="000000"/>
        </w:rPr>
      </w:pPr>
      <w:r w:rsidRPr="0077025C">
        <w:rPr>
          <w:rFonts w:ascii="Arial" w:eastAsia="Arial" w:hAnsi="Arial" w:cs="Arial"/>
          <w:color w:val="000000"/>
        </w:rPr>
        <w:t>Realizaci projektů výrazně ovlivňuje situace na trhu práce, která prošla od roku 2012 zásadní změnou. Míra nezaměstnanosti mládeže v regionu NUTS II Severozápad značně poklesla a příjemci nyní obtížně získávají cílovou skupinu. ŘO OPZ přijal řadu opatření, která byla uplatněna napříč všemi projekty realizovanými ve výzvách č. 3 a 116. Zároveň bylo s ÚP ČR schváleno prodloužení realizace projektů výzvy č. 3 do 5/2019 a 7/2019. Vzhledem k možnosti realokace max. 10 % prostředků YEI do dalších regionů s vysokou mírou nezaměstnanosti mladých, které se nacházejí mimo způsobilý Ústecký a Karlovarský kraj (NUTS II Severozápad), bylo v roce 2017 rozhodnuto o vyhlášení soutěžní výzvy č. 91 pro Ústecký, Karlovarský a nově také Moravskoslezský kraj, který rovněž dosahuje vyšší podíl nezaměstnanosti mladých do 30 let. Oba projekty, které byly realizovány v rámci této výzvy, ukončily realizaci v roce 2019. Na základě potřeby dotčených regionů byla vyhlášena výzva č. 136, která má za cíl podporovat mladé lidi s kumulací hendikepů. Tato cílová skupina je v evidenci úřadu práce zastoupena ve velké míře a bez větší cílené podpory je jen těžko umístitelná na trh práce.</w:t>
      </w:r>
      <w:r w:rsidR="008C046D" w:rsidRPr="008C046D">
        <w:rPr>
          <w:rFonts w:ascii="Arial" w:eastAsia="Arial" w:hAnsi="Arial" w:cs="Arial"/>
          <w:color w:val="000000"/>
        </w:rPr>
        <w:t xml:space="preserve"> </w:t>
      </w:r>
    </w:p>
    <w:p w14:paraId="179D1DFE" w14:textId="77777777" w:rsidR="00A2351A" w:rsidRDefault="002D5C25" w:rsidP="00496C84">
      <w:pPr>
        <w:pStyle w:val="Nadpis1"/>
        <w:rPr>
          <w:sz w:val="16"/>
        </w:rPr>
      </w:pPr>
      <w:bookmarkStart w:id="16" w:name="_Toc39495071"/>
      <w:r>
        <w:t>ZÁLEŽITOSTI OVLIVŇUJÍCÍ VÝKONNOST PROGRAMU A PŘIJATÁ OPATŘENÍ (čl. 50 odst. 2 nařízení (EU) č. 1303/2013)</w:t>
      </w:r>
      <w:r>
        <w:rPr>
          <w:sz w:val="20"/>
        </w:rPr>
        <w:t xml:space="preserve">  </w:t>
      </w:r>
      <w:r>
        <w:rPr>
          <w:sz w:val="16"/>
        </w:rPr>
        <w:t>(15)</w:t>
      </w:r>
      <w:bookmarkEnd w:id="16"/>
    </w:p>
    <w:p w14:paraId="0194622F" w14:textId="77777777" w:rsidR="00A2351A" w:rsidRDefault="002D5C25">
      <w:pPr>
        <w:spacing w:after="120" w:line="264" w:lineRule="auto"/>
        <w:ind w:left="119" w:right="121"/>
        <w:jc w:val="both"/>
        <w:rPr>
          <w:rFonts w:ascii="Arial" w:eastAsia="Arial" w:hAnsi="Arial" w:cs="Arial"/>
          <w:color w:val="000000"/>
          <w:sz w:val="20"/>
        </w:rPr>
      </w:pPr>
      <w:r>
        <w:rPr>
          <w:rFonts w:ascii="Arial" w:eastAsia="Arial" w:hAnsi="Arial" w:cs="Arial"/>
          <w:color w:val="000000"/>
          <w:sz w:val="20"/>
        </w:rPr>
        <w:t>a) Záležitosti, které ovlivňují výkonnost programu a přijatých opatření</w:t>
      </w:r>
    </w:p>
    <w:p w14:paraId="4587D405" w14:textId="77777777" w:rsidR="0077025C" w:rsidRPr="0077025C" w:rsidRDefault="0077025C" w:rsidP="0077025C">
      <w:pPr>
        <w:spacing w:after="120" w:line="276" w:lineRule="auto"/>
        <w:jc w:val="both"/>
        <w:rPr>
          <w:rFonts w:ascii="Arial" w:eastAsiaTheme="minorHAnsi" w:hAnsi="Arial" w:cs="Arial"/>
          <w:color w:val="000000"/>
          <w:lang w:val="cs-CZ" w:eastAsia="x-none"/>
        </w:rPr>
      </w:pPr>
      <w:r w:rsidRPr="0077025C">
        <w:rPr>
          <w:rFonts w:ascii="Arial" w:eastAsiaTheme="minorHAnsi" w:hAnsi="Arial" w:cs="Arial"/>
          <w:color w:val="000000"/>
          <w:lang w:val="cs-CZ" w:eastAsia="x-none"/>
        </w:rPr>
        <w:t>V rámci hodnocení rizik OPZ za 1. pololetí roku 2019 bylo identifikováno nové kritické riziko Čerpání prostředků EU ve vazbě na rok 2020, spočívající v nejistotě ohledně výše finančních prostředků na předfinancování neinvestičních transferů OPZ v roce 2020. Ačkoliv byla za 1. pololetí roku 2019 řádně plněna stanovená opatření k eliminaci všech identifikovaných rizik OPZ, která jsou v kompetenci ŘO OPZ, nepodařilo se zcela eliminovat žádné z vykazovaných rizik. K datu 30. června 2019 tak bylo v systému řízení rizik OPZ evidováno celkem 18 rizik různé míry významnosti, z toho pouze 1 riziko kritické. V rámci hodnocení rizik OPZ za 2. pololetí roku 2019 nebyl zaznamenán výraznější pokrok v řešení identifikovaného kritického rizika, naproti tomu však bylo velice efektivně řízeno středně významné riziko Čerpání prostředků EU ve vazbě na rok 2019, identifikované již v předešlých obdobích, neboť se jej díky splnění stanoveného nápravného opatření podařilo zcela odstranit. Za 2. pololetí roku 2019 bylo dále identifikováno nové kritické riziko Nedostupnost informačního systému pro danou činnost, spočívající v hrozící nedostupnosti informačního systému MS2014+, v němž jsou administrovány evropské dotace. Důsledkem nedostupnosti informačního systému MS2014+ vlivem nedostatečného zajištění podporovaných internetových prohlížečů na MPSV a/nebo nemožnosti schvalování kvůli neaktuálním elektronickým nástrojům používaným MPSV by bylo zastavení administrace a proplácení dotací projektům OPZ a přerušení čerpání evropských prostředků. Mimo výše popsaná rizika nebylo v systému řízení rizik OPZ k datu 31. prosince 2019 evidováno žádné další kritické riziko, které by mohlo významným způsobem ohrozit implementaci programu.</w:t>
      </w:r>
    </w:p>
    <w:p w14:paraId="06DDAF58" w14:textId="77777777" w:rsidR="0077025C" w:rsidRPr="0077025C" w:rsidRDefault="0077025C" w:rsidP="0077025C">
      <w:pPr>
        <w:spacing w:after="120" w:line="276" w:lineRule="auto"/>
        <w:jc w:val="both"/>
        <w:rPr>
          <w:rFonts w:ascii="Arial" w:eastAsiaTheme="minorHAnsi" w:hAnsi="Arial" w:cs="Arial"/>
          <w:color w:val="000000"/>
          <w:lang w:val="cs-CZ" w:eastAsia="x-none"/>
        </w:rPr>
      </w:pPr>
      <w:r w:rsidRPr="0077025C">
        <w:rPr>
          <w:rFonts w:ascii="Arial" w:eastAsiaTheme="minorHAnsi" w:hAnsi="Arial" w:cs="Arial"/>
          <w:color w:val="000000"/>
          <w:lang w:val="cs-CZ" w:eastAsia="x-none"/>
        </w:rPr>
        <w:t>Krom výše uvedených rizik je podstatné zmínit přetrvávající riziko nedostatečné administrativní kapacity ŘO OPZ spočívající jednak v nedostatku kvalitních uchazečů ve výběrových řízeních a rovněž v opakované redukci systemizovaných míst určených pro výkon činností řídicího orgánu. V roce 2019 bylo s ohledem na požadavek úspory provozních výdajů ve státní správě v rámci ŘO OPZ zrušeno 21 systemizovaných míst. Nedostatek kvalitních uchazečů kompenzuje ŘO OPZ vzděláváním a rozvojem přijatých zaměstnanců. Redukce systemizovaných míst je mimo kompetence samotného řídicího orgánu, proto je snahou ŘO OPZ alespoň minimalizovat její dopady na implementaci, a to např. prostřednictvím redukce systemizovaných míst napříč všemi agendami (zmírnění koncentrace rušených míst v konkrétních agendách či procesech).</w:t>
      </w:r>
    </w:p>
    <w:p w14:paraId="019C74A6" w14:textId="77777777" w:rsidR="0077025C" w:rsidRPr="0077025C" w:rsidRDefault="0077025C" w:rsidP="0077025C">
      <w:pPr>
        <w:spacing w:after="120" w:line="276" w:lineRule="auto"/>
        <w:jc w:val="both"/>
        <w:rPr>
          <w:rFonts w:ascii="Arial" w:eastAsiaTheme="minorHAnsi" w:hAnsi="Arial" w:cs="Arial"/>
          <w:color w:val="000000"/>
          <w:lang w:val="cs-CZ" w:eastAsia="x-none"/>
        </w:rPr>
      </w:pPr>
      <w:r w:rsidRPr="0077025C">
        <w:rPr>
          <w:rFonts w:ascii="Arial" w:eastAsiaTheme="minorHAnsi" w:hAnsi="Arial" w:cs="Arial"/>
          <w:color w:val="000000"/>
          <w:lang w:val="cs-CZ" w:eastAsia="x-none"/>
        </w:rPr>
        <w:t>Podařilo se vyřešit dlouhodobé problémy s personálním zabezpečením provádění ex-ante kontrol veřejných zakázek. Navzdory snížení počtu systemizovaných míst kontrolorů v souvislosti se systemizací se díky naplnění kapacity kontrolorů a dalším opatřením v rámci procesu provádění kontrol podařilo navýšit počty provedených kontrol zakázek (přes 1200). Ke konci roku 2019 tak byl snížen podíl zakázek, u kterých ještě neproběhla kontrola a jimž uběhla základní lhůta, na jednotky případů.</w:t>
      </w:r>
    </w:p>
    <w:p w14:paraId="6A33C830" w14:textId="3C18F498" w:rsidR="0077025C" w:rsidRPr="0077025C" w:rsidRDefault="00330287" w:rsidP="0077025C">
      <w:pPr>
        <w:spacing w:after="120" w:line="276" w:lineRule="auto"/>
        <w:jc w:val="both"/>
        <w:rPr>
          <w:rFonts w:ascii="Arial" w:eastAsiaTheme="minorHAnsi" w:hAnsi="Arial" w:cs="Arial"/>
          <w:color w:val="000000"/>
          <w:lang w:val="cs-CZ" w:eastAsia="x-none"/>
        </w:rPr>
      </w:pPr>
      <w:r>
        <w:rPr>
          <w:rFonts w:ascii="Arial" w:eastAsiaTheme="minorHAnsi" w:hAnsi="Arial" w:cs="Arial"/>
          <w:color w:val="000000"/>
          <w:lang w:val="cs-CZ" w:eastAsia="x-none"/>
        </w:rPr>
        <w:t>V rámci IP</w:t>
      </w:r>
      <w:r w:rsidR="0077025C" w:rsidRPr="0077025C">
        <w:rPr>
          <w:rFonts w:ascii="Arial" w:eastAsiaTheme="minorHAnsi" w:hAnsi="Arial" w:cs="Arial"/>
          <w:color w:val="000000"/>
          <w:lang w:val="cs-CZ" w:eastAsia="x-none"/>
        </w:rPr>
        <w:t>1.2 Rovnost žen a mužů dále identifikujeme riziko komplikací při zajištění kontinuity a návazného financování služby péče o děti v dětských skupinách po ukončení financování z OPZ. Důvodem je, že se v roce 2019 nepodařilo schválit zákonnou úpravu, která by systémově řešila financování podpořených dětských skupin z OPZ poté, co bude jejich podpora z OPZ ukončena. Nejasnost v jaké podobě a s jakým datem účinnosti bude novela příslušného zákona schválena, znamená, že původně plánovaný termín ukončení podpory stávajících projektů z OPZ v roce 2022 nebude pravděpodobně možné udržet a v následujícím roce bude třeba najít nové řešení, jak plynulý přechod na financování ze státního rozpočtu zajistit.</w:t>
      </w:r>
    </w:p>
    <w:p w14:paraId="5F93C901" w14:textId="2317758C" w:rsidR="0077025C" w:rsidRPr="0077025C" w:rsidRDefault="0077025C" w:rsidP="0077025C">
      <w:pPr>
        <w:spacing w:after="120" w:line="276" w:lineRule="auto"/>
        <w:jc w:val="both"/>
        <w:rPr>
          <w:rFonts w:ascii="Arial" w:eastAsiaTheme="minorHAnsi" w:hAnsi="Arial" w:cs="Arial"/>
          <w:color w:val="000000"/>
          <w:lang w:val="cs-CZ" w:eastAsia="x-none"/>
        </w:rPr>
      </w:pPr>
      <w:r w:rsidRPr="0077025C">
        <w:rPr>
          <w:rFonts w:ascii="Arial" w:eastAsiaTheme="minorHAnsi" w:hAnsi="Arial" w:cs="Arial"/>
          <w:color w:val="000000"/>
          <w:lang w:val="cs-CZ" w:eastAsia="x-none"/>
        </w:rPr>
        <w:t xml:space="preserve">Kromě nízké míry nezaměstnanosti měla dopad na nižší </w:t>
      </w:r>
      <w:r w:rsidR="00330287">
        <w:rPr>
          <w:rFonts w:ascii="Arial" w:eastAsiaTheme="minorHAnsi" w:hAnsi="Arial" w:cs="Arial"/>
          <w:color w:val="000000"/>
          <w:lang w:val="cs-CZ" w:eastAsia="x-none"/>
        </w:rPr>
        <w:t>čerpání v projektech v rámci IP</w:t>
      </w:r>
      <w:r w:rsidRPr="0077025C">
        <w:rPr>
          <w:rFonts w:ascii="Arial" w:eastAsiaTheme="minorHAnsi" w:hAnsi="Arial" w:cs="Arial"/>
          <w:color w:val="000000"/>
          <w:lang w:val="cs-CZ" w:eastAsia="x-none"/>
        </w:rPr>
        <w:t>1.1 také Instrukce náměstka pro řízení sekce zaměstnanosti č. 1/2019 Realizace aktivní politiky zaměstnanosti a na ni navazující Směrnice GŘ ÚP č. 4/2019 Postup ÚP ČR při realizaci nástrojů a opatření APZ. V rámci této instrukce došlo ke změně ve způsobu výpočtu příspěvků na SÚPM, což bude mít dopad na nižší čerpání finančních prostředků v některých projektech ÚP ČR, především výzev č. 4 „Záruky pro mladé“ a 10 „Realizace projektů zaměřených na řešení specifických problémů na regionální úrovni pomocí kombinace nástrojů APZ“.</w:t>
      </w:r>
    </w:p>
    <w:p w14:paraId="29D86C45" w14:textId="4393226D" w:rsidR="0077025C" w:rsidRPr="008C046D" w:rsidRDefault="0077025C" w:rsidP="0077025C">
      <w:pPr>
        <w:spacing w:after="120" w:line="276" w:lineRule="auto"/>
        <w:jc w:val="both"/>
        <w:rPr>
          <w:rFonts w:ascii="Arial" w:eastAsiaTheme="minorHAnsi" w:hAnsi="Arial" w:cs="Arial"/>
          <w:color w:val="000000"/>
          <w:lang w:val="cs-CZ" w:eastAsia="x-none"/>
        </w:rPr>
      </w:pPr>
      <w:r w:rsidRPr="0077025C">
        <w:rPr>
          <w:rFonts w:ascii="Arial" w:eastAsiaTheme="minorHAnsi" w:hAnsi="Arial" w:cs="Arial"/>
          <w:color w:val="000000"/>
          <w:lang w:val="cs-CZ" w:eastAsia="x-none"/>
        </w:rPr>
        <w:t>Dále měl hospodářský růst dopad i na IP1.3, kde jsou v oblasti podnikového vzdělávání intervence zaměřeny především na zvyšování odborné úrovně znalostí, dovedností a kompetencí zaměstnanců a soulad kvalifikační úrovně pracovní síly s aktuálními požadavky trhu práce. V případě jednotkových projektů se tento dopad projevuje zejména vysokým procentem nedočerpání z důvodu obtížného uvolňování zaměstnanců na projektové aktivity. Oblast vzdělávání zaměstnanců je také podporována prostřednictvím projektu POVEZ II, který je realizován ÚP ČR. Projekt se i nadále potýká s nižším zájmem ze strany zaměstnavatelů o vzdělávací aktivity. Nejčastějším důvodem nezájmu zaměstnavatelů je administrativní náročnost projektu. V aktuálním období jsou vytvářeny nové zjednodušené podmínky pro zájemce o vstup do projektu, čímž by mělo dojít k navýšení zájmu ze strany zaměstnavatelů o projekt.</w:t>
      </w:r>
    </w:p>
    <w:p w14:paraId="45D8DC5B" w14:textId="77777777" w:rsidR="00A2351A" w:rsidRDefault="002D5C25">
      <w:pPr>
        <w:spacing w:after="120" w:line="264" w:lineRule="auto"/>
        <w:ind w:left="119" w:right="121"/>
        <w:jc w:val="both"/>
        <w:rPr>
          <w:rFonts w:ascii="Arial" w:eastAsia="Arial" w:hAnsi="Arial" w:cs="Arial"/>
          <w:color w:val="000000"/>
          <w:sz w:val="20"/>
        </w:rPr>
      </w:pPr>
      <w:r>
        <w:rPr>
          <w:rFonts w:ascii="Arial" w:eastAsia="Arial" w:hAnsi="Arial" w:cs="Arial"/>
          <w:color w:val="000000"/>
          <w:sz w:val="20"/>
        </w:rPr>
        <w:t>b) VOLITELNĚ U KRÁTKÝCH ZPRÁV, v opačném případě to bude uvedeno v bodě 11.1 vzoru (čl. 50 odst. 4 nařízení (EU) č. 1303/2013):</w:t>
      </w:r>
    </w:p>
    <w:p w14:paraId="76B20F2A" w14:textId="2E7BEACC" w:rsidR="00A2351A" w:rsidRPr="002534F9" w:rsidRDefault="002534F9" w:rsidP="00D2226E">
      <w:pPr>
        <w:spacing w:after="120" w:line="264" w:lineRule="auto"/>
        <w:ind w:right="121"/>
        <w:jc w:val="both"/>
        <w:rPr>
          <w:rFonts w:ascii="Arial" w:eastAsia="Arial" w:hAnsi="Arial" w:cs="Arial"/>
          <w:color w:val="000000"/>
        </w:rPr>
      </w:pPr>
      <w:r w:rsidRPr="002534F9">
        <w:rPr>
          <w:rFonts w:ascii="Arial" w:eastAsia="Arial" w:hAnsi="Arial" w:cs="Arial"/>
          <w:color w:val="000000"/>
        </w:rPr>
        <w:t>Objem projektů s vydaným právním aktem dosáhl výše 2 682 mil. EUR a pokryl již přes 103 % celkové alokace. Finanční prostředky vyúčtované v žádostech o platbu dosáhl</w:t>
      </w:r>
      <w:r w:rsidR="00B967F8">
        <w:rPr>
          <w:rFonts w:ascii="Arial" w:eastAsia="Arial" w:hAnsi="Arial" w:cs="Arial"/>
          <w:color w:val="000000"/>
        </w:rPr>
        <w:t>y výše 1 260 mil. EUR, resp.</w:t>
      </w:r>
      <w:r w:rsidRPr="002534F9">
        <w:rPr>
          <w:rFonts w:ascii="Arial" w:eastAsia="Arial" w:hAnsi="Arial" w:cs="Arial"/>
          <w:color w:val="000000"/>
        </w:rPr>
        <w:t xml:space="preserve"> 48 % alokace, z toho prostředky zahrnuté v souhrnných žádostech autorizovaných řídicím orgánem představují 47 % alokace OPZ. V roce 2019 proběhlo </w:t>
      </w:r>
      <w:r w:rsidR="00330287">
        <w:rPr>
          <w:rFonts w:ascii="Arial" w:eastAsia="Arial" w:hAnsi="Arial" w:cs="Arial"/>
          <w:color w:val="000000"/>
        </w:rPr>
        <w:t>sedm</w:t>
      </w:r>
      <w:r w:rsidRPr="002534F9">
        <w:rPr>
          <w:rFonts w:ascii="Arial" w:eastAsia="Arial" w:hAnsi="Arial" w:cs="Arial"/>
          <w:color w:val="000000"/>
        </w:rPr>
        <w:t xml:space="preserve"> certifikací výdajů a výdaje certifikované a následně vyžádané na EK přesáhly 976 mil. EUR (EU podíl), tj. téměř 46 % celkové alokace OPZ. Program přesáhl limit potřebný pro splnění pravidla n+3 pro rok 2019 a 2020.    </w:t>
      </w:r>
    </w:p>
    <w:p w14:paraId="27FCB027" w14:textId="77777777" w:rsidR="00A2351A" w:rsidRDefault="002D5C25" w:rsidP="00496C84">
      <w:pPr>
        <w:pStyle w:val="Nadpis1"/>
        <w:rPr>
          <w:sz w:val="16"/>
        </w:rPr>
      </w:pPr>
      <w:bookmarkStart w:id="17" w:name="_Toc39495072"/>
      <w:r>
        <w:t>SHRNUTÍ PRO VEŘEJNOST (čl. 50 odst. 9 nařízení (EU) č. 1303/2013)</w:t>
      </w:r>
      <w:r>
        <w:rPr>
          <w:sz w:val="20"/>
        </w:rPr>
        <w:t xml:space="preserve">  </w:t>
      </w:r>
      <w:r>
        <w:rPr>
          <w:sz w:val="16"/>
        </w:rPr>
        <w:t>(16)</w:t>
      </w:r>
      <w:bookmarkEnd w:id="17"/>
    </w:p>
    <w:p w14:paraId="0CBEE977" w14:textId="77777777" w:rsidR="002534F9" w:rsidRDefault="002534F9" w:rsidP="002534F9">
      <w:pPr>
        <w:spacing w:after="120" w:line="264" w:lineRule="auto"/>
        <w:ind w:right="121"/>
        <w:jc w:val="both"/>
        <w:rPr>
          <w:rFonts w:ascii="Arial" w:eastAsia="Arial" w:hAnsi="Arial" w:cs="Arial"/>
          <w:color w:val="000000"/>
        </w:rPr>
      </w:pPr>
    </w:p>
    <w:p w14:paraId="77AB5B85" w14:textId="3B06BE4A" w:rsidR="002534F9" w:rsidRPr="002534F9" w:rsidRDefault="002534F9" w:rsidP="002534F9">
      <w:pPr>
        <w:spacing w:after="120" w:line="264" w:lineRule="auto"/>
        <w:ind w:right="121"/>
        <w:jc w:val="both"/>
        <w:rPr>
          <w:rFonts w:ascii="Arial" w:eastAsia="Arial" w:hAnsi="Arial" w:cs="Arial"/>
          <w:b/>
          <w:color w:val="000000"/>
        </w:rPr>
      </w:pPr>
      <w:r w:rsidRPr="002534F9">
        <w:rPr>
          <w:rFonts w:ascii="Arial" w:eastAsia="Arial" w:hAnsi="Arial" w:cs="Arial"/>
          <w:b/>
          <w:color w:val="000000"/>
        </w:rPr>
        <w:t>Již od roku 2004 pomáhá Evropský sociální fond (ESF) v Česku rozvíjet zaměstnanost, snižovat nezaměstnanost či podporovat sociální začleňování lidí a rovné příležitosti žen a mužů. V programovém období 2014–2020 má Česko k dispozici 2,6 mld. EUR, které čerpá prostřednictvím Operačního programu Zaměstnanost. Obdobně jako v předchozích letech probíhalo čerpání bezproblémově a OPZ patří mezi programy s nízkým rizikem.</w:t>
      </w:r>
    </w:p>
    <w:p w14:paraId="03E2ED0A" w14:textId="77777777" w:rsidR="002534F9" w:rsidRPr="002534F9" w:rsidRDefault="002534F9" w:rsidP="002534F9">
      <w:pPr>
        <w:spacing w:after="120" w:line="264" w:lineRule="auto"/>
        <w:ind w:right="121"/>
        <w:jc w:val="both"/>
        <w:rPr>
          <w:rFonts w:ascii="Arial" w:eastAsia="Arial" w:hAnsi="Arial" w:cs="Arial"/>
          <w:color w:val="000000"/>
        </w:rPr>
      </w:pPr>
      <w:r w:rsidRPr="002534F9">
        <w:rPr>
          <w:rFonts w:ascii="Arial" w:eastAsia="Arial" w:hAnsi="Arial" w:cs="Arial"/>
          <w:color w:val="000000"/>
        </w:rPr>
        <w:t>Od schválení programu v roce 2015 do konce roku 2019 vyhlásil řídicí orgán OPZ celkem 120 výzev. Jejich objem dosahuje 3,1 mld. EUR, tedy přesahuje alokovanou částku 2,6 mld. EUR o 18 %. Počet zaregistrovaných žádostí o podporu dosáhl ke konci roku 2019 hodnoty 16 tisíc, celkem z nich bylo podpořeno 7,7 tisíc. Finanční objem podpořených projektů činil 2,6 mld. EUR, což představuje 103 % alokace programu. Podpořeno bylo již 381 tisíc účastníků. Realizátoři projektů (Úřad práce, neziskové organizace, spolky, firmy, obce, kraje a další) poslali na řídicí orgán žádosti o platbu v hodnotě 1,2 mld. EUR, tedy přes 48 % alokace programu.</w:t>
      </w:r>
    </w:p>
    <w:p w14:paraId="33AC4584" w14:textId="77777777" w:rsidR="002534F9" w:rsidRPr="002534F9" w:rsidRDefault="002534F9" w:rsidP="002534F9">
      <w:pPr>
        <w:spacing w:after="120" w:line="264" w:lineRule="auto"/>
        <w:ind w:right="121"/>
        <w:jc w:val="both"/>
        <w:rPr>
          <w:rFonts w:ascii="Arial" w:eastAsia="Arial" w:hAnsi="Arial" w:cs="Arial"/>
          <w:color w:val="000000"/>
        </w:rPr>
      </w:pPr>
      <w:r w:rsidRPr="002534F9">
        <w:rPr>
          <w:rFonts w:ascii="Arial" w:eastAsia="Arial" w:hAnsi="Arial" w:cs="Arial"/>
          <w:color w:val="000000"/>
        </w:rPr>
        <w:t xml:space="preserve">Počty realizovaných projektů v jednotlivých prioritních osách kopírují finanční proporce prioritních os. Nejvíce peněz putovalo podobně jako v uplynulých letech do prioritní osy 1, která se zaměřuje na podporu zaměstnanosti a adaptability pracovní síly včetně rovných příležitostí na trhu práce. Celkově bylo v této prioritní ose podpořeno 5 191 projektů v objemu 1,6 mld. EUR. Tyto peníze šly nejčastěji prostřednictvím Úřadu práce ČR na rekvalifikace či společensky účelná pracovní místa a dále také na služby péče o děti (dětské skupiny, mikrojesle apod.), které OPZ významně podporuje. V září 2019 byla např. zaevidovaná 1000. dětská skupina. </w:t>
      </w:r>
    </w:p>
    <w:p w14:paraId="72F3AB39" w14:textId="77777777" w:rsidR="002534F9" w:rsidRPr="002534F9" w:rsidRDefault="002534F9" w:rsidP="002534F9">
      <w:pPr>
        <w:spacing w:after="120" w:line="264" w:lineRule="auto"/>
        <w:ind w:right="121"/>
        <w:jc w:val="both"/>
        <w:rPr>
          <w:rFonts w:ascii="Arial" w:eastAsia="Arial" w:hAnsi="Arial" w:cs="Arial"/>
          <w:color w:val="000000"/>
        </w:rPr>
      </w:pPr>
      <w:r w:rsidRPr="002534F9">
        <w:rPr>
          <w:rFonts w:ascii="Arial" w:eastAsia="Arial" w:hAnsi="Arial" w:cs="Arial"/>
          <w:color w:val="000000"/>
        </w:rPr>
        <w:t xml:space="preserve">Následuje prioritní osa 2 zaměřená na podporu sociálního začleňování, boj s chudobou, na sociální podnikání a na sociálně vyloučené lokality, ve které bylo podpořeno 1 992 projektů v objemu 778 mil. EUR. V rámci této osy byla na konci září 2019 vyhlášena výzva na zavedení finančního nástroje pro sociální podniky ve spolupráci s Českomoravskou záruční a rozvojovou bankou. Jedná se o novou formu financování z OPZ poskytováním zvýhodněných úvěrů a poradenství v oblasti sociálního podnikání. </w:t>
      </w:r>
    </w:p>
    <w:p w14:paraId="08FC947C" w14:textId="77777777" w:rsidR="002534F9" w:rsidRPr="002534F9" w:rsidRDefault="002534F9" w:rsidP="002534F9">
      <w:pPr>
        <w:spacing w:after="120" w:line="264" w:lineRule="auto"/>
        <w:ind w:right="121"/>
        <w:jc w:val="both"/>
        <w:rPr>
          <w:rFonts w:ascii="Arial" w:eastAsia="Arial" w:hAnsi="Arial" w:cs="Arial"/>
          <w:color w:val="000000"/>
        </w:rPr>
      </w:pPr>
      <w:r w:rsidRPr="002534F9">
        <w:rPr>
          <w:rFonts w:ascii="Arial" w:eastAsia="Arial" w:hAnsi="Arial" w:cs="Arial"/>
          <w:color w:val="000000"/>
        </w:rPr>
        <w:t xml:space="preserve">Prioritní osa 3 zaměřená na sociální inovace ve veřejné správě a mezinárodní spolupráci podpořila 164 projektů v objemu 40 mil. EUR. V prioritní ose 4 zaměřené na optimalizaci a profesionalizaci veřejné správy, zejména obcí, krajů a územně samosprávných celků bylo schváleno 365 projektů v objemu 146 mil. EUR. </w:t>
      </w:r>
    </w:p>
    <w:p w14:paraId="23FE7F3E" w14:textId="5CD90661" w:rsidR="00A2351A" w:rsidRPr="002534F9" w:rsidRDefault="002534F9" w:rsidP="002534F9">
      <w:pPr>
        <w:spacing w:after="120" w:line="264" w:lineRule="auto"/>
        <w:ind w:right="121"/>
        <w:jc w:val="both"/>
        <w:rPr>
          <w:rFonts w:ascii="Arial" w:eastAsia="Arial" w:hAnsi="Arial" w:cs="Arial"/>
          <w:color w:val="000000"/>
        </w:rPr>
      </w:pPr>
      <w:r w:rsidRPr="002534F9">
        <w:rPr>
          <w:rFonts w:ascii="Arial" w:eastAsia="Arial" w:hAnsi="Arial" w:cs="Arial"/>
          <w:color w:val="000000"/>
        </w:rPr>
        <w:t>V lednu 2019 byla Evropskou komisí schválena druhá revize OPZ, která se zaměřila na přesun prostředků mezi prioritními osami ve prospěch sociálních služeb a dalších služeb obecného zájmu. Metodika programu byla v průběhu roku 2019 několikrát aktualizována, avšak věcné nastavení zůstalo zachováno.</w:t>
      </w:r>
    </w:p>
    <w:p w14:paraId="203B4D2E" w14:textId="2DC69AA2" w:rsidR="00A2351A" w:rsidRPr="002534F9" w:rsidRDefault="002D5C25" w:rsidP="002534F9">
      <w:pPr>
        <w:pStyle w:val="Nadpis1"/>
      </w:pPr>
      <w:bookmarkStart w:id="18" w:name="_Toc39495073"/>
      <w:r>
        <w:t>ZPRÁVA O IMPLEMENTACI FINANČNÍCH NÁSTROJŮ (článek 46 nařízení (EU) č. 1303/2013)</w:t>
      </w:r>
      <w:bookmarkEnd w:id="18"/>
    </w:p>
    <w:p w14:paraId="55A6E877" w14:textId="77777777" w:rsidR="002534F9" w:rsidRDefault="002534F9" w:rsidP="002534F9">
      <w:pPr>
        <w:spacing w:after="120" w:line="264" w:lineRule="auto"/>
        <w:ind w:right="121"/>
        <w:rPr>
          <w:rFonts w:ascii="Arial" w:eastAsia="Arial" w:hAnsi="Arial" w:cs="Arial"/>
          <w:color w:val="000000"/>
          <w:lang w:val="fr-FR"/>
        </w:rPr>
      </w:pPr>
    </w:p>
    <w:p w14:paraId="7EC35BCA" w14:textId="0FB9D818" w:rsidR="008E6604" w:rsidRPr="008E6604" w:rsidRDefault="00D2226E" w:rsidP="002534F9">
      <w:pPr>
        <w:spacing w:after="120" w:line="264" w:lineRule="auto"/>
        <w:ind w:right="121"/>
        <w:rPr>
          <w:rFonts w:ascii="Arial" w:eastAsia="Arial" w:hAnsi="Arial" w:cs="Arial"/>
          <w:color w:val="000000"/>
          <w:lang w:val="fr-FR"/>
        </w:rPr>
      </w:pPr>
      <w:r>
        <w:rPr>
          <w:rFonts w:ascii="Arial" w:eastAsia="Arial" w:hAnsi="Arial" w:cs="Arial"/>
          <w:color w:val="000000"/>
          <w:lang w:val="fr-FR"/>
        </w:rPr>
        <w:t>Zpráva o implementaci finanč</w:t>
      </w:r>
      <w:r w:rsidR="001D72BB">
        <w:rPr>
          <w:rFonts w:ascii="Arial" w:eastAsia="Arial" w:hAnsi="Arial" w:cs="Arial"/>
          <w:color w:val="000000"/>
          <w:lang w:val="fr-FR"/>
        </w:rPr>
        <w:t xml:space="preserve">ních nástrojích se v MS2014+ </w:t>
      </w:r>
      <w:r>
        <w:rPr>
          <w:rFonts w:ascii="Arial" w:eastAsia="Arial" w:hAnsi="Arial" w:cs="Arial"/>
          <w:color w:val="000000"/>
          <w:lang w:val="fr-FR"/>
        </w:rPr>
        <w:t xml:space="preserve">do </w:t>
      </w:r>
      <w:r w:rsidR="00473C57">
        <w:rPr>
          <w:rFonts w:ascii="Arial" w:eastAsia="Arial" w:hAnsi="Arial" w:cs="Arial"/>
          <w:color w:val="000000"/>
          <w:lang w:val="fr-FR"/>
        </w:rPr>
        <w:t>Vý</w:t>
      </w:r>
      <w:r w:rsidR="001D72BB">
        <w:rPr>
          <w:rFonts w:ascii="Arial" w:eastAsia="Arial" w:hAnsi="Arial" w:cs="Arial"/>
          <w:color w:val="000000"/>
          <w:lang w:val="fr-FR"/>
        </w:rPr>
        <w:t xml:space="preserve">roční zprávy negeneruje a proto </w:t>
      </w:r>
      <w:r w:rsidR="00473C57">
        <w:rPr>
          <w:rFonts w:ascii="Arial" w:eastAsia="Arial" w:hAnsi="Arial" w:cs="Arial"/>
          <w:color w:val="000000"/>
          <w:lang w:val="fr-FR"/>
        </w:rPr>
        <w:t xml:space="preserve">je vložena do přílohy č. </w:t>
      </w:r>
      <w:r w:rsidR="002534F9">
        <w:rPr>
          <w:rFonts w:ascii="Arial" w:eastAsia="Arial" w:hAnsi="Arial" w:cs="Arial"/>
          <w:color w:val="000000"/>
          <w:lang w:val="fr-FR"/>
        </w:rPr>
        <w:t>5.</w:t>
      </w:r>
    </w:p>
    <w:p w14:paraId="7482682C" w14:textId="7E0138A8" w:rsidR="00ED0CC4" w:rsidRPr="00ED0CC4" w:rsidRDefault="00ED0CC4" w:rsidP="008E6604">
      <w:pPr>
        <w:pStyle w:val="Nadpis1"/>
        <w:numPr>
          <w:ilvl w:val="0"/>
          <w:numId w:val="25"/>
        </w:numPr>
      </w:pPr>
      <w:bookmarkStart w:id="19" w:name="_Toc39495074"/>
      <w:r w:rsidRPr="00ED0CC4">
        <w:t>DODATEČNÉ INFORMACE, KTERÉ MOHOU BÝT PŘIPOJENY V ZÁVISLOSTI NA OBSAHU A CÍLECH OPERAČNÍHO PROGRAMU (čl. 111 odst. 4 druhý pododstavec písm. a), b), c), d), g) a h) nařízení (EU) č. 1303/2013)</w:t>
      </w:r>
      <w:bookmarkEnd w:id="19"/>
    </w:p>
    <w:p w14:paraId="799F15D7" w14:textId="2ED58A14" w:rsidR="00ED0CC4" w:rsidRDefault="00ED0CC4" w:rsidP="008E6604">
      <w:pPr>
        <w:pStyle w:val="Nadpis2"/>
        <w:numPr>
          <w:ilvl w:val="1"/>
          <w:numId w:val="26"/>
        </w:numPr>
      </w:pPr>
      <w:bookmarkStart w:id="20" w:name="_Toc39495075"/>
      <w:r w:rsidRPr="00ED0CC4">
        <w:t>Případně přínos k makroregionálním strategiím a strategiím pro pobřežní oblasti</w:t>
      </w:r>
      <w:bookmarkEnd w:id="20"/>
    </w:p>
    <w:p w14:paraId="39D72D3B" w14:textId="77777777" w:rsidR="008E6604" w:rsidRPr="008E6604" w:rsidRDefault="008E6604" w:rsidP="008E6604">
      <w:pPr>
        <w:spacing w:after="120" w:line="264" w:lineRule="auto"/>
        <w:ind w:right="121"/>
        <w:jc w:val="both"/>
        <w:rPr>
          <w:rFonts w:ascii="Arial" w:eastAsia="Arial" w:hAnsi="Arial" w:cs="Arial"/>
          <w:color w:val="000000"/>
          <w:lang w:val="cs-CZ"/>
        </w:rPr>
      </w:pPr>
      <w:r w:rsidRPr="008E6604">
        <w:rPr>
          <w:rFonts w:ascii="Arial" w:eastAsia="Arial" w:hAnsi="Arial" w:cs="Arial"/>
          <w:color w:val="000000"/>
          <w:lang w:val="cs-CZ"/>
        </w:rPr>
        <w:t>V rámci všech relevantních oblastí uvedených v Akčním plánu pro implementaci Strategie EU pro Podunají (prioritní oblast č. 9 Investice do lidí a dovedností a v prioritní oblasti č. 10 Institucionální kapacita a spolupráce) byly v OPZ schváleny projekty, které dílčím způsobem přispěly k plnění cílů Strategie pro Podunají. Šlo např. o dva projekty z výzvy č. 32 "Mezinárodní mobilita pro znevýhodněnou mládež" (CZ.03.3.48/0.0/0.0/15_032/0000646 – mezinárodní partner byl z Bavorska a CZ.03.3.48/0.0/0.0/15_032/0000603 - partner byl z Maďarska, Budapešti) nebo o projekt z výzvy č. 124 „Podpora inovačního prostředí“ (CZ.03.3.X/0.0/0.0/15_124/0006067 „Metodika pro Evidenci Respektující Rozvoj Psychiatrických Služeb“, kde realizátor byl zároveň zapojen do projektu DAQUMECA, ve kterém sdílel své zkušenosti s nastavováním kritérií hodnocení služeb při vývoji mezinárodních indikátorů měření a monitorování kvality systémů psychiatrické péče v Podunajském regionu, konkrétně v Česku, Maďarsku, Srbsku a Bulharsku).</w:t>
      </w:r>
    </w:p>
    <w:p w14:paraId="38213D20" w14:textId="77F74162" w:rsidR="008E6604" w:rsidRPr="008E6604" w:rsidRDefault="008E6604" w:rsidP="002534F9">
      <w:pPr>
        <w:spacing w:after="120" w:line="264" w:lineRule="auto"/>
        <w:ind w:right="121"/>
        <w:rPr>
          <w:rFonts w:ascii="Arial" w:eastAsia="Arial" w:hAnsi="Arial" w:cs="Arial"/>
          <w:color w:val="000000"/>
        </w:rPr>
      </w:pPr>
    </w:p>
    <w:sectPr w:rsidR="008E6604" w:rsidRPr="008E6604" w:rsidSect="00554A56">
      <w:headerReference w:type="default" r:id="rId17"/>
      <w:footerReference w:type="default" r:id="rId18"/>
      <w:pgSz w:w="11900" w:h="16820"/>
      <w:pgMar w:top="520" w:right="843" w:bottom="560" w:left="840" w:header="539"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59BE5" w14:textId="77777777" w:rsidR="00250F9F" w:rsidRDefault="00250F9F">
      <w:r>
        <w:separator/>
      </w:r>
    </w:p>
  </w:endnote>
  <w:endnote w:type="continuationSeparator" w:id="0">
    <w:p w14:paraId="250DBF4D" w14:textId="77777777" w:rsidR="00250F9F" w:rsidRDefault="00250F9F">
      <w:r>
        <w:continuationSeparator/>
      </w:r>
    </w:p>
  </w:endnote>
  <w:endnote w:type="continuationNotice" w:id="1">
    <w:p w14:paraId="4E884241" w14:textId="77777777" w:rsidR="00250F9F" w:rsidRDefault="00250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10" w:type="pct"/>
      <w:tblLook w:val="04A0" w:firstRow="1" w:lastRow="0" w:firstColumn="1" w:lastColumn="0" w:noHBand="0" w:noVBand="1"/>
    </w:tblPr>
    <w:tblGrid>
      <w:gridCol w:w="3184"/>
      <w:gridCol w:w="3509"/>
      <w:gridCol w:w="1992"/>
    </w:tblGrid>
    <w:tr w:rsidR="00250F9F" w14:paraId="738A6918" w14:textId="77777777" w:rsidTr="00FD6AEA">
      <w:trPr>
        <w:cantSplit/>
      </w:trPr>
      <w:tc>
        <w:tcPr>
          <w:tcW w:w="1833" w:type="pct"/>
          <w:shd w:val="clear" w:color="auto" w:fill="auto"/>
          <w:vAlign w:val="center"/>
        </w:tcPr>
        <w:p w14:paraId="231E534F" w14:textId="77777777" w:rsidR="00250F9F" w:rsidRDefault="00250F9F" w:rsidP="00FD6AEA">
          <w:pPr>
            <w:pStyle w:val="Zpat"/>
          </w:pPr>
          <w:r>
            <w:t>Sestava vytvořena v MS2014+</w:t>
          </w:r>
        </w:p>
      </w:tc>
      <w:tc>
        <w:tcPr>
          <w:tcW w:w="2020" w:type="pct"/>
          <w:shd w:val="clear" w:color="auto" w:fill="auto"/>
          <w:vAlign w:val="center"/>
        </w:tcPr>
        <w:p w14:paraId="5D6ECD59" w14:textId="77777777" w:rsidR="00250F9F" w:rsidRDefault="00250F9F" w:rsidP="00FD6AEA">
          <w:pPr>
            <w:pStyle w:val="Zpat"/>
            <w:jc w:val="center"/>
          </w:pPr>
          <w:r>
            <w:t>POUMAR</w:t>
          </w:r>
        </w:p>
      </w:tc>
      <w:tc>
        <w:tcPr>
          <w:tcW w:w="1147" w:type="pct"/>
          <w:shd w:val="clear" w:color="auto" w:fill="auto"/>
          <w:vAlign w:val="center"/>
        </w:tcPr>
        <w:p w14:paraId="7EC8AC64" w14:textId="77777777" w:rsidR="00250F9F" w:rsidRDefault="00250F9F" w:rsidP="00FD6AEA">
          <w:pPr>
            <w:pStyle w:val="Zpat"/>
            <w:jc w:val="right"/>
          </w:pPr>
          <w:r>
            <w:t>22.3.2016</w:t>
          </w:r>
        </w:p>
      </w:tc>
    </w:tr>
  </w:tbl>
  <w:p w14:paraId="1FEEA5CC" w14:textId="3D395092" w:rsidR="00250F9F" w:rsidRDefault="00250F9F" w:rsidP="00FD6AEA">
    <w:pPr>
      <w:pStyle w:val="Zpat"/>
      <w:jc w:val="center"/>
    </w:pPr>
    <w:r>
      <w:fldChar w:fldCharType="begin"/>
    </w:r>
    <w:r>
      <w:instrText>PAGE   \* MERGEFORMAT</w:instrText>
    </w:r>
    <w:r>
      <w:fldChar w:fldCharType="separate"/>
    </w:r>
    <w:r w:rsidR="0028614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68388" w14:textId="45B139C1" w:rsidR="00250F9F" w:rsidRDefault="00250F9F">
    <w:pPr>
      <w:tabs>
        <w:tab w:val="center" w:pos="4644"/>
        <w:tab w:val="right" w:pos="9180"/>
      </w:tabs>
      <w:ind w:left="111" w:right="105"/>
      <w:jc w:val="center"/>
    </w:pPr>
    <w:r>
      <w:rPr>
        <w:rFonts w:ascii="Calibri" w:eastAsia="Calibri" w:hAnsi="Calibri" w:cs="Calibri"/>
        <w:color w:val="000000"/>
      </w:rPr>
      <w:fldChar w:fldCharType="begin"/>
    </w:r>
    <w:r>
      <w:rPr>
        <w:rFonts w:ascii="Calibri" w:eastAsia="Calibri" w:hAnsi="Calibri" w:cs="Calibri"/>
        <w:color w:val="000000"/>
      </w:rPr>
      <w:instrText xml:space="preserve"> PAGE   \* MERGEFORMAT </w:instrText>
    </w:r>
    <w:r>
      <w:rPr>
        <w:rFonts w:ascii="Calibri" w:eastAsia="Calibri" w:hAnsi="Calibri" w:cs="Calibri"/>
        <w:color w:val="000000"/>
      </w:rPr>
      <w:fldChar w:fldCharType="separate"/>
    </w:r>
    <w:r w:rsidR="0028614A">
      <w:rPr>
        <w:rFonts w:ascii="Calibri" w:eastAsia="Calibri" w:hAnsi="Calibri" w:cs="Calibri"/>
        <w:noProof/>
        <w:color w:val="000000"/>
      </w:rPr>
      <w:t>1</w:t>
    </w:r>
    <w:r>
      <w:rPr>
        <w:rFonts w:ascii="Calibri" w:eastAsia="Calibri" w:hAnsi="Calibri" w:cs="Calibri"/>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DBB8" w14:textId="042F79F1" w:rsidR="00250F9F" w:rsidRDefault="00250F9F">
    <w:pPr>
      <w:tabs>
        <w:tab w:val="center" w:pos="4644"/>
        <w:tab w:val="right" w:pos="9180"/>
      </w:tabs>
      <w:ind w:left="115" w:right="106"/>
      <w:jc w:val="center"/>
    </w:pPr>
    <w:r>
      <w:rPr>
        <w:rFonts w:ascii="Calibri" w:eastAsia="Calibri" w:hAnsi="Calibri" w:cs="Calibri"/>
        <w:color w:val="000000"/>
      </w:rPr>
      <w:fldChar w:fldCharType="begin"/>
    </w:r>
    <w:r>
      <w:rPr>
        <w:rFonts w:ascii="Calibri" w:eastAsia="Calibri" w:hAnsi="Calibri" w:cs="Calibri"/>
        <w:color w:val="000000"/>
      </w:rPr>
      <w:instrText xml:space="preserve"> PAGE   \* MERGEFORMAT </w:instrText>
    </w:r>
    <w:r>
      <w:rPr>
        <w:rFonts w:ascii="Calibri" w:eastAsia="Calibri" w:hAnsi="Calibri" w:cs="Calibri"/>
        <w:color w:val="000000"/>
      </w:rPr>
      <w:fldChar w:fldCharType="separate"/>
    </w:r>
    <w:r w:rsidR="0028614A">
      <w:rPr>
        <w:rFonts w:ascii="Calibri" w:eastAsia="Calibri" w:hAnsi="Calibri" w:cs="Calibri"/>
        <w:noProof/>
        <w:color w:val="000000"/>
      </w:rPr>
      <w:t>42</w:t>
    </w:r>
    <w:r>
      <w:rPr>
        <w:rFonts w:ascii="Calibri" w:eastAsia="Calibri" w:hAnsi="Calibri" w:cs="Calibri"/>
        <w:color w:val="00000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54624" w14:textId="3AF4379E" w:rsidR="00250F9F" w:rsidRDefault="00250F9F">
    <w:pPr>
      <w:tabs>
        <w:tab w:val="center" w:pos="4644"/>
        <w:tab w:val="right" w:pos="9180"/>
      </w:tabs>
      <w:ind w:left="119" w:right="121"/>
      <w:jc w:val="center"/>
    </w:pPr>
    <w:r>
      <w:rPr>
        <w:rFonts w:ascii="Calibri" w:eastAsia="Calibri" w:hAnsi="Calibri" w:cs="Calibri"/>
        <w:color w:val="000000"/>
      </w:rPr>
      <w:fldChar w:fldCharType="begin"/>
    </w:r>
    <w:r>
      <w:rPr>
        <w:rFonts w:ascii="Calibri" w:eastAsia="Calibri" w:hAnsi="Calibri" w:cs="Calibri"/>
        <w:color w:val="000000"/>
      </w:rPr>
      <w:instrText xml:space="preserve"> PAGE   \* MERGEFORMAT </w:instrText>
    </w:r>
    <w:r>
      <w:rPr>
        <w:rFonts w:ascii="Calibri" w:eastAsia="Calibri" w:hAnsi="Calibri" w:cs="Calibri"/>
        <w:color w:val="000000"/>
      </w:rPr>
      <w:fldChar w:fldCharType="separate"/>
    </w:r>
    <w:r w:rsidR="00E037BC">
      <w:rPr>
        <w:rFonts w:ascii="Calibri" w:eastAsia="Calibri" w:hAnsi="Calibri" w:cs="Calibri"/>
        <w:noProof/>
        <w:color w:val="000000"/>
      </w:rPr>
      <w:t>67</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4D3C0" w14:textId="77777777" w:rsidR="00250F9F" w:rsidRDefault="00250F9F">
      <w:r>
        <w:separator/>
      </w:r>
    </w:p>
  </w:footnote>
  <w:footnote w:type="continuationSeparator" w:id="0">
    <w:p w14:paraId="61CA72A2" w14:textId="77777777" w:rsidR="00250F9F" w:rsidRDefault="00250F9F">
      <w:r>
        <w:continuationSeparator/>
      </w:r>
    </w:p>
  </w:footnote>
  <w:footnote w:type="continuationNotice" w:id="1">
    <w:p w14:paraId="46A9B829" w14:textId="77777777" w:rsidR="00250F9F" w:rsidRDefault="00250F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69E3D" w14:textId="18C61969" w:rsidR="00250F9F" w:rsidRPr="00D74EA7" w:rsidRDefault="00250F9F" w:rsidP="00FD6AEA">
    <w:pPr>
      <w:contextualSpacing/>
      <w:jc w:val="center"/>
      <w:rPr>
        <w:sz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D1D93" w14:textId="77777777" w:rsidR="00250F9F" w:rsidRDefault="00250F9F">
    <w:pPr>
      <w:tabs>
        <w:tab w:val="left" w:pos="3398"/>
      </w:tabs>
      <w:spacing w:after="120"/>
      <w:ind w:left="115" w:right="106"/>
      <w:jc w:val="right"/>
      <w:rPr>
        <w:rFonts w:ascii="Calibri" w:eastAsia="Calibri" w:hAnsi="Calibri" w:cs="Calibri"/>
        <w:color w:val="000000"/>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B05F" w14:textId="77777777" w:rsidR="00250F9F" w:rsidRDefault="00250F9F">
    <w:pPr>
      <w:tabs>
        <w:tab w:val="left" w:pos="3398"/>
      </w:tabs>
      <w:spacing w:after="120"/>
      <w:ind w:left="119" w:right="121"/>
      <w:jc w:val="right"/>
      <w:rPr>
        <w:rFonts w:ascii="Calibri" w:eastAsia="Calibri" w:hAnsi="Calibri" w:cs="Calibri"/>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91D"/>
    <w:multiLevelType w:val="multilevel"/>
    <w:tmpl w:val="56F42DF2"/>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1" w15:restartNumberingAfterBreak="0">
    <w:nsid w:val="08BD59BA"/>
    <w:multiLevelType w:val="hybridMultilevel"/>
    <w:tmpl w:val="FA36B416"/>
    <w:lvl w:ilvl="0" w:tplc="1762582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CB1492"/>
    <w:multiLevelType w:val="multilevel"/>
    <w:tmpl w:val="0BC8762E"/>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3" w15:restartNumberingAfterBreak="0">
    <w:nsid w:val="15272E5C"/>
    <w:multiLevelType w:val="hybridMultilevel"/>
    <w:tmpl w:val="60D2C44C"/>
    <w:lvl w:ilvl="0" w:tplc="C9D0AEE2">
      <w:start w:val="1"/>
      <w:numFmt w:val="bullet"/>
      <w:lvlText w:val="-"/>
      <w:lvlJc w:val="left"/>
      <w:pPr>
        <w:ind w:left="360" w:hanging="360"/>
      </w:pPr>
      <w:rPr>
        <w:rFonts w:ascii="Arial" w:eastAsia="Arial"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93410CA"/>
    <w:multiLevelType w:val="multilevel"/>
    <w:tmpl w:val="44FE2462"/>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5" w15:restartNumberingAfterBreak="0">
    <w:nsid w:val="1A195C42"/>
    <w:multiLevelType w:val="hybridMultilevel"/>
    <w:tmpl w:val="580AE992"/>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6" w15:restartNumberingAfterBreak="0">
    <w:nsid w:val="1C3A026D"/>
    <w:multiLevelType w:val="hybridMultilevel"/>
    <w:tmpl w:val="99B09FEC"/>
    <w:lvl w:ilvl="0" w:tplc="C9D0AEE2">
      <w:start w:val="1"/>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F6B87"/>
    <w:multiLevelType w:val="hybridMultilevel"/>
    <w:tmpl w:val="B9E63E20"/>
    <w:lvl w:ilvl="0" w:tplc="C9D0AEE2">
      <w:start w:val="1"/>
      <w:numFmt w:val="bullet"/>
      <w:lvlText w:val="-"/>
      <w:lvlJc w:val="left"/>
      <w:pPr>
        <w:ind w:left="360" w:hanging="360"/>
      </w:pPr>
      <w:rPr>
        <w:rFonts w:ascii="Arial" w:eastAsia="Arial"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B9D6E47"/>
    <w:multiLevelType w:val="multilevel"/>
    <w:tmpl w:val="2EA86354"/>
    <w:lvl w:ilvl="0">
      <w:start w:val="1"/>
      <w:numFmt w:val="decimal"/>
      <w:lvlText w:val="%1."/>
      <w:lvlJc w:val="left"/>
      <w:pPr>
        <w:ind w:left="468" w:hanging="360"/>
      </w:pPr>
      <w:rPr>
        <w:rFonts w:ascii="Arial" w:eastAsia="Arial" w:hAnsi="Arial" w:cs="Arial" w:hint="default"/>
        <w:b/>
        <w:bCs/>
        <w:color w:val="000000"/>
        <w:sz w:val="24"/>
      </w:rPr>
    </w:lvl>
    <w:lvl w:ilvl="1">
      <w:start w:val="1"/>
      <w:numFmt w:val="decimal"/>
      <w:lvlText w:val="%1.%2."/>
      <w:lvlJc w:val="left"/>
      <w:pPr>
        <w:ind w:left="533" w:hanging="425"/>
      </w:pPr>
      <w:rPr>
        <w:rFonts w:ascii="Arial" w:eastAsia="Arial" w:hAnsi="Arial" w:cs="Arial" w:hint="default"/>
        <w:b/>
        <w:bCs/>
        <w:color w:val="000000"/>
        <w:sz w:val="24"/>
      </w:rPr>
    </w:lvl>
    <w:lvl w:ilvl="2">
      <w:start w:val="1"/>
      <w:numFmt w:val="decimal"/>
      <w:lvlText w:val="%1.%2.%3."/>
      <w:lvlJc w:val="left"/>
      <w:pPr>
        <w:ind w:left="1332" w:hanging="504"/>
      </w:pPr>
      <w:rPr>
        <w:rFonts w:ascii="Calibri" w:eastAsia="Calibri" w:hAnsi="Calibri" w:cs="Calibri" w:hint="default"/>
        <w:color w:val="000000"/>
        <w:sz w:val="24"/>
      </w:rPr>
    </w:lvl>
    <w:lvl w:ilvl="3">
      <w:start w:val="1"/>
      <w:numFmt w:val="decimal"/>
      <w:lvlText w:val="%1.%2.%3.%4."/>
      <w:lvlJc w:val="left"/>
      <w:pPr>
        <w:ind w:left="1836" w:hanging="648"/>
      </w:pPr>
      <w:rPr>
        <w:rFonts w:ascii="Calibri" w:eastAsia="Calibri" w:hAnsi="Calibri" w:cs="Calibri" w:hint="default"/>
        <w:color w:val="000000"/>
        <w:sz w:val="24"/>
      </w:rPr>
    </w:lvl>
    <w:lvl w:ilvl="4">
      <w:start w:val="1"/>
      <w:numFmt w:val="decimal"/>
      <w:lvlText w:val="%1.%2.%3.%4.%5."/>
      <w:lvlJc w:val="left"/>
      <w:pPr>
        <w:ind w:left="2340" w:hanging="792"/>
      </w:pPr>
      <w:rPr>
        <w:rFonts w:ascii="Calibri" w:eastAsia="Calibri" w:hAnsi="Calibri" w:cs="Calibri" w:hint="default"/>
        <w:color w:val="000000"/>
        <w:sz w:val="24"/>
      </w:rPr>
    </w:lvl>
    <w:lvl w:ilvl="5">
      <w:start w:val="1"/>
      <w:numFmt w:val="decimal"/>
      <w:lvlText w:val="%1.%2.%3.%4.%5.%6."/>
      <w:lvlJc w:val="left"/>
      <w:pPr>
        <w:ind w:left="2844" w:hanging="936"/>
      </w:pPr>
      <w:rPr>
        <w:rFonts w:ascii="Calibri" w:eastAsia="Calibri" w:hAnsi="Calibri" w:cs="Calibri" w:hint="default"/>
        <w:color w:val="000000"/>
        <w:sz w:val="24"/>
      </w:rPr>
    </w:lvl>
    <w:lvl w:ilvl="6">
      <w:start w:val="1"/>
      <w:numFmt w:val="decimal"/>
      <w:lvlText w:val="%1.%2.%3.%4.%5.%6.%7."/>
      <w:lvlJc w:val="left"/>
      <w:pPr>
        <w:ind w:left="3348" w:hanging="1080"/>
      </w:pPr>
      <w:rPr>
        <w:rFonts w:ascii="Calibri" w:eastAsia="Calibri" w:hAnsi="Calibri" w:cs="Calibri" w:hint="default"/>
        <w:color w:val="000000"/>
        <w:sz w:val="24"/>
      </w:rPr>
    </w:lvl>
    <w:lvl w:ilvl="7">
      <w:start w:val="1"/>
      <w:numFmt w:val="decimal"/>
      <w:lvlText w:val="%1.%2.%3.%4.%5.%6.%7.%8."/>
      <w:lvlJc w:val="left"/>
      <w:pPr>
        <w:ind w:left="3852" w:hanging="1224"/>
      </w:pPr>
      <w:rPr>
        <w:rFonts w:ascii="Calibri" w:eastAsia="Calibri" w:hAnsi="Calibri" w:cs="Calibri" w:hint="default"/>
        <w:color w:val="000000"/>
        <w:sz w:val="24"/>
      </w:rPr>
    </w:lvl>
    <w:lvl w:ilvl="8">
      <w:start w:val="1"/>
      <w:numFmt w:val="decimal"/>
      <w:lvlText w:val="%1.%2.%3.%4.%5.%6.%7.%8.%9."/>
      <w:lvlJc w:val="left"/>
      <w:pPr>
        <w:ind w:left="4428" w:hanging="1440"/>
      </w:pPr>
      <w:rPr>
        <w:rFonts w:ascii="Calibri" w:eastAsia="Calibri" w:hAnsi="Calibri" w:cs="Calibri" w:hint="default"/>
        <w:color w:val="000000"/>
        <w:sz w:val="24"/>
      </w:rPr>
    </w:lvl>
  </w:abstractNum>
  <w:abstractNum w:abstractNumId="9" w15:restartNumberingAfterBreak="0">
    <w:nsid w:val="31A430A1"/>
    <w:multiLevelType w:val="hybridMultilevel"/>
    <w:tmpl w:val="A87AF7BE"/>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15:restartNumberingAfterBreak="0">
    <w:nsid w:val="35E70CEF"/>
    <w:multiLevelType w:val="multilevel"/>
    <w:tmpl w:val="D2EE9586"/>
    <w:lvl w:ilvl="0">
      <w:start w:val="3"/>
      <w:numFmt w:val="decimal"/>
      <w:lvlText w:val="%1"/>
      <w:lvlJc w:val="left"/>
      <w:pPr>
        <w:ind w:left="360" w:hanging="360"/>
      </w:pPr>
      <w:rPr>
        <w:rFonts w:hint="default"/>
        <w:i w:val="0"/>
        <w:sz w:val="24"/>
      </w:rPr>
    </w:lvl>
    <w:lvl w:ilvl="1">
      <w:start w:val="2"/>
      <w:numFmt w:val="decimal"/>
      <w:lvlText w:val="%1.%2"/>
      <w:lvlJc w:val="left"/>
      <w:pPr>
        <w:ind w:left="468" w:hanging="360"/>
      </w:pPr>
      <w:rPr>
        <w:rFonts w:hint="default"/>
        <w:i w:val="0"/>
        <w:sz w:val="24"/>
      </w:rPr>
    </w:lvl>
    <w:lvl w:ilvl="2">
      <w:start w:val="1"/>
      <w:numFmt w:val="decimal"/>
      <w:lvlText w:val="%1.%2.%3"/>
      <w:lvlJc w:val="left"/>
      <w:pPr>
        <w:ind w:left="576" w:hanging="360"/>
      </w:pPr>
      <w:rPr>
        <w:rFonts w:hint="default"/>
        <w:i w:val="0"/>
        <w:sz w:val="24"/>
      </w:rPr>
    </w:lvl>
    <w:lvl w:ilvl="3">
      <w:start w:val="1"/>
      <w:numFmt w:val="decimal"/>
      <w:lvlText w:val="%1.%2.%3.%4"/>
      <w:lvlJc w:val="left"/>
      <w:pPr>
        <w:ind w:left="1044" w:hanging="720"/>
      </w:pPr>
      <w:rPr>
        <w:rFonts w:hint="default"/>
        <w:i w:val="0"/>
        <w:sz w:val="24"/>
      </w:rPr>
    </w:lvl>
    <w:lvl w:ilvl="4">
      <w:start w:val="1"/>
      <w:numFmt w:val="decimal"/>
      <w:lvlText w:val="%1.%2.%3.%4.%5"/>
      <w:lvlJc w:val="left"/>
      <w:pPr>
        <w:ind w:left="1152" w:hanging="720"/>
      </w:pPr>
      <w:rPr>
        <w:rFonts w:hint="default"/>
        <w:i w:val="0"/>
        <w:sz w:val="24"/>
      </w:rPr>
    </w:lvl>
    <w:lvl w:ilvl="5">
      <w:start w:val="1"/>
      <w:numFmt w:val="decimal"/>
      <w:lvlText w:val="%1.%2.%3.%4.%5.%6"/>
      <w:lvlJc w:val="left"/>
      <w:pPr>
        <w:ind w:left="1260" w:hanging="720"/>
      </w:pPr>
      <w:rPr>
        <w:rFonts w:hint="default"/>
        <w:i w:val="0"/>
        <w:sz w:val="24"/>
      </w:rPr>
    </w:lvl>
    <w:lvl w:ilvl="6">
      <w:start w:val="1"/>
      <w:numFmt w:val="decimal"/>
      <w:lvlText w:val="%1.%2.%3.%4.%5.%6.%7"/>
      <w:lvlJc w:val="left"/>
      <w:pPr>
        <w:ind w:left="1728" w:hanging="1080"/>
      </w:pPr>
      <w:rPr>
        <w:rFonts w:hint="default"/>
        <w:i w:val="0"/>
        <w:sz w:val="24"/>
      </w:rPr>
    </w:lvl>
    <w:lvl w:ilvl="7">
      <w:start w:val="1"/>
      <w:numFmt w:val="decimal"/>
      <w:lvlText w:val="%1.%2.%3.%4.%5.%6.%7.%8"/>
      <w:lvlJc w:val="left"/>
      <w:pPr>
        <w:ind w:left="1836" w:hanging="1080"/>
      </w:pPr>
      <w:rPr>
        <w:rFonts w:hint="default"/>
        <w:i w:val="0"/>
        <w:sz w:val="24"/>
      </w:rPr>
    </w:lvl>
    <w:lvl w:ilvl="8">
      <w:start w:val="1"/>
      <w:numFmt w:val="decimal"/>
      <w:lvlText w:val="%1.%2.%3.%4.%5.%6.%7.%8.%9"/>
      <w:lvlJc w:val="left"/>
      <w:pPr>
        <w:ind w:left="1944" w:hanging="1080"/>
      </w:pPr>
      <w:rPr>
        <w:rFonts w:hint="default"/>
        <w:i w:val="0"/>
        <w:sz w:val="24"/>
      </w:rPr>
    </w:lvl>
  </w:abstractNum>
  <w:abstractNum w:abstractNumId="11" w15:restartNumberingAfterBreak="0">
    <w:nsid w:val="37C1148B"/>
    <w:multiLevelType w:val="hybridMultilevel"/>
    <w:tmpl w:val="8E747E5E"/>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15:restartNumberingAfterBreak="0">
    <w:nsid w:val="38F417D2"/>
    <w:multiLevelType w:val="hybridMultilevel"/>
    <w:tmpl w:val="069ABA78"/>
    <w:lvl w:ilvl="0" w:tplc="C9D0AEE2">
      <w:start w:val="1"/>
      <w:numFmt w:val="bullet"/>
      <w:lvlText w:val="-"/>
      <w:lvlJc w:val="left"/>
      <w:pPr>
        <w:ind w:left="479" w:hanging="360"/>
      </w:pPr>
      <w:rPr>
        <w:rFonts w:ascii="Arial" w:eastAsia="Arial" w:hAnsi="Arial" w:cs="Arial" w:hint="default"/>
      </w:rPr>
    </w:lvl>
    <w:lvl w:ilvl="1" w:tplc="04050003" w:tentative="1">
      <w:start w:val="1"/>
      <w:numFmt w:val="bullet"/>
      <w:lvlText w:val="o"/>
      <w:lvlJc w:val="left"/>
      <w:pPr>
        <w:ind w:left="1199" w:hanging="360"/>
      </w:pPr>
      <w:rPr>
        <w:rFonts w:ascii="Courier New" w:hAnsi="Courier New" w:cs="Courier New" w:hint="default"/>
      </w:rPr>
    </w:lvl>
    <w:lvl w:ilvl="2" w:tplc="04050005" w:tentative="1">
      <w:start w:val="1"/>
      <w:numFmt w:val="bullet"/>
      <w:lvlText w:val=""/>
      <w:lvlJc w:val="left"/>
      <w:pPr>
        <w:ind w:left="1919" w:hanging="360"/>
      </w:pPr>
      <w:rPr>
        <w:rFonts w:ascii="Wingdings" w:hAnsi="Wingdings" w:hint="default"/>
      </w:rPr>
    </w:lvl>
    <w:lvl w:ilvl="3" w:tplc="04050001" w:tentative="1">
      <w:start w:val="1"/>
      <w:numFmt w:val="bullet"/>
      <w:lvlText w:val=""/>
      <w:lvlJc w:val="left"/>
      <w:pPr>
        <w:ind w:left="2639" w:hanging="360"/>
      </w:pPr>
      <w:rPr>
        <w:rFonts w:ascii="Symbol" w:hAnsi="Symbol" w:hint="default"/>
      </w:rPr>
    </w:lvl>
    <w:lvl w:ilvl="4" w:tplc="04050003" w:tentative="1">
      <w:start w:val="1"/>
      <w:numFmt w:val="bullet"/>
      <w:lvlText w:val="o"/>
      <w:lvlJc w:val="left"/>
      <w:pPr>
        <w:ind w:left="3359" w:hanging="360"/>
      </w:pPr>
      <w:rPr>
        <w:rFonts w:ascii="Courier New" w:hAnsi="Courier New" w:cs="Courier New" w:hint="default"/>
      </w:rPr>
    </w:lvl>
    <w:lvl w:ilvl="5" w:tplc="04050005" w:tentative="1">
      <w:start w:val="1"/>
      <w:numFmt w:val="bullet"/>
      <w:lvlText w:val=""/>
      <w:lvlJc w:val="left"/>
      <w:pPr>
        <w:ind w:left="4079" w:hanging="360"/>
      </w:pPr>
      <w:rPr>
        <w:rFonts w:ascii="Wingdings" w:hAnsi="Wingdings" w:hint="default"/>
      </w:rPr>
    </w:lvl>
    <w:lvl w:ilvl="6" w:tplc="04050001" w:tentative="1">
      <w:start w:val="1"/>
      <w:numFmt w:val="bullet"/>
      <w:lvlText w:val=""/>
      <w:lvlJc w:val="left"/>
      <w:pPr>
        <w:ind w:left="4799" w:hanging="360"/>
      </w:pPr>
      <w:rPr>
        <w:rFonts w:ascii="Symbol" w:hAnsi="Symbol" w:hint="default"/>
      </w:rPr>
    </w:lvl>
    <w:lvl w:ilvl="7" w:tplc="04050003" w:tentative="1">
      <w:start w:val="1"/>
      <w:numFmt w:val="bullet"/>
      <w:lvlText w:val="o"/>
      <w:lvlJc w:val="left"/>
      <w:pPr>
        <w:ind w:left="5519" w:hanging="360"/>
      </w:pPr>
      <w:rPr>
        <w:rFonts w:ascii="Courier New" w:hAnsi="Courier New" w:cs="Courier New" w:hint="default"/>
      </w:rPr>
    </w:lvl>
    <w:lvl w:ilvl="8" w:tplc="04050005" w:tentative="1">
      <w:start w:val="1"/>
      <w:numFmt w:val="bullet"/>
      <w:lvlText w:val=""/>
      <w:lvlJc w:val="left"/>
      <w:pPr>
        <w:ind w:left="6239" w:hanging="360"/>
      </w:pPr>
      <w:rPr>
        <w:rFonts w:ascii="Wingdings" w:hAnsi="Wingdings" w:hint="default"/>
      </w:rPr>
    </w:lvl>
  </w:abstractNum>
  <w:abstractNum w:abstractNumId="13" w15:restartNumberingAfterBreak="0">
    <w:nsid w:val="3CF078C0"/>
    <w:multiLevelType w:val="hybridMultilevel"/>
    <w:tmpl w:val="319A3F56"/>
    <w:lvl w:ilvl="0" w:tplc="6CD6BEC6">
      <w:start w:val="1"/>
      <w:numFmt w:val="decimal"/>
      <w:lvlText w:val="%1"/>
      <w:lvlJc w:val="left"/>
      <w:pPr>
        <w:ind w:left="475" w:hanging="360"/>
      </w:pPr>
      <w:rPr>
        <w:rFonts w:hint="default"/>
      </w:rPr>
    </w:lvl>
    <w:lvl w:ilvl="1" w:tplc="04050019" w:tentative="1">
      <w:start w:val="1"/>
      <w:numFmt w:val="lowerLetter"/>
      <w:lvlText w:val="%2."/>
      <w:lvlJc w:val="left"/>
      <w:pPr>
        <w:ind w:left="1195" w:hanging="360"/>
      </w:pPr>
    </w:lvl>
    <w:lvl w:ilvl="2" w:tplc="0405001B" w:tentative="1">
      <w:start w:val="1"/>
      <w:numFmt w:val="lowerRoman"/>
      <w:lvlText w:val="%3."/>
      <w:lvlJc w:val="right"/>
      <w:pPr>
        <w:ind w:left="1915" w:hanging="180"/>
      </w:pPr>
    </w:lvl>
    <w:lvl w:ilvl="3" w:tplc="0405000F" w:tentative="1">
      <w:start w:val="1"/>
      <w:numFmt w:val="decimal"/>
      <w:lvlText w:val="%4."/>
      <w:lvlJc w:val="left"/>
      <w:pPr>
        <w:ind w:left="2635" w:hanging="360"/>
      </w:pPr>
    </w:lvl>
    <w:lvl w:ilvl="4" w:tplc="04050019" w:tentative="1">
      <w:start w:val="1"/>
      <w:numFmt w:val="lowerLetter"/>
      <w:lvlText w:val="%5."/>
      <w:lvlJc w:val="left"/>
      <w:pPr>
        <w:ind w:left="3355" w:hanging="360"/>
      </w:pPr>
    </w:lvl>
    <w:lvl w:ilvl="5" w:tplc="0405001B" w:tentative="1">
      <w:start w:val="1"/>
      <w:numFmt w:val="lowerRoman"/>
      <w:lvlText w:val="%6."/>
      <w:lvlJc w:val="right"/>
      <w:pPr>
        <w:ind w:left="4075" w:hanging="180"/>
      </w:pPr>
    </w:lvl>
    <w:lvl w:ilvl="6" w:tplc="0405000F" w:tentative="1">
      <w:start w:val="1"/>
      <w:numFmt w:val="decimal"/>
      <w:lvlText w:val="%7."/>
      <w:lvlJc w:val="left"/>
      <w:pPr>
        <w:ind w:left="4795" w:hanging="360"/>
      </w:pPr>
    </w:lvl>
    <w:lvl w:ilvl="7" w:tplc="04050019" w:tentative="1">
      <w:start w:val="1"/>
      <w:numFmt w:val="lowerLetter"/>
      <w:lvlText w:val="%8."/>
      <w:lvlJc w:val="left"/>
      <w:pPr>
        <w:ind w:left="5515" w:hanging="360"/>
      </w:pPr>
    </w:lvl>
    <w:lvl w:ilvl="8" w:tplc="0405001B" w:tentative="1">
      <w:start w:val="1"/>
      <w:numFmt w:val="lowerRoman"/>
      <w:lvlText w:val="%9."/>
      <w:lvlJc w:val="right"/>
      <w:pPr>
        <w:ind w:left="6235" w:hanging="180"/>
      </w:pPr>
    </w:lvl>
  </w:abstractNum>
  <w:abstractNum w:abstractNumId="14" w15:restartNumberingAfterBreak="0">
    <w:nsid w:val="46DD46C8"/>
    <w:multiLevelType w:val="hybridMultilevel"/>
    <w:tmpl w:val="CA56F076"/>
    <w:lvl w:ilvl="0" w:tplc="C9D0AEE2">
      <w:start w:val="1"/>
      <w:numFmt w:val="bullet"/>
      <w:lvlText w:val="-"/>
      <w:lvlJc w:val="left"/>
      <w:pPr>
        <w:ind w:left="839"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A00E70"/>
    <w:multiLevelType w:val="multilevel"/>
    <w:tmpl w:val="28ACADC0"/>
    <w:lvl w:ilvl="0">
      <w:start w:val="1"/>
      <w:numFmt w:val="decimal"/>
      <w:lvlText w:val="%1."/>
      <w:lvlJc w:val="left"/>
      <w:pPr>
        <w:ind w:left="468" w:hanging="360"/>
      </w:pPr>
      <w:rPr>
        <w:rFonts w:ascii="Arial" w:eastAsia="Arial" w:hAnsi="Arial" w:cs="Arial" w:hint="default"/>
        <w:b/>
        <w:bCs/>
        <w:color w:val="000000"/>
        <w:sz w:val="24"/>
      </w:rPr>
    </w:lvl>
    <w:lvl w:ilvl="1">
      <w:start w:val="1"/>
      <w:numFmt w:val="decimal"/>
      <w:lvlText w:val="%1.%2."/>
      <w:lvlJc w:val="left"/>
      <w:pPr>
        <w:ind w:left="533" w:hanging="425"/>
      </w:pPr>
      <w:rPr>
        <w:rFonts w:ascii="Arial" w:eastAsia="Arial" w:hAnsi="Arial" w:cs="Arial" w:hint="default"/>
        <w:b/>
        <w:bCs/>
        <w:color w:val="000000"/>
        <w:sz w:val="24"/>
      </w:rPr>
    </w:lvl>
    <w:lvl w:ilvl="2">
      <w:start w:val="1"/>
      <w:numFmt w:val="decimal"/>
      <w:lvlText w:val="%1.%2.%3."/>
      <w:lvlJc w:val="left"/>
      <w:pPr>
        <w:ind w:left="1332" w:hanging="504"/>
      </w:pPr>
      <w:rPr>
        <w:rFonts w:ascii="Calibri" w:eastAsia="Calibri" w:hAnsi="Calibri" w:cs="Calibri" w:hint="default"/>
        <w:color w:val="000000"/>
        <w:sz w:val="24"/>
      </w:rPr>
    </w:lvl>
    <w:lvl w:ilvl="3">
      <w:start w:val="1"/>
      <w:numFmt w:val="decimal"/>
      <w:lvlText w:val="%1.%2.%3.%4."/>
      <w:lvlJc w:val="left"/>
      <w:pPr>
        <w:ind w:left="1836" w:hanging="648"/>
      </w:pPr>
      <w:rPr>
        <w:rFonts w:ascii="Calibri" w:eastAsia="Calibri" w:hAnsi="Calibri" w:cs="Calibri" w:hint="default"/>
        <w:color w:val="000000"/>
        <w:sz w:val="24"/>
      </w:rPr>
    </w:lvl>
    <w:lvl w:ilvl="4">
      <w:start w:val="1"/>
      <w:numFmt w:val="decimal"/>
      <w:lvlText w:val="%1.%2.%3.%4.%5."/>
      <w:lvlJc w:val="left"/>
      <w:pPr>
        <w:ind w:left="2340" w:hanging="792"/>
      </w:pPr>
      <w:rPr>
        <w:rFonts w:ascii="Calibri" w:eastAsia="Calibri" w:hAnsi="Calibri" w:cs="Calibri" w:hint="default"/>
        <w:color w:val="000000"/>
        <w:sz w:val="24"/>
      </w:rPr>
    </w:lvl>
    <w:lvl w:ilvl="5">
      <w:start w:val="1"/>
      <w:numFmt w:val="decimal"/>
      <w:lvlText w:val="%1.%2.%3.%4.%5.%6."/>
      <w:lvlJc w:val="left"/>
      <w:pPr>
        <w:ind w:left="2844" w:hanging="936"/>
      </w:pPr>
      <w:rPr>
        <w:rFonts w:ascii="Calibri" w:eastAsia="Calibri" w:hAnsi="Calibri" w:cs="Calibri" w:hint="default"/>
        <w:color w:val="000000"/>
        <w:sz w:val="24"/>
      </w:rPr>
    </w:lvl>
    <w:lvl w:ilvl="6">
      <w:start w:val="1"/>
      <w:numFmt w:val="decimal"/>
      <w:lvlText w:val="%1.%2.%3.%4.%5.%6.%7."/>
      <w:lvlJc w:val="left"/>
      <w:pPr>
        <w:ind w:left="3348" w:hanging="1080"/>
      </w:pPr>
      <w:rPr>
        <w:rFonts w:ascii="Calibri" w:eastAsia="Calibri" w:hAnsi="Calibri" w:cs="Calibri" w:hint="default"/>
        <w:color w:val="000000"/>
        <w:sz w:val="24"/>
      </w:rPr>
    </w:lvl>
    <w:lvl w:ilvl="7">
      <w:start w:val="1"/>
      <w:numFmt w:val="decimal"/>
      <w:lvlText w:val="%1.%2.%3.%4.%5.%6.%7.%8."/>
      <w:lvlJc w:val="left"/>
      <w:pPr>
        <w:ind w:left="3852" w:hanging="1224"/>
      </w:pPr>
      <w:rPr>
        <w:rFonts w:ascii="Calibri" w:eastAsia="Calibri" w:hAnsi="Calibri" w:cs="Calibri" w:hint="default"/>
        <w:color w:val="000000"/>
        <w:sz w:val="24"/>
      </w:rPr>
    </w:lvl>
    <w:lvl w:ilvl="8">
      <w:start w:val="1"/>
      <w:numFmt w:val="decimal"/>
      <w:lvlText w:val="%1.%2.%3.%4.%5.%6.%7.%8.%9."/>
      <w:lvlJc w:val="left"/>
      <w:pPr>
        <w:ind w:left="4428" w:hanging="1440"/>
      </w:pPr>
      <w:rPr>
        <w:rFonts w:ascii="Calibri" w:eastAsia="Calibri" w:hAnsi="Calibri" w:cs="Calibri" w:hint="default"/>
        <w:color w:val="000000"/>
        <w:sz w:val="24"/>
      </w:rPr>
    </w:lvl>
  </w:abstractNum>
  <w:abstractNum w:abstractNumId="16" w15:restartNumberingAfterBreak="0">
    <w:nsid w:val="570813E3"/>
    <w:multiLevelType w:val="hybridMultilevel"/>
    <w:tmpl w:val="42F0843C"/>
    <w:lvl w:ilvl="0" w:tplc="8A08FD3A">
      <w:start w:val="1"/>
      <w:numFmt w:val="bullet"/>
      <w:lvlText w:val="-"/>
      <w:lvlJc w:val="left"/>
      <w:pPr>
        <w:ind w:left="828" w:hanging="360"/>
      </w:pPr>
      <w:rPr>
        <w:rFonts w:ascii="Times New Roman" w:hAnsi="Times New Roman" w:cs="Times New Roman" w:hint="default"/>
        <w:color w:val="000000"/>
        <w:sz w:val="24"/>
      </w:rPr>
    </w:lvl>
    <w:lvl w:ilvl="1" w:tplc="51EAE568">
      <w:start w:val="1"/>
      <w:numFmt w:val="bullet"/>
      <w:lvlText w:val="o"/>
      <w:lvlJc w:val="left"/>
      <w:pPr>
        <w:ind w:left="1548" w:hanging="360"/>
      </w:pPr>
      <w:rPr>
        <w:rFonts w:ascii="Courier New" w:eastAsia="Courier New" w:hAnsi="Courier New" w:cs="Courier New" w:hint="default"/>
        <w:color w:val="000000"/>
        <w:sz w:val="24"/>
      </w:rPr>
    </w:lvl>
    <w:lvl w:ilvl="2" w:tplc="71E49078">
      <w:start w:val="1"/>
      <w:numFmt w:val="bullet"/>
      <w:lvlText w:val="-"/>
      <w:lvlJc w:val="left"/>
      <w:pPr>
        <w:ind w:left="2268" w:hanging="360"/>
      </w:pPr>
      <w:rPr>
        <w:rFonts w:ascii="Times New Roman" w:hAnsi="Times New Roman" w:cs="Times New Roman" w:hint="default"/>
        <w:color w:val="000000"/>
        <w:sz w:val="24"/>
      </w:rPr>
    </w:lvl>
    <w:lvl w:ilvl="3" w:tplc="B9AA1CBE">
      <w:start w:val="1"/>
      <w:numFmt w:val="bullet"/>
      <w:lvlText w:val="-"/>
      <w:lvlJc w:val="left"/>
      <w:pPr>
        <w:ind w:left="2988" w:hanging="360"/>
      </w:pPr>
      <w:rPr>
        <w:rFonts w:ascii="Times New Roman" w:hAnsi="Times New Roman" w:cs="Times New Roman" w:hint="default"/>
        <w:color w:val="000000"/>
        <w:sz w:val="24"/>
      </w:rPr>
    </w:lvl>
    <w:lvl w:ilvl="4" w:tplc="24066454">
      <w:start w:val="1"/>
      <w:numFmt w:val="bullet"/>
      <w:lvlText w:val="-"/>
      <w:lvlJc w:val="left"/>
      <w:pPr>
        <w:ind w:left="3708" w:hanging="360"/>
      </w:pPr>
      <w:rPr>
        <w:rFonts w:ascii="Times New Roman" w:hAnsi="Times New Roman" w:cs="Times New Roman" w:hint="default"/>
        <w:color w:val="000000"/>
        <w:sz w:val="24"/>
      </w:rPr>
    </w:lvl>
    <w:lvl w:ilvl="5" w:tplc="4B2C392E">
      <w:start w:val="1"/>
      <w:numFmt w:val="bullet"/>
      <w:lvlText w:val="-"/>
      <w:lvlJc w:val="left"/>
      <w:pPr>
        <w:ind w:left="4428" w:hanging="360"/>
      </w:pPr>
      <w:rPr>
        <w:rFonts w:ascii="Times New Roman" w:hAnsi="Times New Roman" w:cs="Times New Roman" w:hint="default"/>
        <w:color w:val="000000"/>
        <w:sz w:val="24"/>
      </w:rPr>
    </w:lvl>
    <w:lvl w:ilvl="6" w:tplc="E2F2DA32">
      <w:start w:val="1"/>
      <w:numFmt w:val="bullet"/>
      <w:lvlText w:val="-"/>
      <w:lvlJc w:val="left"/>
      <w:pPr>
        <w:ind w:left="5148" w:hanging="360"/>
      </w:pPr>
      <w:rPr>
        <w:rFonts w:ascii="Times New Roman" w:hAnsi="Times New Roman" w:cs="Times New Roman" w:hint="default"/>
        <w:color w:val="000000"/>
        <w:sz w:val="24"/>
      </w:rPr>
    </w:lvl>
    <w:lvl w:ilvl="7" w:tplc="2EE2E618">
      <w:start w:val="1"/>
      <w:numFmt w:val="bullet"/>
      <w:lvlText w:val="-"/>
      <w:lvlJc w:val="left"/>
      <w:pPr>
        <w:ind w:left="5868" w:hanging="360"/>
      </w:pPr>
      <w:rPr>
        <w:rFonts w:ascii="Times New Roman" w:hAnsi="Times New Roman" w:cs="Times New Roman" w:hint="default"/>
        <w:color w:val="000000"/>
        <w:sz w:val="24"/>
      </w:rPr>
    </w:lvl>
    <w:lvl w:ilvl="8" w:tplc="C5168368">
      <w:start w:val="1"/>
      <w:numFmt w:val="bullet"/>
      <w:lvlText w:val="-"/>
      <w:lvlJc w:val="left"/>
      <w:pPr>
        <w:ind w:left="6588" w:hanging="360"/>
      </w:pPr>
      <w:rPr>
        <w:rFonts w:ascii="Times New Roman" w:hAnsi="Times New Roman" w:cs="Times New Roman" w:hint="default"/>
        <w:color w:val="000000"/>
        <w:sz w:val="24"/>
      </w:rPr>
    </w:lvl>
  </w:abstractNum>
  <w:abstractNum w:abstractNumId="17" w15:restartNumberingAfterBreak="0">
    <w:nsid w:val="59F1447A"/>
    <w:multiLevelType w:val="hybridMultilevel"/>
    <w:tmpl w:val="78CE16D4"/>
    <w:lvl w:ilvl="0" w:tplc="C9D0AEE2">
      <w:start w:val="1"/>
      <w:numFmt w:val="bullet"/>
      <w:lvlText w:val="-"/>
      <w:lvlJc w:val="left"/>
      <w:pPr>
        <w:ind w:left="479" w:hanging="360"/>
      </w:pPr>
      <w:rPr>
        <w:rFonts w:ascii="Arial" w:eastAsia="Arial" w:hAnsi="Arial" w:cs="Arial" w:hint="default"/>
      </w:rPr>
    </w:lvl>
    <w:lvl w:ilvl="1" w:tplc="04050003" w:tentative="1">
      <w:start w:val="1"/>
      <w:numFmt w:val="bullet"/>
      <w:lvlText w:val="o"/>
      <w:lvlJc w:val="left"/>
      <w:pPr>
        <w:ind w:left="1199" w:hanging="360"/>
      </w:pPr>
      <w:rPr>
        <w:rFonts w:ascii="Courier New" w:hAnsi="Courier New" w:cs="Courier New" w:hint="default"/>
      </w:rPr>
    </w:lvl>
    <w:lvl w:ilvl="2" w:tplc="04050005" w:tentative="1">
      <w:start w:val="1"/>
      <w:numFmt w:val="bullet"/>
      <w:lvlText w:val=""/>
      <w:lvlJc w:val="left"/>
      <w:pPr>
        <w:ind w:left="1919" w:hanging="360"/>
      </w:pPr>
      <w:rPr>
        <w:rFonts w:ascii="Wingdings" w:hAnsi="Wingdings" w:hint="default"/>
      </w:rPr>
    </w:lvl>
    <w:lvl w:ilvl="3" w:tplc="04050001" w:tentative="1">
      <w:start w:val="1"/>
      <w:numFmt w:val="bullet"/>
      <w:lvlText w:val=""/>
      <w:lvlJc w:val="left"/>
      <w:pPr>
        <w:ind w:left="2639" w:hanging="360"/>
      </w:pPr>
      <w:rPr>
        <w:rFonts w:ascii="Symbol" w:hAnsi="Symbol" w:hint="default"/>
      </w:rPr>
    </w:lvl>
    <w:lvl w:ilvl="4" w:tplc="04050003" w:tentative="1">
      <w:start w:val="1"/>
      <w:numFmt w:val="bullet"/>
      <w:lvlText w:val="o"/>
      <w:lvlJc w:val="left"/>
      <w:pPr>
        <w:ind w:left="3359" w:hanging="360"/>
      </w:pPr>
      <w:rPr>
        <w:rFonts w:ascii="Courier New" w:hAnsi="Courier New" w:cs="Courier New" w:hint="default"/>
      </w:rPr>
    </w:lvl>
    <w:lvl w:ilvl="5" w:tplc="04050005" w:tentative="1">
      <w:start w:val="1"/>
      <w:numFmt w:val="bullet"/>
      <w:lvlText w:val=""/>
      <w:lvlJc w:val="left"/>
      <w:pPr>
        <w:ind w:left="4079" w:hanging="360"/>
      </w:pPr>
      <w:rPr>
        <w:rFonts w:ascii="Wingdings" w:hAnsi="Wingdings" w:hint="default"/>
      </w:rPr>
    </w:lvl>
    <w:lvl w:ilvl="6" w:tplc="04050001" w:tentative="1">
      <w:start w:val="1"/>
      <w:numFmt w:val="bullet"/>
      <w:lvlText w:val=""/>
      <w:lvlJc w:val="left"/>
      <w:pPr>
        <w:ind w:left="4799" w:hanging="360"/>
      </w:pPr>
      <w:rPr>
        <w:rFonts w:ascii="Symbol" w:hAnsi="Symbol" w:hint="default"/>
      </w:rPr>
    </w:lvl>
    <w:lvl w:ilvl="7" w:tplc="04050003" w:tentative="1">
      <w:start w:val="1"/>
      <w:numFmt w:val="bullet"/>
      <w:lvlText w:val="o"/>
      <w:lvlJc w:val="left"/>
      <w:pPr>
        <w:ind w:left="5519" w:hanging="360"/>
      </w:pPr>
      <w:rPr>
        <w:rFonts w:ascii="Courier New" w:hAnsi="Courier New" w:cs="Courier New" w:hint="default"/>
      </w:rPr>
    </w:lvl>
    <w:lvl w:ilvl="8" w:tplc="04050005" w:tentative="1">
      <w:start w:val="1"/>
      <w:numFmt w:val="bullet"/>
      <w:lvlText w:val=""/>
      <w:lvlJc w:val="left"/>
      <w:pPr>
        <w:ind w:left="6239" w:hanging="360"/>
      </w:pPr>
      <w:rPr>
        <w:rFonts w:ascii="Wingdings" w:hAnsi="Wingdings" w:hint="default"/>
      </w:rPr>
    </w:lvl>
  </w:abstractNum>
  <w:abstractNum w:abstractNumId="18" w15:restartNumberingAfterBreak="0">
    <w:nsid w:val="5B301938"/>
    <w:multiLevelType w:val="multilevel"/>
    <w:tmpl w:val="34AE6214"/>
    <w:lvl w:ilvl="0">
      <w:start w:val="1"/>
      <w:numFmt w:val="decimal"/>
      <w:lvlText w:val="%1."/>
      <w:lvlJc w:val="left"/>
      <w:pPr>
        <w:ind w:left="468" w:hanging="360"/>
      </w:pPr>
      <w:rPr>
        <w:rFonts w:ascii="Calibri" w:eastAsia="Calibri" w:hAnsi="Calibri" w:cs="Calibri" w:hint="default"/>
        <w:color w:val="000000"/>
        <w:sz w:val="24"/>
      </w:rPr>
    </w:lvl>
    <w:lvl w:ilvl="1">
      <w:start w:val="1"/>
      <w:numFmt w:val="decimal"/>
      <w:lvlText w:val="3.%2"/>
      <w:lvlJc w:val="left"/>
      <w:pPr>
        <w:ind w:left="558" w:hanging="45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828" w:hanging="720"/>
      </w:pPr>
      <w:rPr>
        <w:rFonts w:ascii="Calibri" w:eastAsia="Calibri" w:hAnsi="Calibri" w:cs="Calibri" w:hint="default"/>
        <w:color w:val="000000"/>
        <w:sz w:val="24"/>
      </w:rPr>
    </w:lvl>
    <w:lvl w:ilvl="4">
      <w:start w:val="1"/>
      <w:numFmt w:val="decimal"/>
      <w:lvlText w:val="%1.%2.%3.%4.%5"/>
      <w:lvlJc w:val="left"/>
      <w:pPr>
        <w:ind w:left="1188" w:hanging="1080"/>
      </w:pPr>
      <w:rPr>
        <w:rFonts w:ascii="Calibri" w:eastAsia="Calibri" w:hAnsi="Calibri" w:cs="Calibri" w:hint="default"/>
        <w:color w:val="000000"/>
        <w:sz w:val="24"/>
      </w:rPr>
    </w:lvl>
    <w:lvl w:ilvl="5">
      <w:start w:val="1"/>
      <w:numFmt w:val="decimal"/>
      <w:lvlText w:val="%1.%2.%3.%4.%5.%6"/>
      <w:lvlJc w:val="left"/>
      <w:pPr>
        <w:ind w:left="1188" w:hanging="1080"/>
      </w:pPr>
      <w:rPr>
        <w:rFonts w:ascii="Calibri" w:eastAsia="Calibri" w:hAnsi="Calibri" w:cs="Calibri" w:hint="default"/>
        <w:color w:val="000000"/>
        <w:sz w:val="24"/>
      </w:rPr>
    </w:lvl>
    <w:lvl w:ilvl="6">
      <w:start w:val="1"/>
      <w:numFmt w:val="decimal"/>
      <w:lvlText w:val="%1.%2.%3.%4.%5.%6.%7"/>
      <w:lvlJc w:val="left"/>
      <w:pPr>
        <w:ind w:left="1548" w:hanging="1440"/>
      </w:pPr>
      <w:rPr>
        <w:rFonts w:ascii="Calibri" w:eastAsia="Calibri" w:hAnsi="Calibri" w:cs="Calibri" w:hint="default"/>
        <w:color w:val="000000"/>
        <w:sz w:val="24"/>
      </w:rPr>
    </w:lvl>
    <w:lvl w:ilvl="7">
      <w:start w:val="1"/>
      <w:numFmt w:val="decimal"/>
      <w:lvlText w:val="%1.%2.%3.%4.%5.%6.%7.%8"/>
      <w:lvlJc w:val="left"/>
      <w:pPr>
        <w:ind w:left="1548" w:hanging="1440"/>
      </w:pPr>
      <w:rPr>
        <w:rFonts w:ascii="Calibri" w:eastAsia="Calibri" w:hAnsi="Calibri" w:cs="Calibri" w:hint="default"/>
        <w:color w:val="000000"/>
        <w:sz w:val="24"/>
      </w:rPr>
    </w:lvl>
    <w:lvl w:ilvl="8">
      <w:start w:val="1"/>
      <w:numFmt w:val="decimal"/>
      <w:lvlText w:val="%1.%2.%3.%4.%5.%6.%7.%8.%9"/>
      <w:lvlJc w:val="left"/>
      <w:pPr>
        <w:ind w:left="1908" w:hanging="1800"/>
      </w:pPr>
      <w:rPr>
        <w:rFonts w:ascii="Calibri" w:eastAsia="Calibri" w:hAnsi="Calibri" w:cs="Calibri" w:hint="default"/>
        <w:color w:val="000000"/>
        <w:sz w:val="24"/>
      </w:rPr>
    </w:lvl>
  </w:abstractNum>
  <w:abstractNum w:abstractNumId="19" w15:restartNumberingAfterBreak="0">
    <w:nsid w:val="685D76E1"/>
    <w:multiLevelType w:val="multilevel"/>
    <w:tmpl w:val="8AC678A4"/>
    <w:lvl w:ilvl="0">
      <w:start w:val="1"/>
      <w:numFmt w:val="decimal"/>
      <w:pStyle w:val="Nadpis1"/>
      <w:lvlText w:val="%1."/>
      <w:lvlJc w:val="left"/>
      <w:pPr>
        <w:ind w:left="468" w:hanging="360"/>
      </w:pPr>
      <w:rPr>
        <w:rFonts w:ascii="Arial" w:eastAsia="Arial" w:hAnsi="Arial" w:cs="Arial" w:hint="default"/>
        <w:b/>
        <w:bCs/>
        <w:color w:val="000000"/>
        <w:sz w:val="24"/>
      </w:rPr>
    </w:lvl>
    <w:lvl w:ilvl="1">
      <w:start w:val="1"/>
      <w:numFmt w:val="decimal"/>
      <w:pStyle w:val="Nadpis2"/>
      <w:lvlText w:val="%1.%2."/>
      <w:lvlJc w:val="left"/>
      <w:pPr>
        <w:ind w:left="533" w:hanging="425"/>
      </w:pPr>
      <w:rPr>
        <w:rFonts w:ascii="Arial" w:eastAsia="Arial" w:hAnsi="Arial" w:cs="Arial" w:hint="default"/>
        <w:b/>
        <w:bCs/>
        <w:color w:val="000000"/>
        <w:sz w:val="24"/>
      </w:rPr>
    </w:lvl>
    <w:lvl w:ilvl="2">
      <w:start w:val="1"/>
      <w:numFmt w:val="decimal"/>
      <w:lvlText w:val="%1.%2.%3."/>
      <w:lvlJc w:val="left"/>
      <w:pPr>
        <w:ind w:left="1332" w:hanging="504"/>
      </w:pPr>
      <w:rPr>
        <w:rFonts w:ascii="Calibri" w:eastAsia="Calibri" w:hAnsi="Calibri" w:cs="Calibri" w:hint="default"/>
        <w:color w:val="000000"/>
        <w:sz w:val="24"/>
      </w:rPr>
    </w:lvl>
    <w:lvl w:ilvl="3">
      <w:start w:val="1"/>
      <w:numFmt w:val="decimal"/>
      <w:lvlText w:val="%1.%2.%3.%4."/>
      <w:lvlJc w:val="left"/>
      <w:pPr>
        <w:ind w:left="1836" w:hanging="648"/>
      </w:pPr>
      <w:rPr>
        <w:rFonts w:ascii="Calibri" w:eastAsia="Calibri" w:hAnsi="Calibri" w:cs="Calibri" w:hint="default"/>
        <w:color w:val="000000"/>
        <w:sz w:val="24"/>
      </w:rPr>
    </w:lvl>
    <w:lvl w:ilvl="4">
      <w:start w:val="1"/>
      <w:numFmt w:val="decimal"/>
      <w:lvlText w:val="%1.%2.%3.%4.%5."/>
      <w:lvlJc w:val="left"/>
      <w:pPr>
        <w:ind w:left="2340" w:hanging="792"/>
      </w:pPr>
      <w:rPr>
        <w:rFonts w:ascii="Calibri" w:eastAsia="Calibri" w:hAnsi="Calibri" w:cs="Calibri" w:hint="default"/>
        <w:color w:val="000000"/>
        <w:sz w:val="24"/>
      </w:rPr>
    </w:lvl>
    <w:lvl w:ilvl="5">
      <w:start w:val="1"/>
      <w:numFmt w:val="decimal"/>
      <w:lvlText w:val="%1.%2.%3.%4.%5.%6."/>
      <w:lvlJc w:val="left"/>
      <w:pPr>
        <w:ind w:left="2844" w:hanging="936"/>
      </w:pPr>
      <w:rPr>
        <w:rFonts w:ascii="Calibri" w:eastAsia="Calibri" w:hAnsi="Calibri" w:cs="Calibri" w:hint="default"/>
        <w:color w:val="000000"/>
        <w:sz w:val="24"/>
      </w:rPr>
    </w:lvl>
    <w:lvl w:ilvl="6">
      <w:start w:val="1"/>
      <w:numFmt w:val="decimal"/>
      <w:lvlText w:val="%1.%2.%3.%4.%5.%6.%7."/>
      <w:lvlJc w:val="left"/>
      <w:pPr>
        <w:ind w:left="3348" w:hanging="1080"/>
      </w:pPr>
      <w:rPr>
        <w:rFonts w:ascii="Calibri" w:eastAsia="Calibri" w:hAnsi="Calibri" w:cs="Calibri" w:hint="default"/>
        <w:color w:val="000000"/>
        <w:sz w:val="24"/>
      </w:rPr>
    </w:lvl>
    <w:lvl w:ilvl="7">
      <w:start w:val="1"/>
      <w:numFmt w:val="decimal"/>
      <w:lvlText w:val="%1.%2.%3.%4.%5.%6.%7.%8."/>
      <w:lvlJc w:val="left"/>
      <w:pPr>
        <w:ind w:left="3852" w:hanging="1224"/>
      </w:pPr>
      <w:rPr>
        <w:rFonts w:ascii="Calibri" w:eastAsia="Calibri" w:hAnsi="Calibri" w:cs="Calibri" w:hint="default"/>
        <w:color w:val="000000"/>
        <w:sz w:val="24"/>
      </w:rPr>
    </w:lvl>
    <w:lvl w:ilvl="8">
      <w:start w:val="1"/>
      <w:numFmt w:val="decimal"/>
      <w:lvlText w:val="%1.%2.%3.%4.%5.%6.%7.%8.%9."/>
      <w:lvlJc w:val="left"/>
      <w:pPr>
        <w:ind w:left="4428" w:hanging="1440"/>
      </w:pPr>
      <w:rPr>
        <w:rFonts w:ascii="Calibri" w:eastAsia="Calibri" w:hAnsi="Calibri" w:cs="Calibri" w:hint="default"/>
        <w:color w:val="000000"/>
        <w:sz w:val="24"/>
      </w:rPr>
    </w:lvl>
  </w:abstractNum>
  <w:abstractNum w:abstractNumId="20" w15:restartNumberingAfterBreak="0">
    <w:nsid w:val="693553B8"/>
    <w:multiLevelType w:val="hybridMultilevel"/>
    <w:tmpl w:val="F79A927A"/>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1" w15:restartNumberingAfterBreak="0">
    <w:nsid w:val="7A3E6111"/>
    <w:multiLevelType w:val="hybridMultilevel"/>
    <w:tmpl w:val="1A86EC4A"/>
    <w:lvl w:ilvl="0" w:tplc="793C96FE">
      <w:start w:val="1"/>
      <w:numFmt w:val="bullet"/>
      <w:lvlText w:val="-"/>
      <w:lvlJc w:val="left"/>
      <w:pPr>
        <w:ind w:left="828" w:hanging="360"/>
      </w:pPr>
      <w:rPr>
        <w:rFonts w:ascii="Times New Roman" w:hAnsi="Times New Roman" w:cs="Times New Roman" w:hint="default"/>
        <w:color w:val="000000"/>
        <w:sz w:val="24"/>
      </w:rPr>
    </w:lvl>
    <w:lvl w:ilvl="1" w:tplc="27041A9C">
      <w:start w:val="1"/>
      <w:numFmt w:val="bullet"/>
      <w:lvlText w:val="o"/>
      <w:lvlJc w:val="left"/>
      <w:pPr>
        <w:ind w:left="1548" w:hanging="360"/>
      </w:pPr>
      <w:rPr>
        <w:rFonts w:ascii="Courier New" w:eastAsia="Courier New" w:hAnsi="Courier New" w:cs="Courier New" w:hint="default"/>
        <w:color w:val="000000"/>
        <w:sz w:val="24"/>
      </w:rPr>
    </w:lvl>
    <w:lvl w:ilvl="2" w:tplc="49F82946">
      <w:start w:val="1"/>
      <w:numFmt w:val="bullet"/>
      <w:lvlText w:val="-"/>
      <w:lvlJc w:val="left"/>
      <w:pPr>
        <w:ind w:left="2268" w:hanging="360"/>
      </w:pPr>
      <w:rPr>
        <w:rFonts w:ascii="Times New Roman" w:hAnsi="Times New Roman" w:cs="Times New Roman" w:hint="default"/>
        <w:color w:val="000000"/>
        <w:sz w:val="24"/>
      </w:rPr>
    </w:lvl>
    <w:lvl w:ilvl="3" w:tplc="D4042FBA">
      <w:start w:val="1"/>
      <w:numFmt w:val="bullet"/>
      <w:lvlText w:val="-"/>
      <w:lvlJc w:val="left"/>
      <w:pPr>
        <w:ind w:left="2988" w:hanging="360"/>
      </w:pPr>
      <w:rPr>
        <w:rFonts w:ascii="Times New Roman" w:hAnsi="Times New Roman" w:cs="Times New Roman" w:hint="default"/>
        <w:color w:val="000000"/>
        <w:sz w:val="24"/>
      </w:rPr>
    </w:lvl>
    <w:lvl w:ilvl="4" w:tplc="5D4CB9E0">
      <w:start w:val="1"/>
      <w:numFmt w:val="bullet"/>
      <w:lvlText w:val="-"/>
      <w:lvlJc w:val="left"/>
      <w:pPr>
        <w:ind w:left="3708" w:hanging="360"/>
      </w:pPr>
      <w:rPr>
        <w:rFonts w:ascii="Times New Roman" w:hAnsi="Times New Roman" w:cs="Times New Roman" w:hint="default"/>
        <w:color w:val="000000"/>
        <w:sz w:val="24"/>
      </w:rPr>
    </w:lvl>
    <w:lvl w:ilvl="5" w:tplc="471686FC">
      <w:start w:val="1"/>
      <w:numFmt w:val="bullet"/>
      <w:lvlText w:val="-"/>
      <w:lvlJc w:val="left"/>
      <w:pPr>
        <w:ind w:left="4428" w:hanging="360"/>
      </w:pPr>
      <w:rPr>
        <w:rFonts w:ascii="Times New Roman" w:hAnsi="Times New Roman" w:cs="Times New Roman" w:hint="default"/>
        <w:color w:val="000000"/>
        <w:sz w:val="24"/>
      </w:rPr>
    </w:lvl>
    <w:lvl w:ilvl="6" w:tplc="155E3B72">
      <w:start w:val="1"/>
      <w:numFmt w:val="bullet"/>
      <w:lvlText w:val="-"/>
      <w:lvlJc w:val="left"/>
      <w:pPr>
        <w:ind w:left="5148" w:hanging="360"/>
      </w:pPr>
      <w:rPr>
        <w:rFonts w:ascii="Times New Roman" w:hAnsi="Times New Roman" w:cs="Times New Roman" w:hint="default"/>
        <w:color w:val="000000"/>
        <w:sz w:val="24"/>
      </w:rPr>
    </w:lvl>
    <w:lvl w:ilvl="7" w:tplc="0EF2B490">
      <w:start w:val="1"/>
      <w:numFmt w:val="bullet"/>
      <w:lvlText w:val="-"/>
      <w:lvlJc w:val="left"/>
      <w:pPr>
        <w:ind w:left="5868" w:hanging="360"/>
      </w:pPr>
      <w:rPr>
        <w:rFonts w:ascii="Times New Roman" w:hAnsi="Times New Roman" w:cs="Times New Roman" w:hint="default"/>
        <w:color w:val="000000"/>
        <w:sz w:val="24"/>
      </w:rPr>
    </w:lvl>
    <w:lvl w:ilvl="8" w:tplc="6E6A58CA">
      <w:start w:val="1"/>
      <w:numFmt w:val="bullet"/>
      <w:lvlText w:val="-"/>
      <w:lvlJc w:val="left"/>
      <w:pPr>
        <w:ind w:left="6588" w:hanging="360"/>
      </w:pPr>
      <w:rPr>
        <w:rFonts w:ascii="Times New Roman" w:hAnsi="Times New Roman" w:cs="Times New Roman" w:hint="default"/>
        <w:color w:val="000000"/>
        <w:sz w:val="24"/>
      </w:rPr>
    </w:lvl>
  </w:abstractNum>
  <w:abstractNum w:abstractNumId="22" w15:restartNumberingAfterBreak="0">
    <w:nsid w:val="7EC9333F"/>
    <w:multiLevelType w:val="hybridMultilevel"/>
    <w:tmpl w:val="74F41670"/>
    <w:lvl w:ilvl="0" w:tplc="C9D0AEE2">
      <w:start w:val="1"/>
      <w:numFmt w:val="bullet"/>
      <w:lvlText w:val="-"/>
      <w:lvlJc w:val="left"/>
      <w:pPr>
        <w:ind w:left="839" w:hanging="360"/>
      </w:pPr>
      <w:rPr>
        <w:rFonts w:ascii="Arial" w:eastAsia="Arial" w:hAnsi="Arial" w:cs="Arial" w:hint="default"/>
      </w:rPr>
    </w:lvl>
    <w:lvl w:ilvl="1" w:tplc="04050003" w:tentative="1">
      <w:start w:val="1"/>
      <w:numFmt w:val="bullet"/>
      <w:lvlText w:val="o"/>
      <w:lvlJc w:val="left"/>
      <w:pPr>
        <w:ind w:left="1559" w:hanging="360"/>
      </w:pPr>
      <w:rPr>
        <w:rFonts w:ascii="Courier New" w:hAnsi="Courier New" w:cs="Courier New" w:hint="default"/>
      </w:rPr>
    </w:lvl>
    <w:lvl w:ilvl="2" w:tplc="04050005" w:tentative="1">
      <w:start w:val="1"/>
      <w:numFmt w:val="bullet"/>
      <w:lvlText w:val=""/>
      <w:lvlJc w:val="left"/>
      <w:pPr>
        <w:ind w:left="2279" w:hanging="360"/>
      </w:pPr>
      <w:rPr>
        <w:rFonts w:ascii="Wingdings" w:hAnsi="Wingdings" w:hint="default"/>
      </w:rPr>
    </w:lvl>
    <w:lvl w:ilvl="3" w:tplc="04050001" w:tentative="1">
      <w:start w:val="1"/>
      <w:numFmt w:val="bullet"/>
      <w:lvlText w:val=""/>
      <w:lvlJc w:val="left"/>
      <w:pPr>
        <w:ind w:left="2999" w:hanging="360"/>
      </w:pPr>
      <w:rPr>
        <w:rFonts w:ascii="Symbol" w:hAnsi="Symbol" w:hint="default"/>
      </w:rPr>
    </w:lvl>
    <w:lvl w:ilvl="4" w:tplc="04050003" w:tentative="1">
      <w:start w:val="1"/>
      <w:numFmt w:val="bullet"/>
      <w:lvlText w:val="o"/>
      <w:lvlJc w:val="left"/>
      <w:pPr>
        <w:ind w:left="3719" w:hanging="360"/>
      </w:pPr>
      <w:rPr>
        <w:rFonts w:ascii="Courier New" w:hAnsi="Courier New" w:cs="Courier New" w:hint="default"/>
      </w:rPr>
    </w:lvl>
    <w:lvl w:ilvl="5" w:tplc="04050005" w:tentative="1">
      <w:start w:val="1"/>
      <w:numFmt w:val="bullet"/>
      <w:lvlText w:val=""/>
      <w:lvlJc w:val="left"/>
      <w:pPr>
        <w:ind w:left="4439" w:hanging="360"/>
      </w:pPr>
      <w:rPr>
        <w:rFonts w:ascii="Wingdings" w:hAnsi="Wingdings" w:hint="default"/>
      </w:rPr>
    </w:lvl>
    <w:lvl w:ilvl="6" w:tplc="04050001" w:tentative="1">
      <w:start w:val="1"/>
      <w:numFmt w:val="bullet"/>
      <w:lvlText w:val=""/>
      <w:lvlJc w:val="left"/>
      <w:pPr>
        <w:ind w:left="5159" w:hanging="360"/>
      </w:pPr>
      <w:rPr>
        <w:rFonts w:ascii="Symbol" w:hAnsi="Symbol" w:hint="default"/>
      </w:rPr>
    </w:lvl>
    <w:lvl w:ilvl="7" w:tplc="04050003" w:tentative="1">
      <w:start w:val="1"/>
      <w:numFmt w:val="bullet"/>
      <w:lvlText w:val="o"/>
      <w:lvlJc w:val="left"/>
      <w:pPr>
        <w:ind w:left="5879" w:hanging="360"/>
      </w:pPr>
      <w:rPr>
        <w:rFonts w:ascii="Courier New" w:hAnsi="Courier New" w:cs="Courier New" w:hint="default"/>
      </w:rPr>
    </w:lvl>
    <w:lvl w:ilvl="8" w:tplc="04050005" w:tentative="1">
      <w:start w:val="1"/>
      <w:numFmt w:val="bullet"/>
      <w:lvlText w:val=""/>
      <w:lvlJc w:val="left"/>
      <w:pPr>
        <w:ind w:left="6599" w:hanging="360"/>
      </w:pPr>
      <w:rPr>
        <w:rFonts w:ascii="Wingdings" w:hAnsi="Wingdings" w:hint="default"/>
      </w:rPr>
    </w:lvl>
  </w:abstractNum>
  <w:abstractNum w:abstractNumId="23" w15:restartNumberingAfterBreak="0">
    <w:nsid w:val="7F6A6B12"/>
    <w:multiLevelType w:val="hybridMultilevel"/>
    <w:tmpl w:val="AED83040"/>
    <w:lvl w:ilvl="0" w:tplc="C9D0AEE2">
      <w:start w:val="1"/>
      <w:numFmt w:val="bullet"/>
      <w:lvlText w:val="-"/>
      <w:lvlJc w:val="left"/>
      <w:pPr>
        <w:ind w:left="862" w:hanging="360"/>
      </w:pPr>
      <w:rPr>
        <w:rFonts w:ascii="Arial" w:eastAsia="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abstractNumId w:val="2"/>
  </w:num>
  <w:num w:numId="2">
    <w:abstractNumId w:val="4"/>
  </w:num>
  <w:num w:numId="3">
    <w:abstractNumId w:val="19"/>
  </w:num>
  <w:num w:numId="4">
    <w:abstractNumId w:val="21"/>
  </w:num>
  <w:num w:numId="5">
    <w:abstractNumId w:val="8"/>
  </w:num>
  <w:num w:numId="6">
    <w:abstractNumId w:val="7"/>
  </w:num>
  <w:num w:numId="7">
    <w:abstractNumId w:val="17"/>
  </w:num>
  <w:num w:numId="8">
    <w:abstractNumId w:val="14"/>
  </w:num>
  <w:num w:numId="9">
    <w:abstractNumId w:val="22"/>
  </w:num>
  <w:num w:numId="10">
    <w:abstractNumId w:val="12"/>
  </w:num>
  <w:num w:numId="11">
    <w:abstractNumId w:val="3"/>
  </w:num>
  <w:num w:numId="12">
    <w:abstractNumId w:val="6"/>
  </w:num>
  <w:num w:numId="13">
    <w:abstractNumId w:val="11"/>
  </w:num>
  <w:num w:numId="14">
    <w:abstractNumId w:val="9"/>
  </w:num>
  <w:num w:numId="15">
    <w:abstractNumId w:val="20"/>
  </w:num>
  <w:num w:numId="16">
    <w:abstractNumId w:val="23"/>
  </w:num>
  <w:num w:numId="17">
    <w:abstractNumId w:val="5"/>
  </w:num>
  <w:num w:numId="18">
    <w:abstractNumId w:val="0"/>
  </w:num>
  <w:num w:numId="19">
    <w:abstractNumId w:val="18"/>
  </w:num>
  <w:num w:numId="20">
    <w:abstractNumId w:val="15"/>
  </w:num>
  <w:num w:numId="21">
    <w:abstractNumId w:val="16"/>
  </w:num>
  <w:num w:numId="22">
    <w:abstractNumId w:val="1"/>
  </w:num>
  <w:num w:numId="23">
    <w:abstractNumId w:val="10"/>
  </w:num>
  <w:num w:numId="24">
    <w:abstractNumId w:val="13"/>
  </w:num>
  <w:num w:numId="25">
    <w:abstractNumId w:val="1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0"/>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51A"/>
    <w:rsid w:val="000147BE"/>
    <w:rsid w:val="000261C1"/>
    <w:rsid w:val="000268DF"/>
    <w:rsid w:val="0003197B"/>
    <w:rsid w:val="00044B56"/>
    <w:rsid w:val="00055427"/>
    <w:rsid w:val="00057C12"/>
    <w:rsid w:val="00062480"/>
    <w:rsid w:val="00064D21"/>
    <w:rsid w:val="00065E0F"/>
    <w:rsid w:val="00083B6B"/>
    <w:rsid w:val="0009396E"/>
    <w:rsid w:val="000A2518"/>
    <w:rsid w:val="000B77CA"/>
    <w:rsid w:val="000C18AE"/>
    <w:rsid w:val="000D66FF"/>
    <w:rsid w:val="000E29F7"/>
    <w:rsid w:val="000E2B9A"/>
    <w:rsid w:val="00101CBF"/>
    <w:rsid w:val="00101E23"/>
    <w:rsid w:val="00101FE1"/>
    <w:rsid w:val="00105038"/>
    <w:rsid w:val="00124465"/>
    <w:rsid w:val="001342FA"/>
    <w:rsid w:val="00141D50"/>
    <w:rsid w:val="00152B3D"/>
    <w:rsid w:val="001655A3"/>
    <w:rsid w:val="00177FC2"/>
    <w:rsid w:val="00181DC0"/>
    <w:rsid w:val="00187594"/>
    <w:rsid w:val="00191276"/>
    <w:rsid w:val="0019597B"/>
    <w:rsid w:val="001A2CCD"/>
    <w:rsid w:val="001A7407"/>
    <w:rsid w:val="001B2CC5"/>
    <w:rsid w:val="001B66B1"/>
    <w:rsid w:val="001B767A"/>
    <w:rsid w:val="001C4724"/>
    <w:rsid w:val="001D2F07"/>
    <w:rsid w:val="001D72BB"/>
    <w:rsid w:val="001E1E42"/>
    <w:rsid w:val="001F1495"/>
    <w:rsid w:val="001F753B"/>
    <w:rsid w:val="0021156B"/>
    <w:rsid w:val="002124B8"/>
    <w:rsid w:val="00213B5C"/>
    <w:rsid w:val="00217665"/>
    <w:rsid w:val="00220403"/>
    <w:rsid w:val="00221E42"/>
    <w:rsid w:val="00233C24"/>
    <w:rsid w:val="00243AED"/>
    <w:rsid w:val="00243C8E"/>
    <w:rsid w:val="00250F9F"/>
    <w:rsid w:val="002534F9"/>
    <w:rsid w:val="0025557F"/>
    <w:rsid w:val="002573F8"/>
    <w:rsid w:val="0026374D"/>
    <w:rsid w:val="00265499"/>
    <w:rsid w:val="00284FEE"/>
    <w:rsid w:val="0028614A"/>
    <w:rsid w:val="002869F2"/>
    <w:rsid w:val="0028798C"/>
    <w:rsid w:val="002905A6"/>
    <w:rsid w:val="002B0854"/>
    <w:rsid w:val="002C168D"/>
    <w:rsid w:val="002C20B5"/>
    <w:rsid w:val="002D3205"/>
    <w:rsid w:val="002D3536"/>
    <w:rsid w:val="002D5C25"/>
    <w:rsid w:val="002E52DB"/>
    <w:rsid w:val="002E6E2A"/>
    <w:rsid w:val="002E7080"/>
    <w:rsid w:val="002F0177"/>
    <w:rsid w:val="002F0929"/>
    <w:rsid w:val="003003DF"/>
    <w:rsid w:val="00305F05"/>
    <w:rsid w:val="00311B1A"/>
    <w:rsid w:val="00313C14"/>
    <w:rsid w:val="003211FB"/>
    <w:rsid w:val="00330287"/>
    <w:rsid w:val="00337A01"/>
    <w:rsid w:val="00342859"/>
    <w:rsid w:val="00342D82"/>
    <w:rsid w:val="00352204"/>
    <w:rsid w:val="00363A2A"/>
    <w:rsid w:val="00367EB9"/>
    <w:rsid w:val="00387490"/>
    <w:rsid w:val="003A2D80"/>
    <w:rsid w:val="003B1310"/>
    <w:rsid w:val="003E097E"/>
    <w:rsid w:val="003F3958"/>
    <w:rsid w:val="003F3FB7"/>
    <w:rsid w:val="004009E7"/>
    <w:rsid w:val="0040414E"/>
    <w:rsid w:val="004154AB"/>
    <w:rsid w:val="00431E5C"/>
    <w:rsid w:val="00435967"/>
    <w:rsid w:val="00436F73"/>
    <w:rsid w:val="004374F7"/>
    <w:rsid w:val="004478C4"/>
    <w:rsid w:val="004560E8"/>
    <w:rsid w:val="00473C57"/>
    <w:rsid w:val="00486215"/>
    <w:rsid w:val="00487A54"/>
    <w:rsid w:val="00496C84"/>
    <w:rsid w:val="004A6C1A"/>
    <w:rsid w:val="004C24C3"/>
    <w:rsid w:val="004C45A8"/>
    <w:rsid w:val="004F0D1A"/>
    <w:rsid w:val="005022DE"/>
    <w:rsid w:val="00503415"/>
    <w:rsid w:val="005115F5"/>
    <w:rsid w:val="00515F7F"/>
    <w:rsid w:val="0052029A"/>
    <w:rsid w:val="00541D74"/>
    <w:rsid w:val="00554A56"/>
    <w:rsid w:val="00554CF5"/>
    <w:rsid w:val="00584BDC"/>
    <w:rsid w:val="00585EAD"/>
    <w:rsid w:val="005B456B"/>
    <w:rsid w:val="005B4D7D"/>
    <w:rsid w:val="005C2EC2"/>
    <w:rsid w:val="005C7301"/>
    <w:rsid w:val="005D29FF"/>
    <w:rsid w:val="005D3AD2"/>
    <w:rsid w:val="005E7F40"/>
    <w:rsid w:val="005F6AA3"/>
    <w:rsid w:val="005F7921"/>
    <w:rsid w:val="006004C9"/>
    <w:rsid w:val="006352AA"/>
    <w:rsid w:val="00664BA9"/>
    <w:rsid w:val="006753A7"/>
    <w:rsid w:val="006779CF"/>
    <w:rsid w:val="006A71F6"/>
    <w:rsid w:val="006A7A9F"/>
    <w:rsid w:val="006B1BFD"/>
    <w:rsid w:val="006B4A7D"/>
    <w:rsid w:val="006B79AB"/>
    <w:rsid w:val="006C26BA"/>
    <w:rsid w:val="006E5BA8"/>
    <w:rsid w:val="006E745C"/>
    <w:rsid w:val="006F31F2"/>
    <w:rsid w:val="006F3CBE"/>
    <w:rsid w:val="0070459D"/>
    <w:rsid w:val="0071181C"/>
    <w:rsid w:val="00716644"/>
    <w:rsid w:val="00723A23"/>
    <w:rsid w:val="00731535"/>
    <w:rsid w:val="00736418"/>
    <w:rsid w:val="00767FBF"/>
    <w:rsid w:val="0077025C"/>
    <w:rsid w:val="007905FB"/>
    <w:rsid w:val="00793EE2"/>
    <w:rsid w:val="007A22BB"/>
    <w:rsid w:val="007B590A"/>
    <w:rsid w:val="007D24EE"/>
    <w:rsid w:val="007F3B3E"/>
    <w:rsid w:val="008026FF"/>
    <w:rsid w:val="00802ECE"/>
    <w:rsid w:val="00811E9E"/>
    <w:rsid w:val="00821ED8"/>
    <w:rsid w:val="00822BEA"/>
    <w:rsid w:val="00840888"/>
    <w:rsid w:val="00841F7B"/>
    <w:rsid w:val="0084650E"/>
    <w:rsid w:val="00854586"/>
    <w:rsid w:val="00866672"/>
    <w:rsid w:val="00866867"/>
    <w:rsid w:val="00867D12"/>
    <w:rsid w:val="008923D6"/>
    <w:rsid w:val="008A0082"/>
    <w:rsid w:val="008A4838"/>
    <w:rsid w:val="008A6DD5"/>
    <w:rsid w:val="008B7797"/>
    <w:rsid w:val="008C046D"/>
    <w:rsid w:val="008C2064"/>
    <w:rsid w:val="008D4CDE"/>
    <w:rsid w:val="008D73AA"/>
    <w:rsid w:val="008E6604"/>
    <w:rsid w:val="00906FC2"/>
    <w:rsid w:val="00910E46"/>
    <w:rsid w:val="0091469D"/>
    <w:rsid w:val="009350D6"/>
    <w:rsid w:val="00935D3C"/>
    <w:rsid w:val="00936610"/>
    <w:rsid w:val="00936FA4"/>
    <w:rsid w:val="009429B1"/>
    <w:rsid w:val="00951A2B"/>
    <w:rsid w:val="00957903"/>
    <w:rsid w:val="009744BB"/>
    <w:rsid w:val="0097775D"/>
    <w:rsid w:val="00981909"/>
    <w:rsid w:val="009B5C67"/>
    <w:rsid w:val="009D15E9"/>
    <w:rsid w:val="009E49E6"/>
    <w:rsid w:val="009F4E4F"/>
    <w:rsid w:val="009F52B2"/>
    <w:rsid w:val="009F57AB"/>
    <w:rsid w:val="009F67D3"/>
    <w:rsid w:val="009F7BB4"/>
    <w:rsid w:val="00A2351A"/>
    <w:rsid w:val="00A61E50"/>
    <w:rsid w:val="00A71736"/>
    <w:rsid w:val="00A722E5"/>
    <w:rsid w:val="00A91BEF"/>
    <w:rsid w:val="00A923E1"/>
    <w:rsid w:val="00A9782D"/>
    <w:rsid w:val="00AA1024"/>
    <w:rsid w:val="00AC63FA"/>
    <w:rsid w:val="00AD61F4"/>
    <w:rsid w:val="00AE4C46"/>
    <w:rsid w:val="00AE6472"/>
    <w:rsid w:val="00B06182"/>
    <w:rsid w:val="00B158B8"/>
    <w:rsid w:val="00B208C1"/>
    <w:rsid w:val="00B2526F"/>
    <w:rsid w:val="00B329E7"/>
    <w:rsid w:val="00B45844"/>
    <w:rsid w:val="00B60AFB"/>
    <w:rsid w:val="00B806D0"/>
    <w:rsid w:val="00B819FC"/>
    <w:rsid w:val="00B9258E"/>
    <w:rsid w:val="00B967F8"/>
    <w:rsid w:val="00BC5BB6"/>
    <w:rsid w:val="00BE0A23"/>
    <w:rsid w:val="00BE6232"/>
    <w:rsid w:val="00C01656"/>
    <w:rsid w:val="00C01B35"/>
    <w:rsid w:val="00C02B78"/>
    <w:rsid w:val="00C10279"/>
    <w:rsid w:val="00C35001"/>
    <w:rsid w:val="00C42BB8"/>
    <w:rsid w:val="00C43DD5"/>
    <w:rsid w:val="00C522C7"/>
    <w:rsid w:val="00C94C8C"/>
    <w:rsid w:val="00CE0CFC"/>
    <w:rsid w:val="00CE7E1E"/>
    <w:rsid w:val="00D0287F"/>
    <w:rsid w:val="00D2226E"/>
    <w:rsid w:val="00D30061"/>
    <w:rsid w:val="00D407CF"/>
    <w:rsid w:val="00D521FE"/>
    <w:rsid w:val="00D523C3"/>
    <w:rsid w:val="00D52A32"/>
    <w:rsid w:val="00D53A90"/>
    <w:rsid w:val="00D95D25"/>
    <w:rsid w:val="00DA62E2"/>
    <w:rsid w:val="00DA7A0D"/>
    <w:rsid w:val="00DB49A4"/>
    <w:rsid w:val="00DC6CDD"/>
    <w:rsid w:val="00DD7907"/>
    <w:rsid w:val="00DE177C"/>
    <w:rsid w:val="00DF38C0"/>
    <w:rsid w:val="00E037BC"/>
    <w:rsid w:val="00E05F8E"/>
    <w:rsid w:val="00E12CC4"/>
    <w:rsid w:val="00E334C0"/>
    <w:rsid w:val="00E511F7"/>
    <w:rsid w:val="00E5195F"/>
    <w:rsid w:val="00E65A62"/>
    <w:rsid w:val="00E9031F"/>
    <w:rsid w:val="00EA54EC"/>
    <w:rsid w:val="00EA61D5"/>
    <w:rsid w:val="00EB03E6"/>
    <w:rsid w:val="00EB441F"/>
    <w:rsid w:val="00EC3D5B"/>
    <w:rsid w:val="00ED0CC4"/>
    <w:rsid w:val="00ED58E4"/>
    <w:rsid w:val="00EF45EA"/>
    <w:rsid w:val="00F12F3A"/>
    <w:rsid w:val="00F1326D"/>
    <w:rsid w:val="00F14450"/>
    <w:rsid w:val="00F15869"/>
    <w:rsid w:val="00F25431"/>
    <w:rsid w:val="00F330EE"/>
    <w:rsid w:val="00F74B37"/>
    <w:rsid w:val="00FA0609"/>
    <w:rsid w:val="00FB06A5"/>
    <w:rsid w:val="00FD35AB"/>
    <w:rsid w:val="00FD6AEA"/>
    <w:rsid w:val="00FE0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C50CFB1"/>
  <w15:docId w15:val="{CD0FAD1C-8082-4A17-B4C2-06DCF56A5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496C84"/>
    <w:pPr>
      <w:numPr>
        <w:numId w:val="3"/>
      </w:numPr>
      <w:tabs>
        <w:tab w:val="left" w:pos="675"/>
      </w:tabs>
      <w:spacing w:before="360"/>
      <w:jc w:val="both"/>
      <w:outlineLvl w:val="0"/>
    </w:pPr>
    <w:rPr>
      <w:rFonts w:ascii="Arial" w:eastAsia="Arial" w:hAnsi="Arial" w:cs="Arial"/>
      <w:b/>
      <w:bCs/>
      <w:color w:val="000000"/>
      <w:sz w:val="24"/>
    </w:rPr>
  </w:style>
  <w:style w:type="paragraph" w:styleId="Nadpis2">
    <w:name w:val="heading 2"/>
    <w:basedOn w:val="Normln"/>
    <w:next w:val="Normln"/>
    <w:link w:val="Nadpis2Char"/>
    <w:uiPriority w:val="9"/>
    <w:unhideWhenUsed/>
    <w:qFormat/>
    <w:rsid w:val="000B77CA"/>
    <w:pPr>
      <w:keepNext/>
      <w:numPr>
        <w:ilvl w:val="1"/>
        <w:numId w:val="3"/>
      </w:numPr>
      <w:spacing w:before="120" w:after="120"/>
      <w:jc w:val="both"/>
      <w:outlineLvl w:val="1"/>
    </w:pPr>
    <w:rPr>
      <w:rFonts w:ascii="Arial" w:eastAsia="Arial" w:hAnsi="Arial" w:cs="Arial"/>
      <w:b/>
      <w:bCs/>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96C84"/>
    <w:rPr>
      <w:rFonts w:ascii="Arial" w:eastAsia="Arial" w:hAnsi="Arial" w:cs="Arial"/>
      <w:b/>
      <w:bCs/>
      <w:color w:val="000000"/>
      <w:sz w:val="24"/>
    </w:rPr>
  </w:style>
  <w:style w:type="character" w:customStyle="1" w:styleId="Nadpis2Char">
    <w:name w:val="Nadpis 2 Char"/>
    <w:basedOn w:val="Standardnpsmoodstavce"/>
    <w:link w:val="Nadpis2"/>
    <w:uiPriority w:val="9"/>
    <w:rsid w:val="000B77CA"/>
    <w:rPr>
      <w:rFonts w:ascii="Arial" w:eastAsia="Arial" w:hAnsi="Arial" w:cs="Arial"/>
      <w:b/>
      <w:bCs/>
      <w:color w:val="000000"/>
      <w:sz w:val="24"/>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pPr>
      <w:ind w:left="720"/>
      <w:contextualSpacing/>
    </w:p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FB06A5"/>
  </w:style>
  <w:style w:type="paragraph" w:customStyle="1" w:styleId="Textkomente1">
    <w:name w:val="Text komentáře1"/>
    <w:basedOn w:val="Normln"/>
    <w:next w:val="Textkomente"/>
    <w:link w:val="TextkomenteChar"/>
    <w:unhideWhenUsed/>
    <w:rsid w:val="000B77CA"/>
    <w:pPr>
      <w:spacing w:after="200"/>
    </w:pPr>
    <w:rPr>
      <w:sz w:val="20"/>
      <w:szCs w:val="20"/>
    </w:rPr>
  </w:style>
  <w:style w:type="paragraph" w:styleId="Textkomente">
    <w:name w:val="annotation text"/>
    <w:basedOn w:val="Normln"/>
    <w:link w:val="TextkomenteChar1"/>
    <w:uiPriority w:val="99"/>
    <w:semiHidden/>
    <w:unhideWhenUsed/>
    <w:rsid w:val="000B77CA"/>
    <w:rPr>
      <w:sz w:val="20"/>
      <w:szCs w:val="20"/>
    </w:rPr>
  </w:style>
  <w:style w:type="character" w:customStyle="1" w:styleId="TextkomenteChar1">
    <w:name w:val="Text komentáře Char1"/>
    <w:basedOn w:val="Standardnpsmoodstavce"/>
    <w:link w:val="Textkomente"/>
    <w:uiPriority w:val="99"/>
    <w:semiHidden/>
    <w:rsid w:val="000B77CA"/>
    <w:rPr>
      <w:sz w:val="20"/>
      <w:szCs w:val="20"/>
    </w:rPr>
  </w:style>
  <w:style w:type="character" w:customStyle="1" w:styleId="TextkomenteChar">
    <w:name w:val="Text komentáře Char"/>
    <w:basedOn w:val="Standardnpsmoodstavce"/>
    <w:link w:val="Textkomente1"/>
    <w:rsid w:val="000B77CA"/>
    <w:rPr>
      <w:sz w:val="20"/>
      <w:szCs w:val="20"/>
    </w:rPr>
  </w:style>
  <w:style w:type="paragraph" w:styleId="Nadpisobsahu">
    <w:name w:val="TOC Heading"/>
    <w:basedOn w:val="Nadpis1"/>
    <w:next w:val="Normln"/>
    <w:uiPriority w:val="39"/>
    <w:semiHidden/>
    <w:unhideWhenUsed/>
    <w:qFormat/>
    <w:rsid w:val="000B77CA"/>
    <w:pPr>
      <w:keepNext/>
      <w:keepLines/>
      <w:numPr>
        <w:numId w:val="0"/>
      </w:numPr>
      <w:tabs>
        <w:tab w:val="clear" w:pos="675"/>
      </w:tabs>
      <w:spacing w:before="480" w:line="276" w:lineRule="auto"/>
      <w:jc w:val="left"/>
      <w:outlineLvl w:val="9"/>
    </w:pPr>
    <w:rPr>
      <w:rFonts w:asciiTheme="majorHAnsi" w:eastAsiaTheme="majorEastAsia" w:hAnsiTheme="majorHAnsi" w:cstheme="majorBidi"/>
      <w:color w:val="365F91" w:themeColor="accent1" w:themeShade="BF"/>
      <w:sz w:val="28"/>
      <w:szCs w:val="28"/>
      <w:lang w:val="cs-CZ" w:eastAsia="cs-CZ"/>
    </w:rPr>
  </w:style>
  <w:style w:type="paragraph" w:styleId="Obsah1">
    <w:name w:val="toc 1"/>
    <w:basedOn w:val="Normln"/>
    <w:next w:val="Normln"/>
    <w:autoRedefine/>
    <w:uiPriority w:val="39"/>
    <w:unhideWhenUsed/>
    <w:rsid w:val="000B77CA"/>
    <w:pPr>
      <w:spacing w:after="100"/>
    </w:pPr>
  </w:style>
  <w:style w:type="paragraph" w:styleId="Obsah2">
    <w:name w:val="toc 2"/>
    <w:basedOn w:val="Normln"/>
    <w:next w:val="Normln"/>
    <w:autoRedefine/>
    <w:uiPriority w:val="39"/>
    <w:unhideWhenUsed/>
    <w:rsid w:val="000B77CA"/>
    <w:pPr>
      <w:spacing w:after="100"/>
      <w:ind w:left="220"/>
    </w:pPr>
  </w:style>
  <w:style w:type="character" w:styleId="Hypertextovodkaz">
    <w:name w:val="Hyperlink"/>
    <w:basedOn w:val="Standardnpsmoodstavce"/>
    <w:uiPriority w:val="99"/>
    <w:unhideWhenUsed/>
    <w:rsid w:val="000B77CA"/>
    <w:rPr>
      <w:color w:val="0000FF" w:themeColor="hyperlink"/>
      <w:u w:val="single"/>
    </w:rPr>
  </w:style>
  <w:style w:type="paragraph" w:styleId="Textbubliny">
    <w:name w:val="Balloon Text"/>
    <w:basedOn w:val="Normln"/>
    <w:link w:val="TextbublinyChar"/>
    <w:uiPriority w:val="99"/>
    <w:semiHidden/>
    <w:unhideWhenUsed/>
    <w:rsid w:val="000B77CA"/>
    <w:rPr>
      <w:rFonts w:ascii="Tahoma" w:hAnsi="Tahoma" w:cs="Tahoma"/>
      <w:sz w:val="16"/>
      <w:szCs w:val="16"/>
    </w:rPr>
  </w:style>
  <w:style w:type="character" w:customStyle="1" w:styleId="TextbublinyChar">
    <w:name w:val="Text bubliny Char"/>
    <w:basedOn w:val="Standardnpsmoodstavce"/>
    <w:link w:val="Textbubliny"/>
    <w:uiPriority w:val="99"/>
    <w:semiHidden/>
    <w:rsid w:val="000B77CA"/>
    <w:rPr>
      <w:rFonts w:ascii="Tahoma" w:hAnsi="Tahoma" w:cs="Tahoma"/>
      <w:sz w:val="16"/>
      <w:szCs w:val="16"/>
    </w:rPr>
  </w:style>
  <w:style w:type="paragraph" w:styleId="Zpat">
    <w:name w:val="footer"/>
    <w:basedOn w:val="Normln"/>
    <w:link w:val="ZpatChar"/>
    <w:uiPriority w:val="99"/>
    <w:unhideWhenUsed/>
    <w:rsid w:val="000C18AE"/>
    <w:pPr>
      <w:tabs>
        <w:tab w:val="center" w:pos="4536"/>
        <w:tab w:val="right" w:pos="9072"/>
      </w:tabs>
    </w:pPr>
    <w:rPr>
      <w:lang w:val="cs-CZ"/>
    </w:rPr>
  </w:style>
  <w:style w:type="character" w:customStyle="1" w:styleId="ZpatChar">
    <w:name w:val="Zápatí Char"/>
    <w:basedOn w:val="Standardnpsmoodstavce"/>
    <w:link w:val="Zpat"/>
    <w:uiPriority w:val="99"/>
    <w:rsid w:val="000C18AE"/>
    <w:rPr>
      <w:lang w:val="cs-CZ"/>
    </w:rPr>
  </w:style>
  <w:style w:type="paragraph" w:styleId="Zhlav">
    <w:name w:val="header"/>
    <w:basedOn w:val="Normln"/>
    <w:link w:val="ZhlavChar"/>
    <w:uiPriority w:val="99"/>
    <w:unhideWhenUsed/>
    <w:rsid w:val="000C18AE"/>
    <w:pPr>
      <w:tabs>
        <w:tab w:val="center" w:pos="4536"/>
        <w:tab w:val="right" w:pos="9072"/>
      </w:tabs>
    </w:pPr>
  </w:style>
  <w:style w:type="character" w:customStyle="1" w:styleId="ZhlavChar">
    <w:name w:val="Záhlaví Char"/>
    <w:basedOn w:val="Standardnpsmoodstavce"/>
    <w:link w:val="Zhlav"/>
    <w:uiPriority w:val="99"/>
    <w:rsid w:val="000C18AE"/>
  </w:style>
  <w:style w:type="character" w:styleId="Odkaznakoment">
    <w:name w:val="annotation reference"/>
    <w:basedOn w:val="Standardnpsmoodstavce"/>
    <w:uiPriority w:val="99"/>
    <w:semiHidden/>
    <w:unhideWhenUsed/>
    <w:rsid w:val="00822BEA"/>
    <w:rPr>
      <w:sz w:val="16"/>
      <w:szCs w:val="16"/>
    </w:rPr>
  </w:style>
  <w:style w:type="paragraph" w:styleId="Pedmtkomente">
    <w:name w:val="annotation subject"/>
    <w:basedOn w:val="Textkomente"/>
    <w:next w:val="Textkomente"/>
    <w:link w:val="PedmtkomenteChar"/>
    <w:uiPriority w:val="99"/>
    <w:semiHidden/>
    <w:unhideWhenUsed/>
    <w:rsid w:val="00822BEA"/>
    <w:rPr>
      <w:b/>
      <w:bCs/>
    </w:rPr>
  </w:style>
  <w:style w:type="character" w:customStyle="1" w:styleId="PedmtkomenteChar">
    <w:name w:val="Předmět komentáře Char"/>
    <w:basedOn w:val="TextkomenteChar1"/>
    <w:link w:val="Pedmtkomente"/>
    <w:uiPriority w:val="99"/>
    <w:semiHidden/>
    <w:rsid w:val="00822BEA"/>
    <w:rPr>
      <w:b/>
      <w:bCs/>
      <w:sz w:val="20"/>
      <w:szCs w:val="20"/>
    </w:rPr>
  </w:style>
  <w:style w:type="character" w:styleId="Sledovanodkaz">
    <w:name w:val="FollowedHyperlink"/>
    <w:basedOn w:val="Standardnpsmoodstavce"/>
    <w:uiPriority w:val="99"/>
    <w:semiHidden/>
    <w:unhideWhenUsed/>
    <w:rsid w:val="002573F8"/>
    <w:rPr>
      <w:color w:val="954F72"/>
      <w:u w:val="single"/>
    </w:rPr>
  </w:style>
  <w:style w:type="paragraph" w:customStyle="1" w:styleId="xl65">
    <w:name w:val="xl65"/>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66">
    <w:name w:val="xl66"/>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67">
    <w:name w:val="xl67"/>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68">
    <w:name w:val="xl68"/>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69">
    <w:name w:val="xl69"/>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70">
    <w:name w:val="xl70"/>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71">
    <w:name w:val="xl71"/>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72">
    <w:name w:val="xl72"/>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73">
    <w:name w:val="xl73"/>
    <w:basedOn w:val="Normln"/>
    <w:rsid w:val="002573F8"/>
    <w:pPr>
      <w:shd w:val="clear" w:color="000000" w:fill="FFC000"/>
      <w:spacing w:before="100" w:beforeAutospacing="1" w:after="100" w:afterAutospacing="1"/>
    </w:pPr>
    <w:rPr>
      <w:rFonts w:ascii="Times New Roman" w:eastAsia="Times New Roman" w:hAnsi="Times New Roman" w:cs="Times New Roman"/>
      <w:sz w:val="24"/>
      <w:szCs w:val="24"/>
      <w:lang w:val="cs-CZ" w:eastAsia="cs-CZ"/>
    </w:rPr>
  </w:style>
  <w:style w:type="paragraph" w:customStyle="1" w:styleId="xl74">
    <w:name w:val="xl74"/>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14"/>
      <w:szCs w:val="14"/>
      <w:lang w:val="cs-CZ" w:eastAsia="cs-CZ"/>
    </w:rPr>
  </w:style>
  <w:style w:type="paragraph" w:customStyle="1" w:styleId="xl75">
    <w:name w:val="xl75"/>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000000"/>
      <w:sz w:val="14"/>
      <w:szCs w:val="14"/>
      <w:lang w:val="cs-CZ" w:eastAsia="cs-CZ"/>
    </w:rPr>
  </w:style>
  <w:style w:type="paragraph" w:customStyle="1" w:styleId="xl76">
    <w:name w:val="xl76"/>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sz w:val="24"/>
      <w:szCs w:val="24"/>
      <w:lang w:val="cs-CZ" w:eastAsia="cs-CZ"/>
    </w:rPr>
  </w:style>
  <w:style w:type="paragraph" w:customStyle="1" w:styleId="xl77">
    <w:name w:val="xl77"/>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imes New Roman" w:eastAsia="Times New Roman" w:hAnsi="Times New Roman" w:cs="Times New Roman"/>
      <w:b/>
      <w:bCs/>
      <w:color w:val="000000"/>
      <w:sz w:val="14"/>
      <w:szCs w:val="14"/>
      <w:lang w:val="cs-CZ" w:eastAsia="cs-CZ"/>
    </w:rPr>
  </w:style>
  <w:style w:type="paragraph" w:customStyle="1" w:styleId="xl78">
    <w:name w:val="xl78"/>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79">
    <w:name w:val="xl79"/>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80">
    <w:name w:val="xl80"/>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81">
    <w:name w:val="xl81"/>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82">
    <w:name w:val="xl82"/>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83">
    <w:name w:val="xl83"/>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84">
    <w:name w:val="xl84"/>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14"/>
      <w:szCs w:val="14"/>
      <w:lang w:val="cs-CZ" w:eastAsia="cs-CZ"/>
    </w:rPr>
  </w:style>
  <w:style w:type="paragraph" w:customStyle="1" w:styleId="xl85">
    <w:name w:val="xl85"/>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86">
    <w:name w:val="xl86"/>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87">
    <w:name w:val="xl87"/>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88">
    <w:name w:val="xl88"/>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rFonts w:ascii="Times New Roman" w:eastAsia="Times New Roman" w:hAnsi="Times New Roman" w:cs="Times New Roman"/>
      <w:color w:val="000000"/>
      <w:sz w:val="14"/>
      <w:szCs w:val="14"/>
      <w:lang w:val="cs-CZ" w:eastAsia="cs-CZ"/>
    </w:rPr>
  </w:style>
  <w:style w:type="paragraph" w:customStyle="1" w:styleId="xl89">
    <w:name w:val="xl89"/>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lang w:val="cs-CZ" w:eastAsia="cs-CZ"/>
    </w:rPr>
  </w:style>
  <w:style w:type="paragraph" w:customStyle="1" w:styleId="xl90">
    <w:name w:val="xl90"/>
    <w:basedOn w:val="Normln"/>
    <w:rsid w:val="00257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14"/>
      <w:szCs w:val="14"/>
      <w:lang w:val="cs-CZ" w:eastAsia="cs-CZ"/>
    </w:rPr>
  </w:style>
  <w:style w:type="paragraph" w:customStyle="1" w:styleId="xl91">
    <w:name w:val="xl91"/>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libri" w:eastAsia="Times New Roman" w:hAnsi="Calibri" w:cs="Times New Roman"/>
      <w:sz w:val="24"/>
      <w:szCs w:val="24"/>
      <w:lang w:val="cs-CZ" w:eastAsia="cs-CZ"/>
    </w:rPr>
  </w:style>
  <w:style w:type="paragraph" w:customStyle="1" w:styleId="xl92">
    <w:name w:val="xl92"/>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lang w:val="cs-CZ" w:eastAsia="cs-CZ"/>
    </w:rPr>
  </w:style>
  <w:style w:type="paragraph" w:customStyle="1" w:styleId="xl93">
    <w:name w:val="xl93"/>
    <w:basedOn w:val="Normln"/>
    <w:rsid w:val="00257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lang w:val="cs-CZ" w:eastAsia="cs-CZ"/>
    </w:rPr>
  </w:style>
  <w:style w:type="paragraph" w:customStyle="1" w:styleId="xl94">
    <w:name w:val="xl94"/>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both"/>
      <w:textAlignment w:val="center"/>
    </w:pPr>
    <w:rPr>
      <w:rFonts w:ascii="Calibri" w:eastAsia="Times New Roman" w:hAnsi="Calibri" w:cs="Times New Roman"/>
      <w:sz w:val="24"/>
      <w:szCs w:val="24"/>
      <w:lang w:val="cs-CZ" w:eastAsia="cs-CZ"/>
    </w:rPr>
  </w:style>
  <w:style w:type="paragraph" w:customStyle="1" w:styleId="xl95">
    <w:name w:val="xl95"/>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96">
    <w:name w:val="xl96"/>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97">
    <w:name w:val="xl97"/>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imes New Roman" w:eastAsia="Times New Roman" w:hAnsi="Times New Roman" w:cs="Times New Roman"/>
      <w:b/>
      <w:bCs/>
      <w:color w:val="000000"/>
      <w:sz w:val="14"/>
      <w:szCs w:val="14"/>
      <w:lang w:val="cs-CZ" w:eastAsia="cs-CZ"/>
    </w:rPr>
  </w:style>
  <w:style w:type="paragraph" w:customStyle="1" w:styleId="xl98">
    <w:name w:val="xl98"/>
    <w:basedOn w:val="Normln"/>
    <w:rsid w:val="002573F8"/>
    <w:pPr>
      <w:shd w:val="clear" w:color="000000" w:fill="E7E6E6"/>
      <w:spacing w:before="100" w:beforeAutospacing="1" w:after="100" w:afterAutospacing="1"/>
    </w:pPr>
    <w:rPr>
      <w:rFonts w:ascii="Times New Roman" w:eastAsia="Times New Roman" w:hAnsi="Times New Roman" w:cs="Times New Roman"/>
      <w:sz w:val="24"/>
      <w:szCs w:val="24"/>
      <w:lang w:val="cs-CZ" w:eastAsia="cs-CZ"/>
    </w:rPr>
  </w:style>
  <w:style w:type="paragraph" w:customStyle="1" w:styleId="xl99">
    <w:name w:val="xl99"/>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rFonts w:ascii="Times New Roman" w:eastAsia="Times New Roman" w:hAnsi="Times New Roman" w:cs="Times New Roman"/>
      <w:color w:val="000000"/>
      <w:sz w:val="14"/>
      <w:szCs w:val="14"/>
      <w:lang w:val="cs-CZ" w:eastAsia="cs-CZ"/>
    </w:rPr>
  </w:style>
  <w:style w:type="paragraph" w:customStyle="1" w:styleId="xl100">
    <w:name w:val="xl100"/>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101">
    <w:name w:val="xl101"/>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xl102">
    <w:name w:val="xl102"/>
    <w:basedOn w:val="Normln"/>
    <w:rsid w:val="002573F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sz w:val="14"/>
      <w:szCs w:val="14"/>
      <w:lang w:val="cs-CZ" w:eastAsia="cs-CZ"/>
    </w:rPr>
  </w:style>
  <w:style w:type="paragraph" w:customStyle="1" w:styleId="xl103">
    <w:name w:val="xl103"/>
    <w:basedOn w:val="Normln"/>
    <w:rsid w:val="002573F8"/>
    <w:pPr>
      <w:pBdr>
        <w:top w:val="single" w:sz="4" w:space="0" w:color="auto"/>
        <w:left w:val="single" w:sz="4" w:space="0" w:color="auto"/>
        <w:right w:val="single" w:sz="4" w:space="0" w:color="auto"/>
      </w:pBdr>
      <w:shd w:val="clear" w:color="000000" w:fill="E7E6E6"/>
      <w:spacing w:before="100" w:beforeAutospacing="1" w:after="100" w:afterAutospacing="1"/>
      <w:jc w:val="both"/>
      <w:textAlignment w:val="center"/>
    </w:pPr>
    <w:rPr>
      <w:rFonts w:ascii="Calibri" w:eastAsia="Times New Roman" w:hAnsi="Calibri" w:cs="Times New Roman"/>
      <w:sz w:val="24"/>
      <w:szCs w:val="24"/>
      <w:lang w:val="cs-CZ" w:eastAsia="cs-CZ"/>
    </w:rPr>
  </w:style>
  <w:style w:type="paragraph" w:customStyle="1" w:styleId="xl104">
    <w:name w:val="xl104"/>
    <w:basedOn w:val="Normln"/>
    <w:rsid w:val="002573F8"/>
    <w:pPr>
      <w:pBdr>
        <w:left w:val="single" w:sz="4" w:space="0" w:color="auto"/>
        <w:bottom w:val="single" w:sz="4" w:space="0" w:color="auto"/>
        <w:right w:val="single" w:sz="4" w:space="0" w:color="auto"/>
      </w:pBdr>
      <w:shd w:val="clear" w:color="000000" w:fill="E7E6E6"/>
      <w:spacing w:before="100" w:beforeAutospacing="1" w:after="100" w:afterAutospacing="1"/>
      <w:jc w:val="right"/>
      <w:textAlignment w:val="center"/>
    </w:pPr>
    <w:rPr>
      <w:rFonts w:ascii="Times New Roman" w:eastAsia="Times New Roman" w:hAnsi="Times New Roman" w:cs="Times New Roman"/>
      <w:color w:val="000000"/>
      <w:sz w:val="14"/>
      <w:szCs w:val="14"/>
      <w:lang w:val="cs-CZ" w:eastAsia="cs-CZ"/>
    </w:rPr>
  </w:style>
  <w:style w:type="paragraph" w:customStyle="1" w:styleId="msonormal0">
    <w:name w:val="msonormal"/>
    <w:basedOn w:val="Normln"/>
    <w:rsid w:val="00337A01"/>
    <w:pPr>
      <w:spacing w:before="100" w:beforeAutospacing="1" w:after="100" w:afterAutospacing="1"/>
    </w:pPr>
    <w:rPr>
      <w:rFonts w:ascii="Times New Roman" w:eastAsia="Times New Roman" w:hAnsi="Times New Roman" w:cs="Times New Roman"/>
      <w:sz w:val="24"/>
      <w:szCs w:val="24"/>
      <w:lang w:val="cs-CZ" w:eastAsia="cs-CZ"/>
    </w:rPr>
  </w:style>
  <w:style w:type="paragraph" w:customStyle="1" w:styleId="font5">
    <w:name w:val="font5"/>
    <w:basedOn w:val="Normln"/>
    <w:rsid w:val="00E511F7"/>
    <w:pPr>
      <w:spacing w:before="100" w:beforeAutospacing="1" w:after="100" w:afterAutospacing="1"/>
    </w:pPr>
    <w:rPr>
      <w:rFonts w:ascii="Arial" w:eastAsia="Times New Roman" w:hAnsi="Arial" w:cs="Arial"/>
      <w:color w:val="000000"/>
      <w:sz w:val="14"/>
      <w:szCs w:val="14"/>
      <w:lang w:val="cs-CZ" w:eastAsia="cs-CZ"/>
    </w:rPr>
  </w:style>
  <w:style w:type="paragraph" w:customStyle="1" w:styleId="xl105">
    <w:name w:val="xl105"/>
    <w:basedOn w:val="Normln"/>
    <w:rsid w:val="00E511F7"/>
    <w:pPr>
      <w:pBdr>
        <w:bottom w:val="single" w:sz="8" w:space="0" w:color="auto"/>
        <w:right w:val="single" w:sz="8" w:space="0" w:color="auto"/>
      </w:pBdr>
      <w:shd w:val="clear" w:color="000000" w:fill="FFFFFF"/>
      <w:spacing w:before="100" w:beforeAutospacing="1" w:after="100" w:afterAutospacing="1"/>
      <w:jc w:val="right"/>
      <w:textAlignment w:val="center"/>
    </w:pPr>
    <w:rPr>
      <w:rFonts w:ascii="Arial" w:eastAsia="Times New Roman" w:hAnsi="Arial" w:cs="Arial"/>
      <w:sz w:val="14"/>
      <w:szCs w:val="14"/>
      <w:lang w:val="cs-CZ" w:eastAsia="cs-CZ"/>
    </w:rPr>
  </w:style>
  <w:style w:type="paragraph" w:customStyle="1" w:styleId="xl106">
    <w:name w:val="xl106"/>
    <w:basedOn w:val="Normln"/>
    <w:rsid w:val="00E511F7"/>
    <w:pPr>
      <w:pBdr>
        <w:bottom w:val="single" w:sz="8" w:space="0" w:color="auto"/>
        <w:right w:val="single" w:sz="8" w:space="0" w:color="auto"/>
      </w:pBdr>
      <w:spacing w:before="100" w:beforeAutospacing="1" w:after="100" w:afterAutospacing="1"/>
      <w:jc w:val="right"/>
      <w:textAlignment w:val="center"/>
    </w:pPr>
    <w:rPr>
      <w:rFonts w:ascii="Arial" w:eastAsia="Times New Roman" w:hAnsi="Arial" w:cs="Arial"/>
      <w:color w:val="000000"/>
      <w:sz w:val="14"/>
      <w:szCs w:val="14"/>
      <w:lang w:val="cs-CZ" w:eastAsia="cs-CZ"/>
    </w:rPr>
  </w:style>
  <w:style w:type="paragraph" w:customStyle="1" w:styleId="xl107">
    <w:name w:val="xl107"/>
    <w:basedOn w:val="Normln"/>
    <w:rsid w:val="00E511F7"/>
    <w:pPr>
      <w:pBdr>
        <w:bottom w:val="single" w:sz="8" w:space="0" w:color="auto"/>
        <w:right w:val="single" w:sz="8" w:space="0" w:color="auto"/>
      </w:pBdr>
      <w:shd w:val="clear" w:color="000000" w:fill="FFFFFF"/>
      <w:spacing w:before="100" w:beforeAutospacing="1" w:after="100" w:afterAutospacing="1"/>
      <w:jc w:val="right"/>
      <w:textAlignment w:val="center"/>
    </w:pPr>
    <w:rPr>
      <w:rFonts w:ascii="Arial" w:eastAsia="Times New Roman" w:hAnsi="Arial" w:cs="Arial"/>
      <w:color w:val="000000"/>
      <w:sz w:val="14"/>
      <w:szCs w:val="14"/>
      <w:lang w:val="cs-CZ" w:eastAsia="cs-CZ"/>
    </w:rPr>
  </w:style>
  <w:style w:type="paragraph" w:customStyle="1" w:styleId="xl108">
    <w:name w:val="xl108"/>
    <w:basedOn w:val="Normln"/>
    <w:rsid w:val="00E511F7"/>
    <w:pPr>
      <w:pBdr>
        <w:bottom w:val="single" w:sz="8" w:space="0" w:color="auto"/>
        <w:right w:val="single" w:sz="8" w:space="0" w:color="auto"/>
      </w:pBdr>
      <w:spacing w:before="100" w:beforeAutospacing="1" w:after="100" w:afterAutospacing="1"/>
      <w:jc w:val="right"/>
      <w:textAlignment w:val="center"/>
    </w:pPr>
    <w:rPr>
      <w:rFonts w:ascii="Arial" w:eastAsia="Times New Roman" w:hAnsi="Arial" w:cs="Arial"/>
      <w:sz w:val="14"/>
      <w:szCs w:val="14"/>
      <w:lang w:val="cs-CZ" w:eastAsia="cs-CZ"/>
    </w:rPr>
  </w:style>
  <w:style w:type="paragraph" w:customStyle="1" w:styleId="xl109">
    <w:name w:val="xl109"/>
    <w:basedOn w:val="Normln"/>
    <w:rsid w:val="00E511F7"/>
    <w:pPr>
      <w:pBdr>
        <w:top w:val="single" w:sz="8" w:space="0" w:color="auto"/>
        <w:left w:val="single" w:sz="8" w:space="0" w:color="auto"/>
        <w:right w:val="single" w:sz="8" w:space="0" w:color="auto"/>
      </w:pBdr>
      <w:shd w:val="clear" w:color="000000" w:fill="E7E6E6"/>
      <w:spacing w:before="100" w:beforeAutospacing="1" w:after="100" w:afterAutospacing="1"/>
      <w:jc w:val="center"/>
      <w:textAlignment w:val="center"/>
    </w:pPr>
    <w:rPr>
      <w:rFonts w:ascii="Arial" w:eastAsia="Times New Roman" w:hAnsi="Arial" w:cs="Arial"/>
      <w:color w:val="000000"/>
      <w:sz w:val="14"/>
      <w:szCs w:val="14"/>
      <w:lang w:val="cs-CZ" w:eastAsia="cs-CZ"/>
    </w:rPr>
  </w:style>
  <w:style w:type="paragraph" w:customStyle="1" w:styleId="xl110">
    <w:name w:val="xl110"/>
    <w:basedOn w:val="Normln"/>
    <w:rsid w:val="00E511F7"/>
    <w:pPr>
      <w:pBdr>
        <w:left w:val="single" w:sz="8" w:space="0" w:color="auto"/>
        <w:right w:val="single" w:sz="8" w:space="0" w:color="auto"/>
      </w:pBdr>
      <w:shd w:val="clear" w:color="000000" w:fill="E7E6E6"/>
      <w:spacing w:before="100" w:beforeAutospacing="1" w:after="100" w:afterAutospacing="1"/>
      <w:jc w:val="center"/>
      <w:textAlignment w:val="center"/>
    </w:pPr>
    <w:rPr>
      <w:rFonts w:ascii="Arial" w:eastAsia="Times New Roman" w:hAnsi="Arial" w:cs="Arial"/>
      <w:color w:val="000000"/>
      <w:sz w:val="14"/>
      <w:szCs w:val="14"/>
      <w:lang w:val="cs-CZ" w:eastAsia="cs-CZ"/>
    </w:rPr>
  </w:style>
  <w:style w:type="paragraph" w:customStyle="1" w:styleId="xl111">
    <w:name w:val="xl111"/>
    <w:basedOn w:val="Normln"/>
    <w:rsid w:val="00E511F7"/>
    <w:pPr>
      <w:pBdr>
        <w:left w:val="single" w:sz="8" w:space="0" w:color="auto"/>
        <w:bottom w:val="single" w:sz="8" w:space="0" w:color="000000"/>
        <w:right w:val="single" w:sz="8" w:space="0" w:color="auto"/>
      </w:pBdr>
      <w:shd w:val="clear" w:color="000000" w:fill="E7E6E6"/>
      <w:spacing w:before="100" w:beforeAutospacing="1" w:after="100" w:afterAutospacing="1"/>
      <w:jc w:val="center"/>
      <w:textAlignment w:val="center"/>
    </w:pPr>
    <w:rPr>
      <w:rFonts w:ascii="Arial" w:eastAsia="Times New Roman" w:hAnsi="Arial" w:cs="Arial"/>
      <w:color w:val="000000"/>
      <w:sz w:val="14"/>
      <w:szCs w:val="14"/>
      <w:lang w:val="cs-CZ" w:eastAsia="cs-CZ"/>
    </w:rPr>
  </w:style>
  <w:style w:type="paragraph" w:customStyle="1" w:styleId="xl112">
    <w:name w:val="xl112"/>
    <w:basedOn w:val="Normln"/>
    <w:rsid w:val="00E511F7"/>
    <w:pPr>
      <w:pBdr>
        <w:top w:val="single" w:sz="8" w:space="0" w:color="000000"/>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color w:val="000000"/>
      <w:sz w:val="14"/>
      <w:szCs w:val="14"/>
      <w:lang w:val="cs-CZ" w:eastAsia="cs-CZ"/>
    </w:rPr>
  </w:style>
  <w:style w:type="paragraph" w:customStyle="1" w:styleId="xl113">
    <w:name w:val="xl113"/>
    <w:basedOn w:val="Normln"/>
    <w:rsid w:val="00E511F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color w:val="000000"/>
      <w:sz w:val="14"/>
      <w:szCs w:val="14"/>
      <w:lang w:val="cs-CZ" w:eastAsia="cs-CZ"/>
    </w:rPr>
  </w:style>
  <w:style w:type="paragraph" w:customStyle="1" w:styleId="xl114">
    <w:name w:val="xl114"/>
    <w:basedOn w:val="Normln"/>
    <w:rsid w:val="00E511F7"/>
    <w:pPr>
      <w:pBdr>
        <w:bottom w:val="single" w:sz="8" w:space="0" w:color="auto"/>
      </w:pBdr>
      <w:shd w:val="clear" w:color="000000" w:fill="FFFFFF"/>
      <w:spacing w:before="100" w:beforeAutospacing="1" w:after="100" w:afterAutospacing="1"/>
      <w:jc w:val="right"/>
      <w:textAlignment w:val="center"/>
    </w:pPr>
    <w:rPr>
      <w:rFonts w:ascii="Arial" w:eastAsia="Times New Roman" w:hAnsi="Arial" w:cs="Arial"/>
      <w:color w:val="000000"/>
      <w:sz w:val="14"/>
      <w:szCs w:val="14"/>
      <w:lang w:val="cs-CZ" w:eastAsia="cs-CZ"/>
    </w:rPr>
  </w:style>
  <w:style w:type="paragraph" w:customStyle="1" w:styleId="xl115">
    <w:name w:val="xl115"/>
    <w:basedOn w:val="Normln"/>
    <w:rsid w:val="00E511F7"/>
    <w:pPr>
      <w:pBdr>
        <w:bottom w:val="single" w:sz="8" w:space="0" w:color="auto"/>
      </w:pBdr>
      <w:shd w:val="clear" w:color="000000" w:fill="FFFFFF"/>
      <w:spacing w:before="100" w:beforeAutospacing="1" w:after="100" w:afterAutospacing="1"/>
      <w:textAlignment w:val="center"/>
    </w:pPr>
    <w:rPr>
      <w:rFonts w:ascii="Arial" w:eastAsia="Times New Roman" w:hAnsi="Arial" w:cs="Arial"/>
      <w:color w:val="000000"/>
      <w:sz w:val="14"/>
      <w:szCs w:val="14"/>
      <w:lang w:val="cs-CZ" w:eastAsia="cs-CZ"/>
    </w:rPr>
  </w:style>
  <w:style w:type="paragraph" w:customStyle="1" w:styleId="xl116">
    <w:name w:val="xl116"/>
    <w:basedOn w:val="Normln"/>
    <w:rsid w:val="00E511F7"/>
    <w:pPr>
      <w:pBdr>
        <w:bottom w:val="single" w:sz="8" w:space="0" w:color="auto"/>
        <w:right w:val="single" w:sz="8" w:space="0" w:color="auto"/>
      </w:pBdr>
      <w:spacing w:before="100" w:beforeAutospacing="1" w:after="100" w:afterAutospacing="1"/>
      <w:jc w:val="right"/>
      <w:textAlignment w:val="center"/>
    </w:pPr>
    <w:rPr>
      <w:rFonts w:ascii="Arial" w:eastAsia="Times New Roman" w:hAnsi="Arial" w:cs="Arial"/>
      <w:sz w:val="12"/>
      <w:szCs w:val="12"/>
      <w:lang w:val="cs-CZ" w:eastAsia="cs-CZ"/>
    </w:rPr>
  </w:style>
  <w:style w:type="paragraph" w:customStyle="1" w:styleId="xl117">
    <w:name w:val="xl117"/>
    <w:basedOn w:val="Normln"/>
    <w:rsid w:val="00E511F7"/>
    <w:pPr>
      <w:pBdr>
        <w:bottom w:val="single" w:sz="8" w:space="0" w:color="auto"/>
        <w:right w:val="single" w:sz="8" w:space="0" w:color="auto"/>
      </w:pBdr>
      <w:shd w:val="clear" w:color="000000" w:fill="E7E6E6"/>
      <w:spacing w:before="100" w:beforeAutospacing="1" w:after="100" w:afterAutospacing="1"/>
      <w:jc w:val="right"/>
      <w:textAlignment w:val="center"/>
    </w:pPr>
    <w:rPr>
      <w:rFonts w:ascii="Arial" w:eastAsia="Times New Roman" w:hAnsi="Arial" w:cs="Arial"/>
      <w:sz w:val="12"/>
      <w:szCs w:val="12"/>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782">
      <w:bodyDiv w:val="1"/>
      <w:marLeft w:val="0"/>
      <w:marRight w:val="0"/>
      <w:marTop w:val="0"/>
      <w:marBottom w:val="0"/>
      <w:divBdr>
        <w:top w:val="none" w:sz="0" w:space="0" w:color="auto"/>
        <w:left w:val="none" w:sz="0" w:space="0" w:color="auto"/>
        <w:bottom w:val="none" w:sz="0" w:space="0" w:color="auto"/>
        <w:right w:val="none" w:sz="0" w:space="0" w:color="auto"/>
      </w:divBdr>
    </w:div>
    <w:div w:id="4405927">
      <w:bodyDiv w:val="1"/>
      <w:marLeft w:val="0"/>
      <w:marRight w:val="0"/>
      <w:marTop w:val="0"/>
      <w:marBottom w:val="0"/>
      <w:divBdr>
        <w:top w:val="none" w:sz="0" w:space="0" w:color="auto"/>
        <w:left w:val="none" w:sz="0" w:space="0" w:color="auto"/>
        <w:bottom w:val="none" w:sz="0" w:space="0" w:color="auto"/>
        <w:right w:val="none" w:sz="0" w:space="0" w:color="auto"/>
      </w:divBdr>
    </w:div>
    <w:div w:id="16011034">
      <w:bodyDiv w:val="1"/>
      <w:marLeft w:val="0"/>
      <w:marRight w:val="0"/>
      <w:marTop w:val="0"/>
      <w:marBottom w:val="0"/>
      <w:divBdr>
        <w:top w:val="none" w:sz="0" w:space="0" w:color="auto"/>
        <w:left w:val="none" w:sz="0" w:space="0" w:color="auto"/>
        <w:bottom w:val="none" w:sz="0" w:space="0" w:color="auto"/>
        <w:right w:val="none" w:sz="0" w:space="0" w:color="auto"/>
      </w:divBdr>
    </w:div>
    <w:div w:id="26375556">
      <w:bodyDiv w:val="1"/>
      <w:marLeft w:val="0"/>
      <w:marRight w:val="0"/>
      <w:marTop w:val="0"/>
      <w:marBottom w:val="0"/>
      <w:divBdr>
        <w:top w:val="none" w:sz="0" w:space="0" w:color="auto"/>
        <w:left w:val="none" w:sz="0" w:space="0" w:color="auto"/>
        <w:bottom w:val="none" w:sz="0" w:space="0" w:color="auto"/>
        <w:right w:val="none" w:sz="0" w:space="0" w:color="auto"/>
      </w:divBdr>
    </w:div>
    <w:div w:id="44834011">
      <w:bodyDiv w:val="1"/>
      <w:marLeft w:val="0"/>
      <w:marRight w:val="0"/>
      <w:marTop w:val="0"/>
      <w:marBottom w:val="0"/>
      <w:divBdr>
        <w:top w:val="none" w:sz="0" w:space="0" w:color="auto"/>
        <w:left w:val="none" w:sz="0" w:space="0" w:color="auto"/>
        <w:bottom w:val="none" w:sz="0" w:space="0" w:color="auto"/>
        <w:right w:val="none" w:sz="0" w:space="0" w:color="auto"/>
      </w:divBdr>
    </w:div>
    <w:div w:id="51198365">
      <w:bodyDiv w:val="1"/>
      <w:marLeft w:val="0"/>
      <w:marRight w:val="0"/>
      <w:marTop w:val="0"/>
      <w:marBottom w:val="0"/>
      <w:divBdr>
        <w:top w:val="none" w:sz="0" w:space="0" w:color="auto"/>
        <w:left w:val="none" w:sz="0" w:space="0" w:color="auto"/>
        <w:bottom w:val="none" w:sz="0" w:space="0" w:color="auto"/>
        <w:right w:val="none" w:sz="0" w:space="0" w:color="auto"/>
      </w:divBdr>
    </w:div>
    <w:div w:id="55783843">
      <w:bodyDiv w:val="1"/>
      <w:marLeft w:val="0"/>
      <w:marRight w:val="0"/>
      <w:marTop w:val="0"/>
      <w:marBottom w:val="0"/>
      <w:divBdr>
        <w:top w:val="none" w:sz="0" w:space="0" w:color="auto"/>
        <w:left w:val="none" w:sz="0" w:space="0" w:color="auto"/>
        <w:bottom w:val="none" w:sz="0" w:space="0" w:color="auto"/>
        <w:right w:val="none" w:sz="0" w:space="0" w:color="auto"/>
      </w:divBdr>
    </w:div>
    <w:div w:id="71129635">
      <w:bodyDiv w:val="1"/>
      <w:marLeft w:val="0"/>
      <w:marRight w:val="0"/>
      <w:marTop w:val="0"/>
      <w:marBottom w:val="0"/>
      <w:divBdr>
        <w:top w:val="none" w:sz="0" w:space="0" w:color="auto"/>
        <w:left w:val="none" w:sz="0" w:space="0" w:color="auto"/>
        <w:bottom w:val="none" w:sz="0" w:space="0" w:color="auto"/>
        <w:right w:val="none" w:sz="0" w:space="0" w:color="auto"/>
      </w:divBdr>
    </w:div>
    <w:div w:id="100222659">
      <w:bodyDiv w:val="1"/>
      <w:marLeft w:val="0"/>
      <w:marRight w:val="0"/>
      <w:marTop w:val="0"/>
      <w:marBottom w:val="0"/>
      <w:divBdr>
        <w:top w:val="none" w:sz="0" w:space="0" w:color="auto"/>
        <w:left w:val="none" w:sz="0" w:space="0" w:color="auto"/>
        <w:bottom w:val="none" w:sz="0" w:space="0" w:color="auto"/>
        <w:right w:val="none" w:sz="0" w:space="0" w:color="auto"/>
      </w:divBdr>
    </w:div>
    <w:div w:id="114372534">
      <w:bodyDiv w:val="1"/>
      <w:marLeft w:val="0"/>
      <w:marRight w:val="0"/>
      <w:marTop w:val="0"/>
      <w:marBottom w:val="0"/>
      <w:divBdr>
        <w:top w:val="none" w:sz="0" w:space="0" w:color="auto"/>
        <w:left w:val="none" w:sz="0" w:space="0" w:color="auto"/>
        <w:bottom w:val="none" w:sz="0" w:space="0" w:color="auto"/>
        <w:right w:val="none" w:sz="0" w:space="0" w:color="auto"/>
      </w:divBdr>
    </w:div>
    <w:div w:id="117838879">
      <w:bodyDiv w:val="1"/>
      <w:marLeft w:val="0"/>
      <w:marRight w:val="0"/>
      <w:marTop w:val="0"/>
      <w:marBottom w:val="0"/>
      <w:divBdr>
        <w:top w:val="none" w:sz="0" w:space="0" w:color="auto"/>
        <w:left w:val="none" w:sz="0" w:space="0" w:color="auto"/>
        <w:bottom w:val="none" w:sz="0" w:space="0" w:color="auto"/>
        <w:right w:val="none" w:sz="0" w:space="0" w:color="auto"/>
      </w:divBdr>
    </w:div>
    <w:div w:id="190994279">
      <w:bodyDiv w:val="1"/>
      <w:marLeft w:val="0"/>
      <w:marRight w:val="0"/>
      <w:marTop w:val="0"/>
      <w:marBottom w:val="0"/>
      <w:divBdr>
        <w:top w:val="none" w:sz="0" w:space="0" w:color="auto"/>
        <w:left w:val="none" w:sz="0" w:space="0" w:color="auto"/>
        <w:bottom w:val="none" w:sz="0" w:space="0" w:color="auto"/>
        <w:right w:val="none" w:sz="0" w:space="0" w:color="auto"/>
      </w:divBdr>
    </w:div>
    <w:div w:id="219706163">
      <w:bodyDiv w:val="1"/>
      <w:marLeft w:val="0"/>
      <w:marRight w:val="0"/>
      <w:marTop w:val="0"/>
      <w:marBottom w:val="0"/>
      <w:divBdr>
        <w:top w:val="none" w:sz="0" w:space="0" w:color="auto"/>
        <w:left w:val="none" w:sz="0" w:space="0" w:color="auto"/>
        <w:bottom w:val="none" w:sz="0" w:space="0" w:color="auto"/>
        <w:right w:val="none" w:sz="0" w:space="0" w:color="auto"/>
      </w:divBdr>
    </w:div>
    <w:div w:id="275253525">
      <w:bodyDiv w:val="1"/>
      <w:marLeft w:val="0"/>
      <w:marRight w:val="0"/>
      <w:marTop w:val="0"/>
      <w:marBottom w:val="0"/>
      <w:divBdr>
        <w:top w:val="none" w:sz="0" w:space="0" w:color="auto"/>
        <w:left w:val="none" w:sz="0" w:space="0" w:color="auto"/>
        <w:bottom w:val="none" w:sz="0" w:space="0" w:color="auto"/>
        <w:right w:val="none" w:sz="0" w:space="0" w:color="auto"/>
      </w:divBdr>
    </w:div>
    <w:div w:id="282812225">
      <w:bodyDiv w:val="1"/>
      <w:marLeft w:val="0"/>
      <w:marRight w:val="0"/>
      <w:marTop w:val="0"/>
      <w:marBottom w:val="0"/>
      <w:divBdr>
        <w:top w:val="none" w:sz="0" w:space="0" w:color="auto"/>
        <w:left w:val="none" w:sz="0" w:space="0" w:color="auto"/>
        <w:bottom w:val="none" w:sz="0" w:space="0" w:color="auto"/>
        <w:right w:val="none" w:sz="0" w:space="0" w:color="auto"/>
      </w:divBdr>
    </w:div>
    <w:div w:id="300575467">
      <w:bodyDiv w:val="1"/>
      <w:marLeft w:val="0"/>
      <w:marRight w:val="0"/>
      <w:marTop w:val="0"/>
      <w:marBottom w:val="0"/>
      <w:divBdr>
        <w:top w:val="none" w:sz="0" w:space="0" w:color="auto"/>
        <w:left w:val="none" w:sz="0" w:space="0" w:color="auto"/>
        <w:bottom w:val="none" w:sz="0" w:space="0" w:color="auto"/>
        <w:right w:val="none" w:sz="0" w:space="0" w:color="auto"/>
      </w:divBdr>
    </w:div>
    <w:div w:id="318777720">
      <w:bodyDiv w:val="1"/>
      <w:marLeft w:val="0"/>
      <w:marRight w:val="0"/>
      <w:marTop w:val="0"/>
      <w:marBottom w:val="0"/>
      <w:divBdr>
        <w:top w:val="none" w:sz="0" w:space="0" w:color="auto"/>
        <w:left w:val="none" w:sz="0" w:space="0" w:color="auto"/>
        <w:bottom w:val="none" w:sz="0" w:space="0" w:color="auto"/>
        <w:right w:val="none" w:sz="0" w:space="0" w:color="auto"/>
      </w:divBdr>
    </w:div>
    <w:div w:id="339704684">
      <w:bodyDiv w:val="1"/>
      <w:marLeft w:val="0"/>
      <w:marRight w:val="0"/>
      <w:marTop w:val="0"/>
      <w:marBottom w:val="0"/>
      <w:divBdr>
        <w:top w:val="none" w:sz="0" w:space="0" w:color="auto"/>
        <w:left w:val="none" w:sz="0" w:space="0" w:color="auto"/>
        <w:bottom w:val="none" w:sz="0" w:space="0" w:color="auto"/>
        <w:right w:val="none" w:sz="0" w:space="0" w:color="auto"/>
      </w:divBdr>
    </w:div>
    <w:div w:id="368536484">
      <w:bodyDiv w:val="1"/>
      <w:marLeft w:val="0"/>
      <w:marRight w:val="0"/>
      <w:marTop w:val="0"/>
      <w:marBottom w:val="0"/>
      <w:divBdr>
        <w:top w:val="none" w:sz="0" w:space="0" w:color="auto"/>
        <w:left w:val="none" w:sz="0" w:space="0" w:color="auto"/>
        <w:bottom w:val="none" w:sz="0" w:space="0" w:color="auto"/>
        <w:right w:val="none" w:sz="0" w:space="0" w:color="auto"/>
      </w:divBdr>
    </w:div>
    <w:div w:id="370427175">
      <w:bodyDiv w:val="1"/>
      <w:marLeft w:val="0"/>
      <w:marRight w:val="0"/>
      <w:marTop w:val="0"/>
      <w:marBottom w:val="0"/>
      <w:divBdr>
        <w:top w:val="none" w:sz="0" w:space="0" w:color="auto"/>
        <w:left w:val="none" w:sz="0" w:space="0" w:color="auto"/>
        <w:bottom w:val="none" w:sz="0" w:space="0" w:color="auto"/>
        <w:right w:val="none" w:sz="0" w:space="0" w:color="auto"/>
      </w:divBdr>
    </w:div>
    <w:div w:id="371733487">
      <w:bodyDiv w:val="1"/>
      <w:marLeft w:val="0"/>
      <w:marRight w:val="0"/>
      <w:marTop w:val="0"/>
      <w:marBottom w:val="0"/>
      <w:divBdr>
        <w:top w:val="none" w:sz="0" w:space="0" w:color="auto"/>
        <w:left w:val="none" w:sz="0" w:space="0" w:color="auto"/>
        <w:bottom w:val="none" w:sz="0" w:space="0" w:color="auto"/>
        <w:right w:val="none" w:sz="0" w:space="0" w:color="auto"/>
      </w:divBdr>
    </w:div>
    <w:div w:id="409237954">
      <w:bodyDiv w:val="1"/>
      <w:marLeft w:val="0"/>
      <w:marRight w:val="0"/>
      <w:marTop w:val="0"/>
      <w:marBottom w:val="0"/>
      <w:divBdr>
        <w:top w:val="none" w:sz="0" w:space="0" w:color="auto"/>
        <w:left w:val="none" w:sz="0" w:space="0" w:color="auto"/>
        <w:bottom w:val="none" w:sz="0" w:space="0" w:color="auto"/>
        <w:right w:val="none" w:sz="0" w:space="0" w:color="auto"/>
      </w:divBdr>
    </w:div>
    <w:div w:id="414908908">
      <w:bodyDiv w:val="1"/>
      <w:marLeft w:val="0"/>
      <w:marRight w:val="0"/>
      <w:marTop w:val="0"/>
      <w:marBottom w:val="0"/>
      <w:divBdr>
        <w:top w:val="none" w:sz="0" w:space="0" w:color="auto"/>
        <w:left w:val="none" w:sz="0" w:space="0" w:color="auto"/>
        <w:bottom w:val="none" w:sz="0" w:space="0" w:color="auto"/>
        <w:right w:val="none" w:sz="0" w:space="0" w:color="auto"/>
      </w:divBdr>
    </w:div>
    <w:div w:id="415636629">
      <w:bodyDiv w:val="1"/>
      <w:marLeft w:val="0"/>
      <w:marRight w:val="0"/>
      <w:marTop w:val="0"/>
      <w:marBottom w:val="0"/>
      <w:divBdr>
        <w:top w:val="none" w:sz="0" w:space="0" w:color="auto"/>
        <w:left w:val="none" w:sz="0" w:space="0" w:color="auto"/>
        <w:bottom w:val="none" w:sz="0" w:space="0" w:color="auto"/>
        <w:right w:val="none" w:sz="0" w:space="0" w:color="auto"/>
      </w:divBdr>
    </w:div>
    <w:div w:id="437795693">
      <w:bodyDiv w:val="1"/>
      <w:marLeft w:val="0"/>
      <w:marRight w:val="0"/>
      <w:marTop w:val="0"/>
      <w:marBottom w:val="0"/>
      <w:divBdr>
        <w:top w:val="none" w:sz="0" w:space="0" w:color="auto"/>
        <w:left w:val="none" w:sz="0" w:space="0" w:color="auto"/>
        <w:bottom w:val="none" w:sz="0" w:space="0" w:color="auto"/>
        <w:right w:val="none" w:sz="0" w:space="0" w:color="auto"/>
      </w:divBdr>
    </w:div>
    <w:div w:id="467284670">
      <w:bodyDiv w:val="1"/>
      <w:marLeft w:val="0"/>
      <w:marRight w:val="0"/>
      <w:marTop w:val="0"/>
      <w:marBottom w:val="0"/>
      <w:divBdr>
        <w:top w:val="none" w:sz="0" w:space="0" w:color="auto"/>
        <w:left w:val="none" w:sz="0" w:space="0" w:color="auto"/>
        <w:bottom w:val="none" w:sz="0" w:space="0" w:color="auto"/>
        <w:right w:val="none" w:sz="0" w:space="0" w:color="auto"/>
      </w:divBdr>
    </w:div>
    <w:div w:id="471869529">
      <w:bodyDiv w:val="1"/>
      <w:marLeft w:val="0"/>
      <w:marRight w:val="0"/>
      <w:marTop w:val="0"/>
      <w:marBottom w:val="0"/>
      <w:divBdr>
        <w:top w:val="none" w:sz="0" w:space="0" w:color="auto"/>
        <w:left w:val="none" w:sz="0" w:space="0" w:color="auto"/>
        <w:bottom w:val="none" w:sz="0" w:space="0" w:color="auto"/>
        <w:right w:val="none" w:sz="0" w:space="0" w:color="auto"/>
      </w:divBdr>
    </w:div>
    <w:div w:id="482501748">
      <w:bodyDiv w:val="1"/>
      <w:marLeft w:val="0"/>
      <w:marRight w:val="0"/>
      <w:marTop w:val="0"/>
      <w:marBottom w:val="0"/>
      <w:divBdr>
        <w:top w:val="none" w:sz="0" w:space="0" w:color="auto"/>
        <w:left w:val="none" w:sz="0" w:space="0" w:color="auto"/>
        <w:bottom w:val="none" w:sz="0" w:space="0" w:color="auto"/>
        <w:right w:val="none" w:sz="0" w:space="0" w:color="auto"/>
      </w:divBdr>
    </w:div>
    <w:div w:id="484711917">
      <w:bodyDiv w:val="1"/>
      <w:marLeft w:val="0"/>
      <w:marRight w:val="0"/>
      <w:marTop w:val="0"/>
      <w:marBottom w:val="0"/>
      <w:divBdr>
        <w:top w:val="none" w:sz="0" w:space="0" w:color="auto"/>
        <w:left w:val="none" w:sz="0" w:space="0" w:color="auto"/>
        <w:bottom w:val="none" w:sz="0" w:space="0" w:color="auto"/>
        <w:right w:val="none" w:sz="0" w:space="0" w:color="auto"/>
      </w:divBdr>
    </w:div>
    <w:div w:id="487601673">
      <w:bodyDiv w:val="1"/>
      <w:marLeft w:val="0"/>
      <w:marRight w:val="0"/>
      <w:marTop w:val="0"/>
      <w:marBottom w:val="0"/>
      <w:divBdr>
        <w:top w:val="none" w:sz="0" w:space="0" w:color="auto"/>
        <w:left w:val="none" w:sz="0" w:space="0" w:color="auto"/>
        <w:bottom w:val="none" w:sz="0" w:space="0" w:color="auto"/>
        <w:right w:val="none" w:sz="0" w:space="0" w:color="auto"/>
      </w:divBdr>
    </w:div>
    <w:div w:id="501509448">
      <w:bodyDiv w:val="1"/>
      <w:marLeft w:val="0"/>
      <w:marRight w:val="0"/>
      <w:marTop w:val="0"/>
      <w:marBottom w:val="0"/>
      <w:divBdr>
        <w:top w:val="none" w:sz="0" w:space="0" w:color="auto"/>
        <w:left w:val="none" w:sz="0" w:space="0" w:color="auto"/>
        <w:bottom w:val="none" w:sz="0" w:space="0" w:color="auto"/>
        <w:right w:val="none" w:sz="0" w:space="0" w:color="auto"/>
      </w:divBdr>
    </w:div>
    <w:div w:id="504058985">
      <w:bodyDiv w:val="1"/>
      <w:marLeft w:val="0"/>
      <w:marRight w:val="0"/>
      <w:marTop w:val="0"/>
      <w:marBottom w:val="0"/>
      <w:divBdr>
        <w:top w:val="none" w:sz="0" w:space="0" w:color="auto"/>
        <w:left w:val="none" w:sz="0" w:space="0" w:color="auto"/>
        <w:bottom w:val="none" w:sz="0" w:space="0" w:color="auto"/>
        <w:right w:val="none" w:sz="0" w:space="0" w:color="auto"/>
      </w:divBdr>
    </w:div>
    <w:div w:id="518668387">
      <w:bodyDiv w:val="1"/>
      <w:marLeft w:val="0"/>
      <w:marRight w:val="0"/>
      <w:marTop w:val="0"/>
      <w:marBottom w:val="0"/>
      <w:divBdr>
        <w:top w:val="none" w:sz="0" w:space="0" w:color="auto"/>
        <w:left w:val="none" w:sz="0" w:space="0" w:color="auto"/>
        <w:bottom w:val="none" w:sz="0" w:space="0" w:color="auto"/>
        <w:right w:val="none" w:sz="0" w:space="0" w:color="auto"/>
      </w:divBdr>
    </w:div>
    <w:div w:id="522547970">
      <w:bodyDiv w:val="1"/>
      <w:marLeft w:val="0"/>
      <w:marRight w:val="0"/>
      <w:marTop w:val="0"/>
      <w:marBottom w:val="0"/>
      <w:divBdr>
        <w:top w:val="none" w:sz="0" w:space="0" w:color="auto"/>
        <w:left w:val="none" w:sz="0" w:space="0" w:color="auto"/>
        <w:bottom w:val="none" w:sz="0" w:space="0" w:color="auto"/>
        <w:right w:val="none" w:sz="0" w:space="0" w:color="auto"/>
      </w:divBdr>
    </w:div>
    <w:div w:id="542904918">
      <w:bodyDiv w:val="1"/>
      <w:marLeft w:val="0"/>
      <w:marRight w:val="0"/>
      <w:marTop w:val="0"/>
      <w:marBottom w:val="0"/>
      <w:divBdr>
        <w:top w:val="none" w:sz="0" w:space="0" w:color="auto"/>
        <w:left w:val="none" w:sz="0" w:space="0" w:color="auto"/>
        <w:bottom w:val="none" w:sz="0" w:space="0" w:color="auto"/>
        <w:right w:val="none" w:sz="0" w:space="0" w:color="auto"/>
      </w:divBdr>
    </w:div>
    <w:div w:id="559555406">
      <w:bodyDiv w:val="1"/>
      <w:marLeft w:val="0"/>
      <w:marRight w:val="0"/>
      <w:marTop w:val="0"/>
      <w:marBottom w:val="0"/>
      <w:divBdr>
        <w:top w:val="none" w:sz="0" w:space="0" w:color="auto"/>
        <w:left w:val="none" w:sz="0" w:space="0" w:color="auto"/>
        <w:bottom w:val="none" w:sz="0" w:space="0" w:color="auto"/>
        <w:right w:val="none" w:sz="0" w:space="0" w:color="auto"/>
      </w:divBdr>
    </w:div>
    <w:div w:id="565650445">
      <w:bodyDiv w:val="1"/>
      <w:marLeft w:val="0"/>
      <w:marRight w:val="0"/>
      <w:marTop w:val="0"/>
      <w:marBottom w:val="0"/>
      <w:divBdr>
        <w:top w:val="none" w:sz="0" w:space="0" w:color="auto"/>
        <w:left w:val="none" w:sz="0" w:space="0" w:color="auto"/>
        <w:bottom w:val="none" w:sz="0" w:space="0" w:color="auto"/>
        <w:right w:val="none" w:sz="0" w:space="0" w:color="auto"/>
      </w:divBdr>
    </w:div>
    <w:div w:id="572661154">
      <w:bodyDiv w:val="1"/>
      <w:marLeft w:val="0"/>
      <w:marRight w:val="0"/>
      <w:marTop w:val="0"/>
      <w:marBottom w:val="0"/>
      <w:divBdr>
        <w:top w:val="none" w:sz="0" w:space="0" w:color="auto"/>
        <w:left w:val="none" w:sz="0" w:space="0" w:color="auto"/>
        <w:bottom w:val="none" w:sz="0" w:space="0" w:color="auto"/>
        <w:right w:val="none" w:sz="0" w:space="0" w:color="auto"/>
      </w:divBdr>
    </w:div>
    <w:div w:id="572931167">
      <w:bodyDiv w:val="1"/>
      <w:marLeft w:val="0"/>
      <w:marRight w:val="0"/>
      <w:marTop w:val="0"/>
      <w:marBottom w:val="0"/>
      <w:divBdr>
        <w:top w:val="none" w:sz="0" w:space="0" w:color="auto"/>
        <w:left w:val="none" w:sz="0" w:space="0" w:color="auto"/>
        <w:bottom w:val="none" w:sz="0" w:space="0" w:color="auto"/>
        <w:right w:val="none" w:sz="0" w:space="0" w:color="auto"/>
      </w:divBdr>
    </w:div>
    <w:div w:id="578945627">
      <w:bodyDiv w:val="1"/>
      <w:marLeft w:val="0"/>
      <w:marRight w:val="0"/>
      <w:marTop w:val="0"/>
      <w:marBottom w:val="0"/>
      <w:divBdr>
        <w:top w:val="none" w:sz="0" w:space="0" w:color="auto"/>
        <w:left w:val="none" w:sz="0" w:space="0" w:color="auto"/>
        <w:bottom w:val="none" w:sz="0" w:space="0" w:color="auto"/>
        <w:right w:val="none" w:sz="0" w:space="0" w:color="auto"/>
      </w:divBdr>
    </w:div>
    <w:div w:id="598872311">
      <w:bodyDiv w:val="1"/>
      <w:marLeft w:val="0"/>
      <w:marRight w:val="0"/>
      <w:marTop w:val="0"/>
      <w:marBottom w:val="0"/>
      <w:divBdr>
        <w:top w:val="none" w:sz="0" w:space="0" w:color="auto"/>
        <w:left w:val="none" w:sz="0" w:space="0" w:color="auto"/>
        <w:bottom w:val="none" w:sz="0" w:space="0" w:color="auto"/>
        <w:right w:val="none" w:sz="0" w:space="0" w:color="auto"/>
      </w:divBdr>
    </w:div>
    <w:div w:id="611864847">
      <w:bodyDiv w:val="1"/>
      <w:marLeft w:val="0"/>
      <w:marRight w:val="0"/>
      <w:marTop w:val="0"/>
      <w:marBottom w:val="0"/>
      <w:divBdr>
        <w:top w:val="none" w:sz="0" w:space="0" w:color="auto"/>
        <w:left w:val="none" w:sz="0" w:space="0" w:color="auto"/>
        <w:bottom w:val="none" w:sz="0" w:space="0" w:color="auto"/>
        <w:right w:val="none" w:sz="0" w:space="0" w:color="auto"/>
      </w:divBdr>
    </w:div>
    <w:div w:id="612371565">
      <w:bodyDiv w:val="1"/>
      <w:marLeft w:val="0"/>
      <w:marRight w:val="0"/>
      <w:marTop w:val="0"/>
      <w:marBottom w:val="0"/>
      <w:divBdr>
        <w:top w:val="none" w:sz="0" w:space="0" w:color="auto"/>
        <w:left w:val="none" w:sz="0" w:space="0" w:color="auto"/>
        <w:bottom w:val="none" w:sz="0" w:space="0" w:color="auto"/>
        <w:right w:val="none" w:sz="0" w:space="0" w:color="auto"/>
      </w:divBdr>
    </w:div>
    <w:div w:id="614560243">
      <w:bodyDiv w:val="1"/>
      <w:marLeft w:val="0"/>
      <w:marRight w:val="0"/>
      <w:marTop w:val="0"/>
      <w:marBottom w:val="0"/>
      <w:divBdr>
        <w:top w:val="none" w:sz="0" w:space="0" w:color="auto"/>
        <w:left w:val="none" w:sz="0" w:space="0" w:color="auto"/>
        <w:bottom w:val="none" w:sz="0" w:space="0" w:color="auto"/>
        <w:right w:val="none" w:sz="0" w:space="0" w:color="auto"/>
      </w:divBdr>
    </w:div>
    <w:div w:id="622807649">
      <w:bodyDiv w:val="1"/>
      <w:marLeft w:val="0"/>
      <w:marRight w:val="0"/>
      <w:marTop w:val="0"/>
      <w:marBottom w:val="0"/>
      <w:divBdr>
        <w:top w:val="none" w:sz="0" w:space="0" w:color="auto"/>
        <w:left w:val="none" w:sz="0" w:space="0" w:color="auto"/>
        <w:bottom w:val="none" w:sz="0" w:space="0" w:color="auto"/>
        <w:right w:val="none" w:sz="0" w:space="0" w:color="auto"/>
      </w:divBdr>
    </w:div>
    <w:div w:id="625701457">
      <w:bodyDiv w:val="1"/>
      <w:marLeft w:val="0"/>
      <w:marRight w:val="0"/>
      <w:marTop w:val="0"/>
      <w:marBottom w:val="0"/>
      <w:divBdr>
        <w:top w:val="none" w:sz="0" w:space="0" w:color="auto"/>
        <w:left w:val="none" w:sz="0" w:space="0" w:color="auto"/>
        <w:bottom w:val="none" w:sz="0" w:space="0" w:color="auto"/>
        <w:right w:val="none" w:sz="0" w:space="0" w:color="auto"/>
      </w:divBdr>
    </w:div>
    <w:div w:id="652418323">
      <w:bodyDiv w:val="1"/>
      <w:marLeft w:val="0"/>
      <w:marRight w:val="0"/>
      <w:marTop w:val="0"/>
      <w:marBottom w:val="0"/>
      <w:divBdr>
        <w:top w:val="none" w:sz="0" w:space="0" w:color="auto"/>
        <w:left w:val="none" w:sz="0" w:space="0" w:color="auto"/>
        <w:bottom w:val="none" w:sz="0" w:space="0" w:color="auto"/>
        <w:right w:val="none" w:sz="0" w:space="0" w:color="auto"/>
      </w:divBdr>
    </w:div>
    <w:div w:id="673915672">
      <w:bodyDiv w:val="1"/>
      <w:marLeft w:val="0"/>
      <w:marRight w:val="0"/>
      <w:marTop w:val="0"/>
      <w:marBottom w:val="0"/>
      <w:divBdr>
        <w:top w:val="none" w:sz="0" w:space="0" w:color="auto"/>
        <w:left w:val="none" w:sz="0" w:space="0" w:color="auto"/>
        <w:bottom w:val="none" w:sz="0" w:space="0" w:color="auto"/>
        <w:right w:val="none" w:sz="0" w:space="0" w:color="auto"/>
      </w:divBdr>
    </w:div>
    <w:div w:id="678846946">
      <w:bodyDiv w:val="1"/>
      <w:marLeft w:val="0"/>
      <w:marRight w:val="0"/>
      <w:marTop w:val="0"/>
      <w:marBottom w:val="0"/>
      <w:divBdr>
        <w:top w:val="none" w:sz="0" w:space="0" w:color="auto"/>
        <w:left w:val="none" w:sz="0" w:space="0" w:color="auto"/>
        <w:bottom w:val="none" w:sz="0" w:space="0" w:color="auto"/>
        <w:right w:val="none" w:sz="0" w:space="0" w:color="auto"/>
      </w:divBdr>
    </w:div>
    <w:div w:id="679161128">
      <w:bodyDiv w:val="1"/>
      <w:marLeft w:val="0"/>
      <w:marRight w:val="0"/>
      <w:marTop w:val="0"/>
      <w:marBottom w:val="0"/>
      <w:divBdr>
        <w:top w:val="none" w:sz="0" w:space="0" w:color="auto"/>
        <w:left w:val="none" w:sz="0" w:space="0" w:color="auto"/>
        <w:bottom w:val="none" w:sz="0" w:space="0" w:color="auto"/>
        <w:right w:val="none" w:sz="0" w:space="0" w:color="auto"/>
      </w:divBdr>
    </w:div>
    <w:div w:id="684330015">
      <w:bodyDiv w:val="1"/>
      <w:marLeft w:val="0"/>
      <w:marRight w:val="0"/>
      <w:marTop w:val="0"/>
      <w:marBottom w:val="0"/>
      <w:divBdr>
        <w:top w:val="none" w:sz="0" w:space="0" w:color="auto"/>
        <w:left w:val="none" w:sz="0" w:space="0" w:color="auto"/>
        <w:bottom w:val="none" w:sz="0" w:space="0" w:color="auto"/>
        <w:right w:val="none" w:sz="0" w:space="0" w:color="auto"/>
      </w:divBdr>
    </w:div>
    <w:div w:id="689453257">
      <w:bodyDiv w:val="1"/>
      <w:marLeft w:val="0"/>
      <w:marRight w:val="0"/>
      <w:marTop w:val="0"/>
      <w:marBottom w:val="0"/>
      <w:divBdr>
        <w:top w:val="none" w:sz="0" w:space="0" w:color="auto"/>
        <w:left w:val="none" w:sz="0" w:space="0" w:color="auto"/>
        <w:bottom w:val="none" w:sz="0" w:space="0" w:color="auto"/>
        <w:right w:val="none" w:sz="0" w:space="0" w:color="auto"/>
      </w:divBdr>
    </w:div>
    <w:div w:id="711348185">
      <w:bodyDiv w:val="1"/>
      <w:marLeft w:val="0"/>
      <w:marRight w:val="0"/>
      <w:marTop w:val="0"/>
      <w:marBottom w:val="0"/>
      <w:divBdr>
        <w:top w:val="none" w:sz="0" w:space="0" w:color="auto"/>
        <w:left w:val="none" w:sz="0" w:space="0" w:color="auto"/>
        <w:bottom w:val="none" w:sz="0" w:space="0" w:color="auto"/>
        <w:right w:val="none" w:sz="0" w:space="0" w:color="auto"/>
      </w:divBdr>
    </w:div>
    <w:div w:id="721253505">
      <w:bodyDiv w:val="1"/>
      <w:marLeft w:val="0"/>
      <w:marRight w:val="0"/>
      <w:marTop w:val="0"/>
      <w:marBottom w:val="0"/>
      <w:divBdr>
        <w:top w:val="none" w:sz="0" w:space="0" w:color="auto"/>
        <w:left w:val="none" w:sz="0" w:space="0" w:color="auto"/>
        <w:bottom w:val="none" w:sz="0" w:space="0" w:color="auto"/>
        <w:right w:val="none" w:sz="0" w:space="0" w:color="auto"/>
      </w:divBdr>
    </w:div>
    <w:div w:id="731346293">
      <w:bodyDiv w:val="1"/>
      <w:marLeft w:val="0"/>
      <w:marRight w:val="0"/>
      <w:marTop w:val="0"/>
      <w:marBottom w:val="0"/>
      <w:divBdr>
        <w:top w:val="none" w:sz="0" w:space="0" w:color="auto"/>
        <w:left w:val="none" w:sz="0" w:space="0" w:color="auto"/>
        <w:bottom w:val="none" w:sz="0" w:space="0" w:color="auto"/>
        <w:right w:val="none" w:sz="0" w:space="0" w:color="auto"/>
      </w:divBdr>
    </w:div>
    <w:div w:id="761335207">
      <w:bodyDiv w:val="1"/>
      <w:marLeft w:val="0"/>
      <w:marRight w:val="0"/>
      <w:marTop w:val="0"/>
      <w:marBottom w:val="0"/>
      <w:divBdr>
        <w:top w:val="none" w:sz="0" w:space="0" w:color="auto"/>
        <w:left w:val="none" w:sz="0" w:space="0" w:color="auto"/>
        <w:bottom w:val="none" w:sz="0" w:space="0" w:color="auto"/>
        <w:right w:val="none" w:sz="0" w:space="0" w:color="auto"/>
      </w:divBdr>
    </w:div>
    <w:div w:id="772555048">
      <w:bodyDiv w:val="1"/>
      <w:marLeft w:val="0"/>
      <w:marRight w:val="0"/>
      <w:marTop w:val="0"/>
      <w:marBottom w:val="0"/>
      <w:divBdr>
        <w:top w:val="none" w:sz="0" w:space="0" w:color="auto"/>
        <w:left w:val="none" w:sz="0" w:space="0" w:color="auto"/>
        <w:bottom w:val="none" w:sz="0" w:space="0" w:color="auto"/>
        <w:right w:val="none" w:sz="0" w:space="0" w:color="auto"/>
      </w:divBdr>
    </w:div>
    <w:div w:id="780606069">
      <w:bodyDiv w:val="1"/>
      <w:marLeft w:val="0"/>
      <w:marRight w:val="0"/>
      <w:marTop w:val="0"/>
      <w:marBottom w:val="0"/>
      <w:divBdr>
        <w:top w:val="none" w:sz="0" w:space="0" w:color="auto"/>
        <w:left w:val="none" w:sz="0" w:space="0" w:color="auto"/>
        <w:bottom w:val="none" w:sz="0" w:space="0" w:color="auto"/>
        <w:right w:val="none" w:sz="0" w:space="0" w:color="auto"/>
      </w:divBdr>
    </w:div>
    <w:div w:id="788664729">
      <w:bodyDiv w:val="1"/>
      <w:marLeft w:val="0"/>
      <w:marRight w:val="0"/>
      <w:marTop w:val="0"/>
      <w:marBottom w:val="0"/>
      <w:divBdr>
        <w:top w:val="none" w:sz="0" w:space="0" w:color="auto"/>
        <w:left w:val="none" w:sz="0" w:space="0" w:color="auto"/>
        <w:bottom w:val="none" w:sz="0" w:space="0" w:color="auto"/>
        <w:right w:val="none" w:sz="0" w:space="0" w:color="auto"/>
      </w:divBdr>
    </w:div>
    <w:div w:id="817651016">
      <w:bodyDiv w:val="1"/>
      <w:marLeft w:val="0"/>
      <w:marRight w:val="0"/>
      <w:marTop w:val="0"/>
      <w:marBottom w:val="0"/>
      <w:divBdr>
        <w:top w:val="none" w:sz="0" w:space="0" w:color="auto"/>
        <w:left w:val="none" w:sz="0" w:space="0" w:color="auto"/>
        <w:bottom w:val="none" w:sz="0" w:space="0" w:color="auto"/>
        <w:right w:val="none" w:sz="0" w:space="0" w:color="auto"/>
      </w:divBdr>
    </w:div>
    <w:div w:id="823815952">
      <w:bodyDiv w:val="1"/>
      <w:marLeft w:val="0"/>
      <w:marRight w:val="0"/>
      <w:marTop w:val="0"/>
      <w:marBottom w:val="0"/>
      <w:divBdr>
        <w:top w:val="none" w:sz="0" w:space="0" w:color="auto"/>
        <w:left w:val="none" w:sz="0" w:space="0" w:color="auto"/>
        <w:bottom w:val="none" w:sz="0" w:space="0" w:color="auto"/>
        <w:right w:val="none" w:sz="0" w:space="0" w:color="auto"/>
      </w:divBdr>
    </w:div>
    <w:div w:id="827131590">
      <w:bodyDiv w:val="1"/>
      <w:marLeft w:val="0"/>
      <w:marRight w:val="0"/>
      <w:marTop w:val="0"/>
      <w:marBottom w:val="0"/>
      <w:divBdr>
        <w:top w:val="none" w:sz="0" w:space="0" w:color="auto"/>
        <w:left w:val="none" w:sz="0" w:space="0" w:color="auto"/>
        <w:bottom w:val="none" w:sz="0" w:space="0" w:color="auto"/>
        <w:right w:val="none" w:sz="0" w:space="0" w:color="auto"/>
      </w:divBdr>
    </w:div>
    <w:div w:id="842088197">
      <w:bodyDiv w:val="1"/>
      <w:marLeft w:val="0"/>
      <w:marRight w:val="0"/>
      <w:marTop w:val="0"/>
      <w:marBottom w:val="0"/>
      <w:divBdr>
        <w:top w:val="none" w:sz="0" w:space="0" w:color="auto"/>
        <w:left w:val="none" w:sz="0" w:space="0" w:color="auto"/>
        <w:bottom w:val="none" w:sz="0" w:space="0" w:color="auto"/>
        <w:right w:val="none" w:sz="0" w:space="0" w:color="auto"/>
      </w:divBdr>
    </w:div>
    <w:div w:id="860705080">
      <w:bodyDiv w:val="1"/>
      <w:marLeft w:val="0"/>
      <w:marRight w:val="0"/>
      <w:marTop w:val="0"/>
      <w:marBottom w:val="0"/>
      <w:divBdr>
        <w:top w:val="none" w:sz="0" w:space="0" w:color="auto"/>
        <w:left w:val="none" w:sz="0" w:space="0" w:color="auto"/>
        <w:bottom w:val="none" w:sz="0" w:space="0" w:color="auto"/>
        <w:right w:val="none" w:sz="0" w:space="0" w:color="auto"/>
      </w:divBdr>
    </w:div>
    <w:div w:id="886914419">
      <w:bodyDiv w:val="1"/>
      <w:marLeft w:val="0"/>
      <w:marRight w:val="0"/>
      <w:marTop w:val="0"/>
      <w:marBottom w:val="0"/>
      <w:divBdr>
        <w:top w:val="none" w:sz="0" w:space="0" w:color="auto"/>
        <w:left w:val="none" w:sz="0" w:space="0" w:color="auto"/>
        <w:bottom w:val="none" w:sz="0" w:space="0" w:color="auto"/>
        <w:right w:val="none" w:sz="0" w:space="0" w:color="auto"/>
      </w:divBdr>
    </w:div>
    <w:div w:id="889149661">
      <w:bodyDiv w:val="1"/>
      <w:marLeft w:val="0"/>
      <w:marRight w:val="0"/>
      <w:marTop w:val="0"/>
      <w:marBottom w:val="0"/>
      <w:divBdr>
        <w:top w:val="none" w:sz="0" w:space="0" w:color="auto"/>
        <w:left w:val="none" w:sz="0" w:space="0" w:color="auto"/>
        <w:bottom w:val="none" w:sz="0" w:space="0" w:color="auto"/>
        <w:right w:val="none" w:sz="0" w:space="0" w:color="auto"/>
      </w:divBdr>
    </w:div>
    <w:div w:id="908079005">
      <w:bodyDiv w:val="1"/>
      <w:marLeft w:val="0"/>
      <w:marRight w:val="0"/>
      <w:marTop w:val="0"/>
      <w:marBottom w:val="0"/>
      <w:divBdr>
        <w:top w:val="none" w:sz="0" w:space="0" w:color="auto"/>
        <w:left w:val="none" w:sz="0" w:space="0" w:color="auto"/>
        <w:bottom w:val="none" w:sz="0" w:space="0" w:color="auto"/>
        <w:right w:val="none" w:sz="0" w:space="0" w:color="auto"/>
      </w:divBdr>
    </w:div>
    <w:div w:id="911424380">
      <w:bodyDiv w:val="1"/>
      <w:marLeft w:val="0"/>
      <w:marRight w:val="0"/>
      <w:marTop w:val="0"/>
      <w:marBottom w:val="0"/>
      <w:divBdr>
        <w:top w:val="none" w:sz="0" w:space="0" w:color="auto"/>
        <w:left w:val="none" w:sz="0" w:space="0" w:color="auto"/>
        <w:bottom w:val="none" w:sz="0" w:space="0" w:color="auto"/>
        <w:right w:val="none" w:sz="0" w:space="0" w:color="auto"/>
      </w:divBdr>
    </w:div>
    <w:div w:id="936211602">
      <w:bodyDiv w:val="1"/>
      <w:marLeft w:val="0"/>
      <w:marRight w:val="0"/>
      <w:marTop w:val="0"/>
      <w:marBottom w:val="0"/>
      <w:divBdr>
        <w:top w:val="none" w:sz="0" w:space="0" w:color="auto"/>
        <w:left w:val="none" w:sz="0" w:space="0" w:color="auto"/>
        <w:bottom w:val="none" w:sz="0" w:space="0" w:color="auto"/>
        <w:right w:val="none" w:sz="0" w:space="0" w:color="auto"/>
      </w:divBdr>
    </w:div>
    <w:div w:id="952445079">
      <w:bodyDiv w:val="1"/>
      <w:marLeft w:val="0"/>
      <w:marRight w:val="0"/>
      <w:marTop w:val="0"/>
      <w:marBottom w:val="0"/>
      <w:divBdr>
        <w:top w:val="none" w:sz="0" w:space="0" w:color="auto"/>
        <w:left w:val="none" w:sz="0" w:space="0" w:color="auto"/>
        <w:bottom w:val="none" w:sz="0" w:space="0" w:color="auto"/>
        <w:right w:val="none" w:sz="0" w:space="0" w:color="auto"/>
      </w:divBdr>
    </w:div>
    <w:div w:id="953749334">
      <w:bodyDiv w:val="1"/>
      <w:marLeft w:val="0"/>
      <w:marRight w:val="0"/>
      <w:marTop w:val="0"/>
      <w:marBottom w:val="0"/>
      <w:divBdr>
        <w:top w:val="none" w:sz="0" w:space="0" w:color="auto"/>
        <w:left w:val="none" w:sz="0" w:space="0" w:color="auto"/>
        <w:bottom w:val="none" w:sz="0" w:space="0" w:color="auto"/>
        <w:right w:val="none" w:sz="0" w:space="0" w:color="auto"/>
      </w:divBdr>
    </w:div>
    <w:div w:id="954680886">
      <w:bodyDiv w:val="1"/>
      <w:marLeft w:val="0"/>
      <w:marRight w:val="0"/>
      <w:marTop w:val="0"/>
      <w:marBottom w:val="0"/>
      <w:divBdr>
        <w:top w:val="none" w:sz="0" w:space="0" w:color="auto"/>
        <w:left w:val="none" w:sz="0" w:space="0" w:color="auto"/>
        <w:bottom w:val="none" w:sz="0" w:space="0" w:color="auto"/>
        <w:right w:val="none" w:sz="0" w:space="0" w:color="auto"/>
      </w:divBdr>
    </w:div>
    <w:div w:id="970018904">
      <w:bodyDiv w:val="1"/>
      <w:marLeft w:val="0"/>
      <w:marRight w:val="0"/>
      <w:marTop w:val="0"/>
      <w:marBottom w:val="0"/>
      <w:divBdr>
        <w:top w:val="none" w:sz="0" w:space="0" w:color="auto"/>
        <w:left w:val="none" w:sz="0" w:space="0" w:color="auto"/>
        <w:bottom w:val="none" w:sz="0" w:space="0" w:color="auto"/>
        <w:right w:val="none" w:sz="0" w:space="0" w:color="auto"/>
      </w:divBdr>
    </w:div>
    <w:div w:id="993335580">
      <w:bodyDiv w:val="1"/>
      <w:marLeft w:val="0"/>
      <w:marRight w:val="0"/>
      <w:marTop w:val="0"/>
      <w:marBottom w:val="0"/>
      <w:divBdr>
        <w:top w:val="none" w:sz="0" w:space="0" w:color="auto"/>
        <w:left w:val="none" w:sz="0" w:space="0" w:color="auto"/>
        <w:bottom w:val="none" w:sz="0" w:space="0" w:color="auto"/>
        <w:right w:val="none" w:sz="0" w:space="0" w:color="auto"/>
      </w:divBdr>
    </w:div>
    <w:div w:id="1000087245">
      <w:bodyDiv w:val="1"/>
      <w:marLeft w:val="0"/>
      <w:marRight w:val="0"/>
      <w:marTop w:val="0"/>
      <w:marBottom w:val="0"/>
      <w:divBdr>
        <w:top w:val="none" w:sz="0" w:space="0" w:color="auto"/>
        <w:left w:val="none" w:sz="0" w:space="0" w:color="auto"/>
        <w:bottom w:val="none" w:sz="0" w:space="0" w:color="auto"/>
        <w:right w:val="none" w:sz="0" w:space="0" w:color="auto"/>
      </w:divBdr>
    </w:div>
    <w:div w:id="1050762827">
      <w:bodyDiv w:val="1"/>
      <w:marLeft w:val="0"/>
      <w:marRight w:val="0"/>
      <w:marTop w:val="0"/>
      <w:marBottom w:val="0"/>
      <w:divBdr>
        <w:top w:val="none" w:sz="0" w:space="0" w:color="auto"/>
        <w:left w:val="none" w:sz="0" w:space="0" w:color="auto"/>
        <w:bottom w:val="none" w:sz="0" w:space="0" w:color="auto"/>
        <w:right w:val="none" w:sz="0" w:space="0" w:color="auto"/>
      </w:divBdr>
    </w:div>
    <w:div w:id="1057558348">
      <w:bodyDiv w:val="1"/>
      <w:marLeft w:val="0"/>
      <w:marRight w:val="0"/>
      <w:marTop w:val="0"/>
      <w:marBottom w:val="0"/>
      <w:divBdr>
        <w:top w:val="none" w:sz="0" w:space="0" w:color="auto"/>
        <w:left w:val="none" w:sz="0" w:space="0" w:color="auto"/>
        <w:bottom w:val="none" w:sz="0" w:space="0" w:color="auto"/>
        <w:right w:val="none" w:sz="0" w:space="0" w:color="auto"/>
      </w:divBdr>
    </w:div>
    <w:div w:id="1093284069">
      <w:bodyDiv w:val="1"/>
      <w:marLeft w:val="0"/>
      <w:marRight w:val="0"/>
      <w:marTop w:val="0"/>
      <w:marBottom w:val="0"/>
      <w:divBdr>
        <w:top w:val="none" w:sz="0" w:space="0" w:color="auto"/>
        <w:left w:val="none" w:sz="0" w:space="0" w:color="auto"/>
        <w:bottom w:val="none" w:sz="0" w:space="0" w:color="auto"/>
        <w:right w:val="none" w:sz="0" w:space="0" w:color="auto"/>
      </w:divBdr>
    </w:div>
    <w:div w:id="1099301524">
      <w:bodyDiv w:val="1"/>
      <w:marLeft w:val="0"/>
      <w:marRight w:val="0"/>
      <w:marTop w:val="0"/>
      <w:marBottom w:val="0"/>
      <w:divBdr>
        <w:top w:val="none" w:sz="0" w:space="0" w:color="auto"/>
        <w:left w:val="none" w:sz="0" w:space="0" w:color="auto"/>
        <w:bottom w:val="none" w:sz="0" w:space="0" w:color="auto"/>
        <w:right w:val="none" w:sz="0" w:space="0" w:color="auto"/>
      </w:divBdr>
    </w:div>
    <w:div w:id="1114711696">
      <w:bodyDiv w:val="1"/>
      <w:marLeft w:val="0"/>
      <w:marRight w:val="0"/>
      <w:marTop w:val="0"/>
      <w:marBottom w:val="0"/>
      <w:divBdr>
        <w:top w:val="none" w:sz="0" w:space="0" w:color="auto"/>
        <w:left w:val="none" w:sz="0" w:space="0" w:color="auto"/>
        <w:bottom w:val="none" w:sz="0" w:space="0" w:color="auto"/>
        <w:right w:val="none" w:sz="0" w:space="0" w:color="auto"/>
      </w:divBdr>
    </w:div>
    <w:div w:id="1132600022">
      <w:bodyDiv w:val="1"/>
      <w:marLeft w:val="0"/>
      <w:marRight w:val="0"/>
      <w:marTop w:val="0"/>
      <w:marBottom w:val="0"/>
      <w:divBdr>
        <w:top w:val="none" w:sz="0" w:space="0" w:color="auto"/>
        <w:left w:val="none" w:sz="0" w:space="0" w:color="auto"/>
        <w:bottom w:val="none" w:sz="0" w:space="0" w:color="auto"/>
        <w:right w:val="none" w:sz="0" w:space="0" w:color="auto"/>
      </w:divBdr>
    </w:div>
    <w:div w:id="1150170247">
      <w:bodyDiv w:val="1"/>
      <w:marLeft w:val="0"/>
      <w:marRight w:val="0"/>
      <w:marTop w:val="0"/>
      <w:marBottom w:val="0"/>
      <w:divBdr>
        <w:top w:val="none" w:sz="0" w:space="0" w:color="auto"/>
        <w:left w:val="none" w:sz="0" w:space="0" w:color="auto"/>
        <w:bottom w:val="none" w:sz="0" w:space="0" w:color="auto"/>
        <w:right w:val="none" w:sz="0" w:space="0" w:color="auto"/>
      </w:divBdr>
    </w:div>
    <w:div w:id="1169447440">
      <w:bodyDiv w:val="1"/>
      <w:marLeft w:val="0"/>
      <w:marRight w:val="0"/>
      <w:marTop w:val="0"/>
      <w:marBottom w:val="0"/>
      <w:divBdr>
        <w:top w:val="none" w:sz="0" w:space="0" w:color="auto"/>
        <w:left w:val="none" w:sz="0" w:space="0" w:color="auto"/>
        <w:bottom w:val="none" w:sz="0" w:space="0" w:color="auto"/>
        <w:right w:val="none" w:sz="0" w:space="0" w:color="auto"/>
      </w:divBdr>
    </w:div>
    <w:div w:id="1208302779">
      <w:bodyDiv w:val="1"/>
      <w:marLeft w:val="0"/>
      <w:marRight w:val="0"/>
      <w:marTop w:val="0"/>
      <w:marBottom w:val="0"/>
      <w:divBdr>
        <w:top w:val="none" w:sz="0" w:space="0" w:color="auto"/>
        <w:left w:val="none" w:sz="0" w:space="0" w:color="auto"/>
        <w:bottom w:val="none" w:sz="0" w:space="0" w:color="auto"/>
        <w:right w:val="none" w:sz="0" w:space="0" w:color="auto"/>
      </w:divBdr>
    </w:div>
    <w:div w:id="1214075587">
      <w:bodyDiv w:val="1"/>
      <w:marLeft w:val="0"/>
      <w:marRight w:val="0"/>
      <w:marTop w:val="0"/>
      <w:marBottom w:val="0"/>
      <w:divBdr>
        <w:top w:val="none" w:sz="0" w:space="0" w:color="auto"/>
        <w:left w:val="none" w:sz="0" w:space="0" w:color="auto"/>
        <w:bottom w:val="none" w:sz="0" w:space="0" w:color="auto"/>
        <w:right w:val="none" w:sz="0" w:space="0" w:color="auto"/>
      </w:divBdr>
    </w:div>
    <w:div w:id="1228883878">
      <w:bodyDiv w:val="1"/>
      <w:marLeft w:val="0"/>
      <w:marRight w:val="0"/>
      <w:marTop w:val="0"/>
      <w:marBottom w:val="0"/>
      <w:divBdr>
        <w:top w:val="none" w:sz="0" w:space="0" w:color="auto"/>
        <w:left w:val="none" w:sz="0" w:space="0" w:color="auto"/>
        <w:bottom w:val="none" w:sz="0" w:space="0" w:color="auto"/>
        <w:right w:val="none" w:sz="0" w:space="0" w:color="auto"/>
      </w:divBdr>
    </w:div>
    <w:div w:id="1233388952">
      <w:bodyDiv w:val="1"/>
      <w:marLeft w:val="0"/>
      <w:marRight w:val="0"/>
      <w:marTop w:val="0"/>
      <w:marBottom w:val="0"/>
      <w:divBdr>
        <w:top w:val="none" w:sz="0" w:space="0" w:color="auto"/>
        <w:left w:val="none" w:sz="0" w:space="0" w:color="auto"/>
        <w:bottom w:val="none" w:sz="0" w:space="0" w:color="auto"/>
        <w:right w:val="none" w:sz="0" w:space="0" w:color="auto"/>
      </w:divBdr>
    </w:div>
    <w:div w:id="1244100006">
      <w:bodyDiv w:val="1"/>
      <w:marLeft w:val="0"/>
      <w:marRight w:val="0"/>
      <w:marTop w:val="0"/>
      <w:marBottom w:val="0"/>
      <w:divBdr>
        <w:top w:val="none" w:sz="0" w:space="0" w:color="auto"/>
        <w:left w:val="none" w:sz="0" w:space="0" w:color="auto"/>
        <w:bottom w:val="none" w:sz="0" w:space="0" w:color="auto"/>
        <w:right w:val="none" w:sz="0" w:space="0" w:color="auto"/>
      </w:divBdr>
    </w:div>
    <w:div w:id="1247305830">
      <w:bodyDiv w:val="1"/>
      <w:marLeft w:val="0"/>
      <w:marRight w:val="0"/>
      <w:marTop w:val="0"/>
      <w:marBottom w:val="0"/>
      <w:divBdr>
        <w:top w:val="none" w:sz="0" w:space="0" w:color="auto"/>
        <w:left w:val="none" w:sz="0" w:space="0" w:color="auto"/>
        <w:bottom w:val="none" w:sz="0" w:space="0" w:color="auto"/>
        <w:right w:val="none" w:sz="0" w:space="0" w:color="auto"/>
      </w:divBdr>
    </w:div>
    <w:div w:id="1268349833">
      <w:bodyDiv w:val="1"/>
      <w:marLeft w:val="0"/>
      <w:marRight w:val="0"/>
      <w:marTop w:val="0"/>
      <w:marBottom w:val="0"/>
      <w:divBdr>
        <w:top w:val="none" w:sz="0" w:space="0" w:color="auto"/>
        <w:left w:val="none" w:sz="0" w:space="0" w:color="auto"/>
        <w:bottom w:val="none" w:sz="0" w:space="0" w:color="auto"/>
        <w:right w:val="none" w:sz="0" w:space="0" w:color="auto"/>
      </w:divBdr>
    </w:div>
    <w:div w:id="1281499446">
      <w:bodyDiv w:val="1"/>
      <w:marLeft w:val="0"/>
      <w:marRight w:val="0"/>
      <w:marTop w:val="0"/>
      <w:marBottom w:val="0"/>
      <w:divBdr>
        <w:top w:val="none" w:sz="0" w:space="0" w:color="auto"/>
        <w:left w:val="none" w:sz="0" w:space="0" w:color="auto"/>
        <w:bottom w:val="none" w:sz="0" w:space="0" w:color="auto"/>
        <w:right w:val="none" w:sz="0" w:space="0" w:color="auto"/>
      </w:divBdr>
    </w:div>
    <w:div w:id="1303078466">
      <w:bodyDiv w:val="1"/>
      <w:marLeft w:val="0"/>
      <w:marRight w:val="0"/>
      <w:marTop w:val="0"/>
      <w:marBottom w:val="0"/>
      <w:divBdr>
        <w:top w:val="none" w:sz="0" w:space="0" w:color="auto"/>
        <w:left w:val="none" w:sz="0" w:space="0" w:color="auto"/>
        <w:bottom w:val="none" w:sz="0" w:space="0" w:color="auto"/>
        <w:right w:val="none" w:sz="0" w:space="0" w:color="auto"/>
      </w:divBdr>
    </w:div>
    <w:div w:id="1309286490">
      <w:bodyDiv w:val="1"/>
      <w:marLeft w:val="0"/>
      <w:marRight w:val="0"/>
      <w:marTop w:val="0"/>
      <w:marBottom w:val="0"/>
      <w:divBdr>
        <w:top w:val="none" w:sz="0" w:space="0" w:color="auto"/>
        <w:left w:val="none" w:sz="0" w:space="0" w:color="auto"/>
        <w:bottom w:val="none" w:sz="0" w:space="0" w:color="auto"/>
        <w:right w:val="none" w:sz="0" w:space="0" w:color="auto"/>
      </w:divBdr>
    </w:div>
    <w:div w:id="1314214345">
      <w:bodyDiv w:val="1"/>
      <w:marLeft w:val="0"/>
      <w:marRight w:val="0"/>
      <w:marTop w:val="0"/>
      <w:marBottom w:val="0"/>
      <w:divBdr>
        <w:top w:val="none" w:sz="0" w:space="0" w:color="auto"/>
        <w:left w:val="none" w:sz="0" w:space="0" w:color="auto"/>
        <w:bottom w:val="none" w:sz="0" w:space="0" w:color="auto"/>
        <w:right w:val="none" w:sz="0" w:space="0" w:color="auto"/>
      </w:divBdr>
    </w:div>
    <w:div w:id="1335382578">
      <w:bodyDiv w:val="1"/>
      <w:marLeft w:val="0"/>
      <w:marRight w:val="0"/>
      <w:marTop w:val="0"/>
      <w:marBottom w:val="0"/>
      <w:divBdr>
        <w:top w:val="none" w:sz="0" w:space="0" w:color="auto"/>
        <w:left w:val="none" w:sz="0" w:space="0" w:color="auto"/>
        <w:bottom w:val="none" w:sz="0" w:space="0" w:color="auto"/>
        <w:right w:val="none" w:sz="0" w:space="0" w:color="auto"/>
      </w:divBdr>
    </w:div>
    <w:div w:id="1344358485">
      <w:bodyDiv w:val="1"/>
      <w:marLeft w:val="0"/>
      <w:marRight w:val="0"/>
      <w:marTop w:val="0"/>
      <w:marBottom w:val="0"/>
      <w:divBdr>
        <w:top w:val="none" w:sz="0" w:space="0" w:color="auto"/>
        <w:left w:val="none" w:sz="0" w:space="0" w:color="auto"/>
        <w:bottom w:val="none" w:sz="0" w:space="0" w:color="auto"/>
        <w:right w:val="none" w:sz="0" w:space="0" w:color="auto"/>
      </w:divBdr>
    </w:div>
    <w:div w:id="1347050772">
      <w:bodyDiv w:val="1"/>
      <w:marLeft w:val="0"/>
      <w:marRight w:val="0"/>
      <w:marTop w:val="0"/>
      <w:marBottom w:val="0"/>
      <w:divBdr>
        <w:top w:val="none" w:sz="0" w:space="0" w:color="auto"/>
        <w:left w:val="none" w:sz="0" w:space="0" w:color="auto"/>
        <w:bottom w:val="none" w:sz="0" w:space="0" w:color="auto"/>
        <w:right w:val="none" w:sz="0" w:space="0" w:color="auto"/>
      </w:divBdr>
    </w:div>
    <w:div w:id="1350906788">
      <w:bodyDiv w:val="1"/>
      <w:marLeft w:val="0"/>
      <w:marRight w:val="0"/>
      <w:marTop w:val="0"/>
      <w:marBottom w:val="0"/>
      <w:divBdr>
        <w:top w:val="none" w:sz="0" w:space="0" w:color="auto"/>
        <w:left w:val="none" w:sz="0" w:space="0" w:color="auto"/>
        <w:bottom w:val="none" w:sz="0" w:space="0" w:color="auto"/>
        <w:right w:val="none" w:sz="0" w:space="0" w:color="auto"/>
      </w:divBdr>
    </w:div>
    <w:div w:id="1376657271">
      <w:bodyDiv w:val="1"/>
      <w:marLeft w:val="0"/>
      <w:marRight w:val="0"/>
      <w:marTop w:val="0"/>
      <w:marBottom w:val="0"/>
      <w:divBdr>
        <w:top w:val="none" w:sz="0" w:space="0" w:color="auto"/>
        <w:left w:val="none" w:sz="0" w:space="0" w:color="auto"/>
        <w:bottom w:val="none" w:sz="0" w:space="0" w:color="auto"/>
        <w:right w:val="none" w:sz="0" w:space="0" w:color="auto"/>
      </w:divBdr>
    </w:div>
    <w:div w:id="1393887771">
      <w:bodyDiv w:val="1"/>
      <w:marLeft w:val="0"/>
      <w:marRight w:val="0"/>
      <w:marTop w:val="0"/>
      <w:marBottom w:val="0"/>
      <w:divBdr>
        <w:top w:val="none" w:sz="0" w:space="0" w:color="auto"/>
        <w:left w:val="none" w:sz="0" w:space="0" w:color="auto"/>
        <w:bottom w:val="none" w:sz="0" w:space="0" w:color="auto"/>
        <w:right w:val="none" w:sz="0" w:space="0" w:color="auto"/>
      </w:divBdr>
    </w:div>
    <w:div w:id="1408528660">
      <w:bodyDiv w:val="1"/>
      <w:marLeft w:val="0"/>
      <w:marRight w:val="0"/>
      <w:marTop w:val="0"/>
      <w:marBottom w:val="0"/>
      <w:divBdr>
        <w:top w:val="none" w:sz="0" w:space="0" w:color="auto"/>
        <w:left w:val="none" w:sz="0" w:space="0" w:color="auto"/>
        <w:bottom w:val="none" w:sz="0" w:space="0" w:color="auto"/>
        <w:right w:val="none" w:sz="0" w:space="0" w:color="auto"/>
      </w:divBdr>
    </w:div>
    <w:div w:id="1410616385">
      <w:bodyDiv w:val="1"/>
      <w:marLeft w:val="0"/>
      <w:marRight w:val="0"/>
      <w:marTop w:val="0"/>
      <w:marBottom w:val="0"/>
      <w:divBdr>
        <w:top w:val="none" w:sz="0" w:space="0" w:color="auto"/>
        <w:left w:val="none" w:sz="0" w:space="0" w:color="auto"/>
        <w:bottom w:val="none" w:sz="0" w:space="0" w:color="auto"/>
        <w:right w:val="none" w:sz="0" w:space="0" w:color="auto"/>
      </w:divBdr>
    </w:div>
    <w:div w:id="1413702872">
      <w:bodyDiv w:val="1"/>
      <w:marLeft w:val="0"/>
      <w:marRight w:val="0"/>
      <w:marTop w:val="0"/>
      <w:marBottom w:val="0"/>
      <w:divBdr>
        <w:top w:val="none" w:sz="0" w:space="0" w:color="auto"/>
        <w:left w:val="none" w:sz="0" w:space="0" w:color="auto"/>
        <w:bottom w:val="none" w:sz="0" w:space="0" w:color="auto"/>
        <w:right w:val="none" w:sz="0" w:space="0" w:color="auto"/>
      </w:divBdr>
    </w:div>
    <w:div w:id="1429038961">
      <w:bodyDiv w:val="1"/>
      <w:marLeft w:val="0"/>
      <w:marRight w:val="0"/>
      <w:marTop w:val="0"/>
      <w:marBottom w:val="0"/>
      <w:divBdr>
        <w:top w:val="none" w:sz="0" w:space="0" w:color="auto"/>
        <w:left w:val="none" w:sz="0" w:space="0" w:color="auto"/>
        <w:bottom w:val="none" w:sz="0" w:space="0" w:color="auto"/>
        <w:right w:val="none" w:sz="0" w:space="0" w:color="auto"/>
      </w:divBdr>
    </w:div>
    <w:div w:id="1457289835">
      <w:bodyDiv w:val="1"/>
      <w:marLeft w:val="0"/>
      <w:marRight w:val="0"/>
      <w:marTop w:val="0"/>
      <w:marBottom w:val="0"/>
      <w:divBdr>
        <w:top w:val="none" w:sz="0" w:space="0" w:color="auto"/>
        <w:left w:val="none" w:sz="0" w:space="0" w:color="auto"/>
        <w:bottom w:val="none" w:sz="0" w:space="0" w:color="auto"/>
        <w:right w:val="none" w:sz="0" w:space="0" w:color="auto"/>
      </w:divBdr>
    </w:div>
    <w:div w:id="1463890453">
      <w:bodyDiv w:val="1"/>
      <w:marLeft w:val="0"/>
      <w:marRight w:val="0"/>
      <w:marTop w:val="0"/>
      <w:marBottom w:val="0"/>
      <w:divBdr>
        <w:top w:val="none" w:sz="0" w:space="0" w:color="auto"/>
        <w:left w:val="none" w:sz="0" w:space="0" w:color="auto"/>
        <w:bottom w:val="none" w:sz="0" w:space="0" w:color="auto"/>
        <w:right w:val="none" w:sz="0" w:space="0" w:color="auto"/>
      </w:divBdr>
    </w:div>
    <w:div w:id="1470247285">
      <w:bodyDiv w:val="1"/>
      <w:marLeft w:val="0"/>
      <w:marRight w:val="0"/>
      <w:marTop w:val="0"/>
      <w:marBottom w:val="0"/>
      <w:divBdr>
        <w:top w:val="none" w:sz="0" w:space="0" w:color="auto"/>
        <w:left w:val="none" w:sz="0" w:space="0" w:color="auto"/>
        <w:bottom w:val="none" w:sz="0" w:space="0" w:color="auto"/>
        <w:right w:val="none" w:sz="0" w:space="0" w:color="auto"/>
      </w:divBdr>
    </w:div>
    <w:div w:id="1484155247">
      <w:bodyDiv w:val="1"/>
      <w:marLeft w:val="0"/>
      <w:marRight w:val="0"/>
      <w:marTop w:val="0"/>
      <w:marBottom w:val="0"/>
      <w:divBdr>
        <w:top w:val="none" w:sz="0" w:space="0" w:color="auto"/>
        <w:left w:val="none" w:sz="0" w:space="0" w:color="auto"/>
        <w:bottom w:val="none" w:sz="0" w:space="0" w:color="auto"/>
        <w:right w:val="none" w:sz="0" w:space="0" w:color="auto"/>
      </w:divBdr>
    </w:div>
    <w:div w:id="1486775187">
      <w:bodyDiv w:val="1"/>
      <w:marLeft w:val="0"/>
      <w:marRight w:val="0"/>
      <w:marTop w:val="0"/>
      <w:marBottom w:val="0"/>
      <w:divBdr>
        <w:top w:val="none" w:sz="0" w:space="0" w:color="auto"/>
        <w:left w:val="none" w:sz="0" w:space="0" w:color="auto"/>
        <w:bottom w:val="none" w:sz="0" w:space="0" w:color="auto"/>
        <w:right w:val="none" w:sz="0" w:space="0" w:color="auto"/>
      </w:divBdr>
    </w:div>
    <w:div w:id="1493908168">
      <w:bodyDiv w:val="1"/>
      <w:marLeft w:val="0"/>
      <w:marRight w:val="0"/>
      <w:marTop w:val="0"/>
      <w:marBottom w:val="0"/>
      <w:divBdr>
        <w:top w:val="none" w:sz="0" w:space="0" w:color="auto"/>
        <w:left w:val="none" w:sz="0" w:space="0" w:color="auto"/>
        <w:bottom w:val="none" w:sz="0" w:space="0" w:color="auto"/>
        <w:right w:val="none" w:sz="0" w:space="0" w:color="auto"/>
      </w:divBdr>
    </w:div>
    <w:div w:id="1504710818">
      <w:bodyDiv w:val="1"/>
      <w:marLeft w:val="0"/>
      <w:marRight w:val="0"/>
      <w:marTop w:val="0"/>
      <w:marBottom w:val="0"/>
      <w:divBdr>
        <w:top w:val="none" w:sz="0" w:space="0" w:color="auto"/>
        <w:left w:val="none" w:sz="0" w:space="0" w:color="auto"/>
        <w:bottom w:val="none" w:sz="0" w:space="0" w:color="auto"/>
        <w:right w:val="none" w:sz="0" w:space="0" w:color="auto"/>
      </w:divBdr>
    </w:div>
    <w:div w:id="1517311598">
      <w:bodyDiv w:val="1"/>
      <w:marLeft w:val="0"/>
      <w:marRight w:val="0"/>
      <w:marTop w:val="0"/>
      <w:marBottom w:val="0"/>
      <w:divBdr>
        <w:top w:val="none" w:sz="0" w:space="0" w:color="auto"/>
        <w:left w:val="none" w:sz="0" w:space="0" w:color="auto"/>
        <w:bottom w:val="none" w:sz="0" w:space="0" w:color="auto"/>
        <w:right w:val="none" w:sz="0" w:space="0" w:color="auto"/>
      </w:divBdr>
    </w:div>
    <w:div w:id="1521777544">
      <w:bodyDiv w:val="1"/>
      <w:marLeft w:val="0"/>
      <w:marRight w:val="0"/>
      <w:marTop w:val="0"/>
      <w:marBottom w:val="0"/>
      <w:divBdr>
        <w:top w:val="none" w:sz="0" w:space="0" w:color="auto"/>
        <w:left w:val="none" w:sz="0" w:space="0" w:color="auto"/>
        <w:bottom w:val="none" w:sz="0" w:space="0" w:color="auto"/>
        <w:right w:val="none" w:sz="0" w:space="0" w:color="auto"/>
      </w:divBdr>
    </w:div>
    <w:div w:id="1523739678">
      <w:bodyDiv w:val="1"/>
      <w:marLeft w:val="0"/>
      <w:marRight w:val="0"/>
      <w:marTop w:val="0"/>
      <w:marBottom w:val="0"/>
      <w:divBdr>
        <w:top w:val="none" w:sz="0" w:space="0" w:color="auto"/>
        <w:left w:val="none" w:sz="0" w:space="0" w:color="auto"/>
        <w:bottom w:val="none" w:sz="0" w:space="0" w:color="auto"/>
        <w:right w:val="none" w:sz="0" w:space="0" w:color="auto"/>
      </w:divBdr>
    </w:div>
    <w:div w:id="1540893548">
      <w:bodyDiv w:val="1"/>
      <w:marLeft w:val="0"/>
      <w:marRight w:val="0"/>
      <w:marTop w:val="0"/>
      <w:marBottom w:val="0"/>
      <w:divBdr>
        <w:top w:val="none" w:sz="0" w:space="0" w:color="auto"/>
        <w:left w:val="none" w:sz="0" w:space="0" w:color="auto"/>
        <w:bottom w:val="none" w:sz="0" w:space="0" w:color="auto"/>
        <w:right w:val="none" w:sz="0" w:space="0" w:color="auto"/>
      </w:divBdr>
    </w:div>
    <w:div w:id="1542400760">
      <w:bodyDiv w:val="1"/>
      <w:marLeft w:val="0"/>
      <w:marRight w:val="0"/>
      <w:marTop w:val="0"/>
      <w:marBottom w:val="0"/>
      <w:divBdr>
        <w:top w:val="none" w:sz="0" w:space="0" w:color="auto"/>
        <w:left w:val="none" w:sz="0" w:space="0" w:color="auto"/>
        <w:bottom w:val="none" w:sz="0" w:space="0" w:color="auto"/>
        <w:right w:val="none" w:sz="0" w:space="0" w:color="auto"/>
      </w:divBdr>
    </w:div>
    <w:div w:id="1546717687">
      <w:bodyDiv w:val="1"/>
      <w:marLeft w:val="0"/>
      <w:marRight w:val="0"/>
      <w:marTop w:val="0"/>
      <w:marBottom w:val="0"/>
      <w:divBdr>
        <w:top w:val="none" w:sz="0" w:space="0" w:color="auto"/>
        <w:left w:val="none" w:sz="0" w:space="0" w:color="auto"/>
        <w:bottom w:val="none" w:sz="0" w:space="0" w:color="auto"/>
        <w:right w:val="none" w:sz="0" w:space="0" w:color="auto"/>
      </w:divBdr>
    </w:div>
    <w:div w:id="1554078004">
      <w:bodyDiv w:val="1"/>
      <w:marLeft w:val="0"/>
      <w:marRight w:val="0"/>
      <w:marTop w:val="0"/>
      <w:marBottom w:val="0"/>
      <w:divBdr>
        <w:top w:val="none" w:sz="0" w:space="0" w:color="auto"/>
        <w:left w:val="none" w:sz="0" w:space="0" w:color="auto"/>
        <w:bottom w:val="none" w:sz="0" w:space="0" w:color="auto"/>
        <w:right w:val="none" w:sz="0" w:space="0" w:color="auto"/>
      </w:divBdr>
    </w:div>
    <w:div w:id="1562793128">
      <w:bodyDiv w:val="1"/>
      <w:marLeft w:val="0"/>
      <w:marRight w:val="0"/>
      <w:marTop w:val="0"/>
      <w:marBottom w:val="0"/>
      <w:divBdr>
        <w:top w:val="none" w:sz="0" w:space="0" w:color="auto"/>
        <w:left w:val="none" w:sz="0" w:space="0" w:color="auto"/>
        <w:bottom w:val="none" w:sz="0" w:space="0" w:color="auto"/>
        <w:right w:val="none" w:sz="0" w:space="0" w:color="auto"/>
      </w:divBdr>
    </w:div>
    <w:div w:id="1599217150">
      <w:bodyDiv w:val="1"/>
      <w:marLeft w:val="0"/>
      <w:marRight w:val="0"/>
      <w:marTop w:val="0"/>
      <w:marBottom w:val="0"/>
      <w:divBdr>
        <w:top w:val="none" w:sz="0" w:space="0" w:color="auto"/>
        <w:left w:val="none" w:sz="0" w:space="0" w:color="auto"/>
        <w:bottom w:val="none" w:sz="0" w:space="0" w:color="auto"/>
        <w:right w:val="none" w:sz="0" w:space="0" w:color="auto"/>
      </w:divBdr>
    </w:div>
    <w:div w:id="1601646045">
      <w:bodyDiv w:val="1"/>
      <w:marLeft w:val="0"/>
      <w:marRight w:val="0"/>
      <w:marTop w:val="0"/>
      <w:marBottom w:val="0"/>
      <w:divBdr>
        <w:top w:val="none" w:sz="0" w:space="0" w:color="auto"/>
        <w:left w:val="none" w:sz="0" w:space="0" w:color="auto"/>
        <w:bottom w:val="none" w:sz="0" w:space="0" w:color="auto"/>
        <w:right w:val="none" w:sz="0" w:space="0" w:color="auto"/>
      </w:divBdr>
    </w:div>
    <w:div w:id="1607618393">
      <w:bodyDiv w:val="1"/>
      <w:marLeft w:val="0"/>
      <w:marRight w:val="0"/>
      <w:marTop w:val="0"/>
      <w:marBottom w:val="0"/>
      <w:divBdr>
        <w:top w:val="none" w:sz="0" w:space="0" w:color="auto"/>
        <w:left w:val="none" w:sz="0" w:space="0" w:color="auto"/>
        <w:bottom w:val="none" w:sz="0" w:space="0" w:color="auto"/>
        <w:right w:val="none" w:sz="0" w:space="0" w:color="auto"/>
      </w:divBdr>
    </w:div>
    <w:div w:id="1630696947">
      <w:bodyDiv w:val="1"/>
      <w:marLeft w:val="0"/>
      <w:marRight w:val="0"/>
      <w:marTop w:val="0"/>
      <w:marBottom w:val="0"/>
      <w:divBdr>
        <w:top w:val="none" w:sz="0" w:space="0" w:color="auto"/>
        <w:left w:val="none" w:sz="0" w:space="0" w:color="auto"/>
        <w:bottom w:val="none" w:sz="0" w:space="0" w:color="auto"/>
        <w:right w:val="none" w:sz="0" w:space="0" w:color="auto"/>
      </w:divBdr>
    </w:div>
    <w:div w:id="1635133485">
      <w:bodyDiv w:val="1"/>
      <w:marLeft w:val="0"/>
      <w:marRight w:val="0"/>
      <w:marTop w:val="0"/>
      <w:marBottom w:val="0"/>
      <w:divBdr>
        <w:top w:val="none" w:sz="0" w:space="0" w:color="auto"/>
        <w:left w:val="none" w:sz="0" w:space="0" w:color="auto"/>
        <w:bottom w:val="none" w:sz="0" w:space="0" w:color="auto"/>
        <w:right w:val="none" w:sz="0" w:space="0" w:color="auto"/>
      </w:divBdr>
    </w:div>
    <w:div w:id="1635527688">
      <w:bodyDiv w:val="1"/>
      <w:marLeft w:val="0"/>
      <w:marRight w:val="0"/>
      <w:marTop w:val="0"/>
      <w:marBottom w:val="0"/>
      <w:divBdr>
        <w:top w:val="none" w:sz="0" w:space="0" w:color="auto"/>
        <w:left w:val="none" w:sz="0" w:space="0" w:color="auto"/>
        <w:bottom w:val="none" w:sz="0" w:space="0" w:color="auto"/>
        <w:right w:val="none" w:sz="0" w:space="0" w:color="auto"/>
      </w:divBdr>
    </w:div>
    <w:div w:id="1650862441">
      <w:bodyDiv w:val="1"/>
      <w:marLeft w:val="0"/>
      <w:marRight w:val="0"/>
      <w:marTop w:val="0"/>
      <w:marBottom w:val="0"/>
      <w:divBdr>
        <w:top w:val="none" w:sz="0" w:space="0" w:color="auto"/>
        <w:left w:val="none" w:sz="0" w:space="0" w:color="auto"/>
        <w:bottom w:val="none" w:sz="0" w:space="0" w:color="auto"/>
        <w:right w:val="none" w:sz="0" w:space="0" w:color="auto"/>
      </w:divBdr>
    </w:div>
    <w:div w:id="1688826763">
      <w:bodyDiv w:val="1"/>
      <w:marLeft w:val="0"/>
      <w:marRight w:val="0"/>
      <w:marTop w:val="0"/>
      <w:marBottom w:val="0"/>
      <w:divBdr>
        <w:top w:val="none" w:sz="0" w:space="0" w:color="auto"/>
        <w:left w:val="none" w:sz="0" w:space="0" w:color="auto"/>
        <w:bottom w:val="none" w:sz="0" w:space="0" w:color="auto"/>
        <w:right w:val="none" w:sz="0" w:space="0" w:color="auto"/>
      </w:divBdr>
    </w:div>
    <w:div w:id="1692992845">
      <w:bodyDiv w:val="1"/>
      <w:marLeft w:val="0"/>
      <w:marRight w:val="0"/>
      <w:marTop w:val="0"/>
      <w:marBottom w:val="0"/>
      <w:divBdr>
        <w:top w:val="none" w:sz="0" w:space="0" w:color="auto"/>
        <w:left w:val="none" w:sz="0" w:space="0" w:color="auto"/>
        <w:bottom w:val="none" w:sz="0" w:space="0" w:color="auto"/>
        <w:right w:val="none" w:sz="0" w:space="0" w:color="auto"/>
      </w:divBdr>
    </w:div>
    <w:div w:id="1695810900">
      <w:bodyDiv w:val="1"/>
      <w:marLeft w:val="0"/>
      <w:marRight w:val="0"/>
      <w:marTop w:val="0"/>
      <w:marBottom w:val="0"/>
      <w:divBdr>
        <w:top w:val="none" w:sz="0" w:space="0" w:color="auto"/>
        <w:left w:val="none" w:sz="0" w:space="0" w:color="auto"/>
        <w:bottom w:val="none" w:sz="0" w:space="0" w:color="auto"/>
        <w:right w:val="none" w:sz="0" w:space="0" w:color="auto"/>
      </w:divBdr>
    </w:div>
    <w:div w:id="1698694333">
      <w:bodyDiv w:val="1"/>
      <w:marLeft w:val="0"/>
      <w:marRight w:val="0"/>
      <w:marTop w:val="0"/>
      <w:marBottom w:val="0"/>
      <w:divBdr>
        <w:top w:val="none" w:sz="0" w:space="0" w:color="auto"/>
        <w:left w:val="none" w:sz="0" w:space="0" w:color="auto"/>
        <w:bottom w:val="none" w:sz="0" w:space="0" w:color="auto"/>
        <w:right w:val="none" w:sz="0" w:space="0" w:color="auto"/>
      </w:divBdr>
    </w:div>
    <w:div w:id="1712608422">
      <w:bodyDiv w:val="1"/>
      <w:marLeft w:val="0"/>
      <w:marRight w:val="0"/>
      <w:marTop w:val="0"/>
      <w:marBottom w:val="0"/>
      <w:divBdr>
        <w:top w:val="none" w:sz="0" w:space="0" w:color="auto"/>
        <w:left w:val="none" w:sz="0" w:space="0" w:color="auto"/>
        <w:bottom w:val="none" w:sz="0" w:space="0" w:color="auto"/>
        <w:right w:val="none" w:sz="0" w:space="0" w:color="auto"/>
      </w:divBdr>
    </w:div>
    <w:div w:id="1717898380">
      <w:bodyDiv w:val="1"/>
      <w:marLeft w:val="0"/>
      <w:marRight w:val="0"/>
      <w:marTop w:val="0"/>
      <w:marBottom w:val="0"/>
      <w:divBdr>
        <w:top w:val="none" w:sz="0" w:space="0" w:color="auto"/>
        <w:left w:val="none" w:sz="0" w:space="0" w:color="auto"/>
        <w:bottom w:val="none" w:sz="0" w:space="0" w:color="auto"/>
        <w:right w:val="none" w:sz="0" w:space="0" w:color="auto"/>
      </w:divBdr>
    </w:div>
    <w:div w:id="1721979277">
      <w:bodyDiv w:val="1"/>
      <w:marLeft w:val="0"/>
      <w:marRight w:val="0"/>
      <w:marTop w:val="0"/>
      <w:marBottom w:val="0"/>
      <w:divBdr>
        <w:top w:val="none" w:sz="0" w:space="0" w:color="auto"/>
        <w:left w:val="none" w:sz="0" w:space="0" w:color="auto"/>
        <w:bottom w:val="none" w:sz="0" w:space="0" w:color="auto"/>
        <w:right w:val="none" w:sz="0" w:space="0" w:color="auto"/>
      </w:divBdr>
    </w:div>
    <w:div w:id="1726682186">
      <w:bodyDiv w:val="1"/>
      <w:marLeft w:val="0"/>
      <w:marRight w:val="0"/>
      <w:marTop w:val="0"/>
      <w:marBottom w:val="0"/>
      <w:divBdr>
        <w:top w:val="none" w:sz="0" w:space="0" w:color="auto"/>
        <w:left w:val="none" w:sz="0" w:space="0" w:color="auto"/>
        <w:bottom w:val="none" w:sz="0" w:space="0" w:color="auto"/>
        <w:right w:val="none" w:sz="0" w:space="0" w:color="auto"/>
      </w:divBdr>
    </w:div>
    <w:div w:id="1729525498">
      <w:bodyDiv w:val="1"/>
      <w:marLeft w:val="0"/>
      <w:marRight w:val="0"/>
      <w:marTop w:val="0"/>
      <w:marBottom w:val="0"/>
      <w:divBdr>
        <w:top w:val="none" w:sz="0" w:space="0" w:color="auto"/>
        <w:left w:val="none" w:sz="0" w:space="0" w:color="auto"/>
        <w:bottom w:val="none" w:sz="0" w:space="0" w:color="auto"/>
        <w:right w:val="none" w:sz="0" w:space="0" w:color="auto"/>
      </w:divBdr>
    </w:div>
    <w:div w:id="1749501468">
      <w:bodyDiv w:val="1"/>
      <w:marLeft w:val="0"/>
      <w:marRight w:val="0"/>
      <w:marTop w:val="0"/>
      <w:marBottom w:val="0"/>
      <w:divBdr>
        <w:top w:val="none" w:sz="0" w:space="0" w:color="auto"/>
        <w:left w:val="none" w:sz="0" w:space="0" w:color="auto"/>
        <w:bottom w:val="none" w:sz="0" w:space="0" w:color="auto"/>
        <w:right w:val="none" w:sz="0" w:space="0" w:color="auto"/>
      </w:divBdr>
    </w:div>
    <w:div w:id="1762530105">
      <w:bodyDiv w:val="1"/>
      <w:marLeft w:val="0"/>
      <w:marRight w:val="0"/>
      <w:marTop w:val="0"/>
      <w:marBottom w:val="0"/>
      <w:divBdr>
        <w:top w:val="none" w:sz="0" w:space="0" w:color="auto"/>
        <w:left w:val="none" w:sz="0" w:space="0" w:color="auto"/>
        <w:bottom w:val="none" w:sz="0" w:space="0" w:color="auto"/>
        <w:right w:val="none" w:sz="0" w:space="0" w:color="auto"/>
      </w:divBdr>
    </w:div>
    <w:div w:id="1792476257">
      <w:bodyDiv w:val="1"/>
      <w:marLeft w:val="0"/>
      <w:marRight w:val="0"/>
      <w:marTop w:val="0"/>
      <w:marBottom w:val="0"/>
      <w:divBdr>
        <w:top w:val="none" w:sz="0" w:space="0" w:color="auto"/>
        <w:left w:val="none" w:sz="0" w:space="0" w:color="auto"/>
        <w:bottom w:val="none" w:sz="0" w:space="0" w:color="auto"/>
        <w:right w:val="none" w:sz="0" w:space="0" w:color="auto"/>
      </w:divBdr>
    </w:div>
    <w:div w:id="1796632020">
      <w:bodyDiv w:val="1"/>
      <w:marLeft w:val="0"/>
      <w:marRight w:val="0"/>
      <w:marTop w:val="0"/>
      <w:marBottom w:val="0"/>
      <w:divBdr>
        <w:top w:val="none" w:sz="0" w:space="0" w:color="auto"/>
        <w:left w:val="none" w:sz="0" w:space="0" w:color="auto"/>
        <w:bottom w:val="none" w:sz="0" w:space="0" w:color="auto"/>
        <w:right w:val="none" w:sz="0" w:space="0" w:color="auto"/>
      </w:divBdr>
    </w:div>
    <w:div w:id="1818565443">
      <w:bodyDiv w:val="1"/>
      <w:marLeft w:val="0"/>
      <w:marRight w:val="0"/>
      <w:marTop w:val="0"/>
      <w:marBottom w:val="0"/>
      <w:divBdr>
        <w:top w:val="none" w:sz="0" w:space="0" w:color="auto"/>
        <w:left w:val="none" w:sz="0" w:space="0" w:color="auto"/>
        <w:bottom w:val="none" w:sz="0" w:space="0" w:color="auto"/>
        <w:right w:val="none" w:sz="0" w:space="0" w:color="auto"/>
      </w:divBdr>
    </w:div>
    <w:div w:id="1820224761">
      <w:bodyDiv w:val="1"/>
      <w:marLeft w:val="0"/>
      <w:marRight w:val="0"/>
      <w:marTop w:val="0"/>
      <w:marBottom w:val="0"/>
      <w:divBdr>
        <w:top w:val="none" w:sz="0" w:space="0" w:color="auto"/>
        <w:left w:val="none" w:sz="0" w:space="0" w:color="auto"/>
        <w:bottom w:val="none" w:sz="0" w:space="0" w:color="auto"/>
        <w:right w:val="none" w:sz="0" w:space="0" w:color="auto"/>
      </w:divBdr>
    </w:div>
    <w:div w:id="1850673845">
      <w:bodyDiv w:val="1"/>
      <w:marLeft w:val="0"/>
      <w:marRight w:val="0"/>
      <w:marTop w:val="0"/>
      <w:marBottom w:val="0"/>
      <w:divBdr>
        <w:top w:val="none" w:sz="0" w:space="0" w:color="auto"/>
        <w:left w:val="none" w:sz="0" w:space="0" w:color="auto"/>
        <w:bottom w:val="none" w:sz="0" w:space="0" w:color="auto"/>
        <w:right w:val="none" w:sz="0" w:space="0" w:color="auto"/>
      </w:divBdr>
    </w:div>
    <w:div w:id="1852333331">
      <w:bodyDiv w:val="1"/>
      <w:marLeft w:val="0"/>
      <w:marRight w:val="0"/>
      <w:marTop w:val="0"/>
      <w:marBottom w:val="0"/>
      <w:divBdr>
        <w:top w:val="none" w:sz="0" w:space="0" w:color="auto"/>
        <w:left w:val="none" w:sz="0" w:space="0" w:color="auto"/>
        <w:bottom w:val="none" w:sz="0" w:space="0" w:color="auto"/>
        <w:right w:val="none" w:sz="0" w:space="0" w:color="auto"/>
      </w:divBdr>
    </w:div>
    <w:div w:id="1856725402">
      <w:bodyDiv w:val="1"/>
      <w:marLeft w:val="0"/>
      <w:marRight w:val="0"/>
      <w:marTop w:val="0"/>
      <w:marBottom w:val="0"/>
      <w:divBdr>
        <w:top w:val="none" w:sz="0" w:space="0" w:color="auto"/>
        <w:left w:val="none" w:sz="0" w:space="0" w:color="auto"/>
        <w:bottom w:val="none" w:sz="0" w:space="0" w:color="auto"/>
        <w:right w:val="none" w:sz="0" w:space="0" w:color="auto"/>
      </w:divBdr>
    </w:div>
    <w:div w:id="1870413441">
      <w:bodyDiv w:val="1"/>
      <w:marLeft w:val="0"/>
      <w:marRight w:val="0"/>
      <w:marTop w:val="0"/>
      <w:marBottom w:val="0"/>
      <w:divBdr>
        <w:top w:val="none" w:sz="0" w:space="0" w:color="auto"/>
        <w:left w:val="none" w:sz="0" w:space="0" w:color="auto"/>
        <w:bottom w:val="none" w:sz="0" w:space="0" w:color="auto"/>
        <w:right w:val="none" w:sz="0" w:space="0" w:color="auto"/>
      </w:divBdr>
    </w:div>
    <w:div w:id="1873953764">
      <w:bodyDiv w:val="1"/>
      <w:marLeft w:val="0"/>
      <w:marRight w:val="0"/>
      <w:marTop w:val="0"/>
      <w:marBottom w:val="0"/>
      <w:divBdr>
        <w:top w:val="none" w:sz="0" w:space="0" w:color="auto"/>
        <w:left w:val="none" w:sz="0" w:space="0" w:color="auto"/>
        <w:bottom w:val="none" w:sz="0" w:space="0" w:color="auto"/>
        <w:right w:val="none" w:sz="0" w:space="0" w:color="auto"/>
      </w:divBdr>
    </w:div>
    <w:div w:id="1882815081">
      <w:bodyDiv w:val="1"/>
      <w:marLeft w:val="0"/>
      <w:marRight w:val="0"/>
      <w:marTop w:val="0"/>
      <w:marBottom w:val="0"/>
      <w:divBdr>
        <w:top w:val="none" w:sz="0" w:space="0" w:color="auto"/>
        <w:left w:val="none" w:sz="0" w:space="0" w:color="auto"/>
        <w:bottom w:val="none" w:sz="0" w:space="0" w:color="auto"/>
        <w:right w:val="none" w:sz="0" w:space="0" w:color="auto"/>
      </w:divBdr>
    </w:div>
    <w:div w:id="1886022600">
      <w:bodyDiv w:val="1"/>
      <w:marLeft w:val="0"/>
      <w:marRight w:val="0"/>
      <w:marTop w:val="0"/>
      <w:marBottom w:val="0"/>
      <w:divBdr>
        <w:top w:val="none" w:sz="0" w:space="0" w:color="auto"/>
        <w:left w:val="none" w:sz="0" w:space="0" w:color="auto"/>
        <w:bottom w:val="none" w:sz="0" w:space="0" w:color="auto"/>
        <w:right w:val="none" w:sz="0" w:space="0" w:color="auto"/>
      </w:divBdr>
    </w:div>
    <w:div w:id="1893998166">
      <w:bodyDiv w:val="1"/>
      <w:marLeft w:val="0"/>
      <w:marRight w:val="0"/>
      <w:marTop w:val="0"/>
      <w:marBottom w:val="0"/>
      <w:divBdr>
        <w:top w:val="none" w:sz="0" w:space="0" w:color="auto"/>
        <w:left w:val="none" w:sz="0" w:space="0" w:color="auto"/>
        <w:bottom w:val="none" w:sz="0" w:space="0" w:color="auto"/>
        <w:right w:val="none" w:sz="0" w:space="0" w:color="auto"/>
      </w:divBdr>
    </w:div>
    <w:div w:id="1931889332">
      <w:bodyDiv w:val="1"/>
      <w:marLeft w:val="0"/>
      <w:marRight w:val="0"/>
      <w:marTop w:val="0"/>
      <w:marBottom w:val="0"/>
      <w:divBdr>
        <w:top w:val="none" w:sz="0" w:space="0" w:color="auto"/>
        <w:left w:val="none" w:sz="0" w:space="0" w:color="auto"/>
        <w:bottom w:val="none" w:sz="0" w:space="0" w:color="auto"/>
        <w:right w:val="none" w:sz="0" w:space="0" w:color="auto"/>
      </w:divBdr>
    </w:div>
    <w:div w:id="1939867020">
      <w:bodyDiv w:val="1"/>
      <w:marLeft w:val="0"/>
      <w:marRight w:val="0"/>
      <w:marTop w:val="0"/>
      <w:marBottom w:val="0"/>
      <w:divBdr>
        <w:top w:val="none" w:sz="0" w:space="0" w:color="auto"/>
        <w:left w:val="none" w:sz="0" w:space="0" w:color="auto"/>
        <w:bottom w:val="none" w:sz="0" w:space="0" w:color="auto"/>
        <w:right w:val="none" w:sz="0" w:space="0" w:color="auto"/>
      </w:divBdr>
    </w:div>
    <w:div w:id="1941062096">
      <w:bodyDiv w:val="1"/>
      <w:marLeft w:val="0"/>
      <w:marRight w:val="0"/>
      <w:marTop w:val="0"/>
      <w:marBottom w:val="0"/>
      <w:divBdr>
        <w:top w:val="none" w:sz="0" w:space="0" w:color="auto"/>
        <w:left w:val="none" w:sz="0" w:space="0" w:color="auto"/>
        <w:bottom w:val="none" w:sz="0" w:space="0" w:color="auto"/>
        <w:right w:val="none" w:sz="0" w:space="0" w:color="auto"/>
      </w:divBdr>
    </w:div>
    <w:div w:id="1962150165">
      <w:bodyDiv w:val="1"/>
      <w:marLeft w:val="0"/>
      <w:marRight w:val="0"/>
      <w:marTop w:val="0"/>
      <w:marBottom w:val="0"/>
      <w:divBdr>
        <w:top w:val="none" w:sz="0" w:space="0" w:color="auto"/>
        <w:left w:val="none" w:sz="0" w:space="0" w:color="auto"/>
        <w:bottom w:val="none" w:sz="0" w:space="0" w:color="auto"/>
        <w:right w:val="none" w:sz="0" w:space="0" w:color="auto"/>
      </w:divBdr>
    </w:div>
    <w:div w:id="1965964047">
      <w:bodyDiv w:val="1"/>
      <w:marLeft w:val="0"/>
      <w:marRight w:val="0"/>
      <w:marTop w:val="0"/>
      <w:marBottom w:val="0"/>
      <w:divBdr>
        <w:top w:val="none" w:sz="0" w:space="0" w:color="auto"/>
        <w:left w:val="none" w:sz="0" w:space="0" w:color="auto"/>
        <w:bottom w:val="none" w:sz="0" w:space="0" w:color="auto"/>
        <w:right w:val="none" w:sz="0" w:space="0" w:color="auto"/>
      </w:divBdr>
    </w:div>
    <w:div w:id="1992520013">
      <w:bodyDiv w:val="1"/>
      <w:marLeft w:val="0"/>
      <w:marRight w:val="0"/>
      <w:marTop w:val="0"/>
      <w:marBottom w:val="0"/>
      <w:divBdr>
        <w:top w:val="none" w:sz="0" w:space="0" w:color="auto"/>
        <w:left w:val="none" w:sz="0" w:space="0" w:color="auto"/>
        <w:bottom w:val="none" w:sz="0" w:space="0" w:color="auto"/>
        <w:right w:val="none" w:sz="0" w:space="0" w:color="auto"/>
      </w:divBdr>
    </w:div>
    <w:div w:id="1996953830">
      <w:bodyDiv w:val="1"/>
      <w:marLeft w:val="0"/>
      <w:marRight w:val="0"/>
      <w:marTop w:val="0"/>
      <w:marBottom w:val="0"/>
      <w:divBdr>
        <w:top w:val="none" w:sz="0" w:space="0" w:color="auto"/>
        <w:left w:val="none" w:sz="0" w:space="0" w:color="auto"/>
        <w:bottom w:val="none" w:sz="0" w:space="0" w:color="auto"/>
        <w:right w:val="none" w:sz="0" w:space="0" w:color="auto"/>
      </w:divBdr>
    </w:div>
    <w:div w:id="2017073590">
      <w:bodyDiv w:val="1"/>
      <w:marLeft w:val="0"/>
      <w:marRight w:val="0"/>
      <w:marTop w:val="0"/>
      <w:marBottom w:val="0"/>
      <w:divBdr>
        <w:top w:val="none" w:sz="0" w:space="0" w:color="auto"/>
        <w:left w:val="none" w:sz="0" w:space="0" w:color="auto"/>
        <w:bottom w:val="none" w:sz="0" w:space="0" w:color="auto"/>
        <w:right w:val="none" w:sz="0" w:space="0" w:color="auto"/>
      </w:divBdr>
    </w:div>
    <w:div w:id="2030251131">
      <w:bodyDiv w:val="1"/>
      <w:marLeft w:val="0"/>
      <w:marRight w:val="0"/>
      <w:marTop w:val="0"/>
      <w:marBottom w:val="0"/>
      <w:divBdr>
        <w:top w:val="none" w:sz="0" w:space="0" w:color="auto"/>
        <w:left w:val="none" w:sz="0" w:space="0" w:color="auto"/>
        <w:bottom w:val="none" w:sz="0" w:space="0" w:color="auto"/>
        <w:right w:val="none" w:sz="0" w:space="0" w:color="auto"/>
      </w:divBdr>
    </w:div>
    <w:div w:id="2047677322">
      <w:bodyDiv w:val="1"/>
      <w:marLeft w:val="0"/>
      <w:marRight w:val="0"/>
      <w:marTop w:val="0"/>
      <w:marBottom w:val="0"/>
      <w:divBdr>
        <w:top w:val="none" w:sz="0" w:space="0" w:color="auto"/>
        <w:left w:val="none" w:sz="0" w:space="0" w:color="auto"/>
        <w:bottom w:val="none" w:sz="0" w:space="0" w:color="auto"/>
        <w:right w:val="none" w:sz="0" w:space="0" w:color="auto"/>
      </w:divBdr>
    </w:div>
    <w:div w:id="2063752034">
      <w:bodyDiv w:val="1"/>
      <w:marLeft w:val="0"/>
      <w:marRight w:val="0"/>
      <w:marTop w:val="0"/>
      <w:marBottom w:val="0"/>
      <w:divBdr>
        <w:top w:val="none" w:sz="0" w:space="0" w:color="auto"/>
        <w:left w:val="none" w:sz="0" w:space="0" w:color="auto"/>
        <w:bottom w:val="none" w:sz="0" w:space="0" w:color="auto"/>
        <w:right w:val="none" w:sz="0" w:space="0" w:color="auto"/>
      </w:divBdr>
    </w:div>
    <w:div w:id="2083017582">
      <w:bodyDiv w:val="1"/>
      <w:marLeft w:val="0"/>
      <w:marRight w:val="0"/>
      <w:marTop w:val="0"/>
      <w:marBottom w:val="0"/>
      <w:divBdr>
        <w:top w:val="none" w:sz="0" w:space="0" w:color="auto"/>
        <w:left w:val="none" w:sz="0" w:space="0" w:color="auto"/>
        <w:bottom w:val="none" w:sz="0" w:space="0" w:color="auto"/>
        <w:right w:val="none" w:sz="0" w:space="0" w:color="auto"/>
      </w:divBdr>
    </w:div>
    <w:div w:id="2092702996">
      <w:bodyDiv w:val="1"/>
      <w:marLeft w:val="0"/>
      <w:marRight w:val="0"/>
      <w:marTop w:val="0"/>
      <w:marBottom w:val="0"/>
      <w:divBdr>
        <w:top w:val="none" w:sz="0" w:space="0" w:color="auto"/>
        <w:left w:val="none" w:sz="0" w:space="0" w:color="auto"/>
        <w:bottom w:val="none" w:sz="0" w:space="0" w:color="auto"/>
        <w:right w:val="none" w:sz="0" w:space="0" w:color="auto"/>
      </w:divBdr>
    </w:div>
    <w:div w:id="211655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7" ma:contentTypeDescription="Vytvoří nový dokument" ma:contentTypeScope="" ma:versionID="f6f03f5b008ce72686bbcf691a7be2e8">
  <xsd:schema xmlns:xsd="http://www.w3.org/2001/XMLSchema" xmlns:xs="http://www.w3.org/2001/XMLSchema" xmlns:p="http://schemas.microsoft.com/office/2006/metadata/properties" xmlns:ns2="dfed548f-0517-4d39-90e3-3947398480c0" targetNamespace="http://schemas.microsoft.com/office/2006/metadata/properties" ma:root="true" ma:fieldsID="a9a9eb159e242e6dec8d2b5b6c497589"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B42C4-43AB-4D59-A01B-DB333EB0A3F6}">
  <ds:schemaRefs>
    <ds:schemaRef ds:uri="http://schemas.microsoft.com/sharepoint/v3/contenttype/forms"/>
  </ds:schemaRefs>
</ds:datastoreItem>
</file>

<file path=customXml/itemProps2.xml><?xml version="1.0" encoding="utf-8"?>
<ds:datastoreItem xmlns:ds="http://schemas.openxmlformats.org/officeDocument/2006/customXml" ds:itemID="{1B75DC65-0242-46CC-B69E-4BEEF659E03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fed548f-0517-4d39-90e3-3947398480c0"/>
    <ds:schemaRef ds:uri="http://www.w3.org/XML/1998/namespace"/>
    <ds:schemaRef ds:uri="http://purl.org/dc/dcmitype/"/>
  </ds:schemaRefs>
</ds:datastoreItem>
</file>

<file path=customXml/itemProps3.xml><?xml version="1.0" encoding="utf-8"?>
<ds:datastoreItem xmlns:ds="http://schemas.openxmlformats.org/officeDocument/2006/customXml" ds:itemID="{1F888A2A-18E8-44CA-A7BC-804FE8087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7C8EBD-1A7F-4303-BEBA-B34631AE1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26976</Words>
  <Characters>159163</Characters>
  <Application>Microsoft Office Word</Application>
  <DocSecurity>0</DocSecurity>
  <Lines>1326</Lines>
  <Paragraphs>371</Paragraphs>
  <ScaleCrop>false</ScaleCrop>
  <HeadingPairs>
    <vt:vector size="2" baseType="variant">
      <vt:variant>
        <vt:lpstr>Název</vt:lpstr>
      </vt:variant>
      <vt:variant>
        <vt:i4>1</vt:i4>
      </vt:variant>
    </vt:vector>
  </HeadingPairs>
  <TitlesOfParts>
    <vt:vector size="1" baseType="lpstr">
      <vt:lpstr>RTF Template</vt:lpstr>
    </vt:vector>
  </TitlesOfParts>
  <Company>Oracle USA</Company>
  <LinksUpToDate>false</LinksUpToDate>
  <CharactersWithSpaces>185768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User</dc:creator>
  <cp:keywords/>
  <dc:description/>
  <cp:lastModifiedBy>Hrnčárová Marie Mgr. (MPSV)</cp:lastModifiedBy>
  <cp:revision>3</cp:revision>
  <dcterms:created xsi:type="dcterms:W3CDTF">2020-05-18T14:41:00Z</dcterms:created>
  <dcterms:modified xsi:type="dcterms:W3CDTF">2020-05-18T14:47:00Z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