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F1062" w14:textId="5DF7B846" w:rsidR="00830A79" w:rsidRDefault="00B07DE3" w:rsidP="00056FF3">
      <w:pPr>
        <w:spacing w:before="240" w:after="360" w:line="360" w:lineRule="auto"/>
        <w:jc w:val="left"/>
        <w:rPr>
          <w:b/>
        </w:rPr>
      </w:pPr>
      <w:r>
        <w:rPr>
          <w:b/>
        </w:rPr>
        <w:t xml:space="preserve">PŘÍLOHA Č. 1 </w:t>
      </w:r>
      <w:r w:rsidR="009D2047">
        <w:rPr>
          <w:b/>
        </w:rPr>
        <w:t>DOPLŇUJÍCÍ</w:t>
      </w:r>
      <w:r w:rsidR="002A326C">
        <w:rPr>
          <w:b/>
        </w:rPr>
        <w:t xml:space="preserve"> INFORMACE KE KAPITOLE 3</w:t>
      </w:r>
      <w:r w:rsidR="004D0D65">
        <w:rPr>
          <w:b/>
        </w:rPr>
        <w:t>.1</w:t>
      </w:r>
      <w:r w:rsidR="002A326C">
        <w:rPr>
          <w:b/>
        </w:rPr>
        <w:t xml:space="preserve"> PŘEHLED </w:t>
      </w:r>
      <w:r w:rsidR="00731E02">
        <w:rPr>
          <w:b/>
        </w:rPr>
        <w:t>IMPLEMENTACE</w:t>
      </w:r>
      <w:r w:rsidR="002A326C">
        <w:rPr>
          <w:b/>
        </w:rPr>
        <w:t xml:space="preserve"> </w:t>
      </w:r>
    </w:p>
    <w:tbl>
      <w:tblPr>
        <w:tblStyle w:val="Mkatabulky"/>
        <w:tblW w:w="14169" w:type="dxa"/>
        <w:tblInd w:w="108" w:type="dxa"/>
        <w:tblLook w:val="04A0" w:firstRow="1" w:lastRow="0" w:firstColumn="1" w:lastColumn="0" w:noHBand="0" w:noVBand="1"/>
      </w:tblPr>
      <w:tblGrid>
        <w:gridCol w:w="1378"/>
        <w:gridCol w:w="2637"/>
        <w:gridCol w:w="10154"/>
      </w:tblGrid>
      <w:tr w:rsidR="002A326C" w:rsidRPr="00096506" w14:paraId="1A4F1066" w14:textId="77777777" w:rsidTr="001936D1">
        <w:trPr>
          <w:trHeight w:val="765"/>
        </w:trPr>
        <w:tc>
          <w:tcPr>
            <w:tcW w:w="1378" w:type="dxa"/>
            <w:shd w:val="clear" w:color="auto" w:fill="CCCCCC" w:themeFill="text1" w:themeFillTint="33"/>
            <w:vAlign w:val="center"/>
          </w:tcPr>
          <w:p w14:paraId="1A4F1063" w14:textId="77777777" w:rsidR="002A326C" w:rsidRPr="00096506" w:rsidRDefault="002A326C" w:rsidP="00AA673F">
            <w:pPr>
              <w:spacing w:after="120"/>
              <w:ind w:left="181"/>
              <w:rPr>
                <w:rFonts w:ascii="Arial" w:hAnsi="Arial" w:cs="Arial"/>
                <w:b/>
                <w:sz w:val="20"/>
                <w:szCs w:val="20"/>
              </w:rPr>
            </w:pPr>
            <w:r w:rsidRPr="00096506">
              <w:rPr>
                <w:rFonts w:ascii="Arial" w:hAnsi="Arial" w:cs="Arial"/>
                <w:b/>
                <w:sz w:val="20"/>
                <w:szCs w:val="20"/>
              </w:rPr>
              <w:t>ID</w:t>
            </w:r>
          </w:p>
        </w:tc>
        <w:tc>
          <w:tcPr>
            <w:tcW w:w="2637" w:type="dxa"/>
            <w:shd w:val="clear" w:color="auto" w:fill="CCCCCC" w:themeFill="text1" w:themeFillTint="33"/>
            <w:vAlign w:val="center"/>
          </w:tcPr>
          <w:p w14:paraId="1A4F1064" w14:textId="77777777" w:rsidR="002A326C" w:rsidRPr="00096506" w:rsidRDefault="002A326C" w:rsidP="00AA673F">
            <w:pPr>
              <w:spacing w:after="120"/>
              <w:ind w:left="79" w:right="103"/>
              <w:rPr>
                <w:rFonts w:ascii="Arial" w:hAnsi="Arial" w:cs="Arial"/>
                <w:b/>
                <w:sz w:val="20"/>
                <w:szCs w:val="20"/>
              </w:rPr>
            </w:pPr>
            <w:r w:rsidRPr="00096506">
              <w:rPr>
                <w:rFonts w:ascii="Arial" w:hAnsi="Arial" w:cs="Arial"/>
                <w:b/>
                <w:sz w:val="20"/>
                <w:szCs w:val="20"/>
              </w:rPr>
              <w:t>Prioritní osa</w:t>
            </w:r>
          </w:p>
        </w:tc>
        <w:tc>
          <w:tcPr>
            <w:tcW w:w="10154" w:type="dxa"/>
            <w:shd w:val="clear" w:color="auto" w:fill="CCCCCC" w:themeFill="text1" w:themeFillTint="33"/>
            <w:vAlign w:val="center"/>
          </w:tcPr>
          <w:p w14:paraId="1A4F1065" w14:textId="77777777" w:rsidR="002A326C" w:rsidRPr="00096506" w:rsidRDefault="00013DB0" w:rsidP="00AA673F">
            <w:pPr>
              <w:autoSpaceDE w:val="0"/>
              <w:autoSpaceDN w:val="0"/>
              <w:adjustRightInd w:val="0"/>
              <w:spacing w:after="120"/>
              <w:ind w:left="136" w:right="238"/>
              <w:rPr>
                <w:rFonts w:ascii="Arial" w:hAnsi="Arial" w:cs="Arial"/>
                <w:b/>
                <w:sz w:val="20"/>
                <w:szCs w:val="20"/>
              </w:rPr>
            </w:pPr>
            <w:r>
              <w:rPr>
                <w:rFonts w:ascii="Arial" w:hAnsi="Arial" w:cs="Arial"/>
                <w:b/>
                <w:sz w:val="20"/>
                <w:szCs w:val="20"/>
              </w:rPr>
              <w:t>K</w:t>
            </w:r>
            <w:r w:rsidR="002A326C" w:rsidRPr="00096506">
              <w:rPr>
                <w:rFonts w:ascii="Arial" w:hAnsi="Arial" w:cs="Arial"/>
                <w:b/>
                <w:sz w:val="20"/>
                <w:szCs w:val="20"/>
              </w:rPr>
              <w:t>líčové informace o provádění prioritní osy s odkazem na klíčov</w:t>
            </w:r>
            <w:r>
              <w:rPr>
                <w:rFonts w:ascii="Arial" w:hAnsi="Arial" w:cs="Arial"/>
                <w:b/>
                <w:sz w:val="20"/>
                <w:szCs w:val="20"/>
              </w:rPr>
              <w:t>é události, významné problémy a </w:t>
            </w:r>
            <w:r w:rsidR="002A326C" w:rsidRPr="00096506">
              <w:rPr>
                <w:rFonts w:ascii="Arial" w:hAnsi="Arial" w:cs="Arial"/>
                <w:b/>
                <w:sz w:val="20"/>
                <w:szCs w:val="20"/>
              </w:rPr>
              <w:t>opatření přijatá k jejich odstranění</w:t>
            </w:r>
          </w:p>
        </w:tc>
      </w:tr>
      <w:tr w:rsidR="002A326C" w:rsidRPr="00096506" w14:paraId="1A4F1099" w14:textId="77777777" w:rsidTr="001936D1">
        <w:trPr>
          <w:trHeight w:val="797"/>
        </w:trPr>
        <w:tc>
          <w:tcPr>
            <w:tcW w:w="1378" w:type="dxa"/>
            <w:vAlign w:val="center"/>
          </w:tcPr>
          <w:p w14:paraId="1A4F1067" w14:textId="77777777" w:rsidR="002A326C" w:rsidRPr="00096506" w:rsidRDefault="002A326C" w:rsidP="002A326C">
            <w:pPr>
              <w:ind w:left="181"/>
              <w:rPr>
                <w:rFonts w:ascii="Arial" w:hAnsi="Arial" w:cs="Arial"/>
                <w:sz w:val="20"/>
                <w:szCs w:val="20"/>
              </w:rPr>
            </w:pPr>
            <w:r w:rsidRPr="00096506">
              <w:rPr>
                <w:rFonts w:ascii="Arial" w:hAnsi="Arial" w:cs="Arial"/>
                <w:sz w:val="20"/>
                <w:szCs w:val="20"/>
              </w:rPr>
              <w:t>3.1</w:t>
            </w:r>
          </w:p>
        </w:tc>
        <w:tc>
          <w:tcPr>
            <w:tcW w:w="2637" w:type="dxa"/>
            <w:vAlign w:val="center"/>
          </w:tcPr>
          <w:p w14:paraId="1A4F1068" w14:textId="77777777" w:rsidR="002A326C" w:rsidRPr="00096506" w:rsidRDefault="002A326C" w:rsidP="00AA673F">
            <w:pPr>
              <w:ind w:left="79" w:right="103"/>
              <w:jc w:val="left"/>
              <w:rPr>
                <w:rFonts w:ascii="Arial" w:hAnsi="Arial" w:cs="Arial"/>
                <w:sz w:val="20"/>
                <w:szCs w:val="20"/>
              </w:rPr>
            </w:pPr>
            <w:r w:rsidRPr="00096506">
              <w:rPr>
                <w:rFonts w:ascii="Arial" w:hAnsi="Arial" w:cs="Arial"/>
                <w:sz w:val="20"/>
                <w:szCs w:val="20"/>
              </w:rPr>
              <w:t>Podpora zaměstnanosti a adaptability pracovní síly</w:t>
            </w:r>
          </w:p>
        </w:tc>
        <w:tc>
          <w:tcPr>
            <w:tcW w:w="10154" w:type="dxa"/>
            <w:shd w:val="clear" w:color="auto" w:fill="auto"/>
            <w:vAlign w:val="center"/>
          </w:tcPr>
          <w:p w14:paraId="1A4F1069" w14:textId="76E65C1F" w:rsidR="004777B7" w:rsidRPr="0005109D" w:rsidRDefault="004777B7" w:rsidP="00BB3DF7">
            <w:pPr>
              <w:spacing w:after="120"/>
              <w:ind w:left="136" w:right="238"/>
              <w:rPr>
                <w:rFonts w:ascii="Arial" w:eastAsia="Arial" w:hAnsi="Arial" w:cs="Arial"/>
                <w:sz w:val="20"/>
                <w:szCs w:val="20"/>
              </w:rPr>
            </w:pPr>
            <w:r w:rsidRPr="0005109D">
              <w:rPr>
                <w:rFonts w:ascii="Arial" w:eastAsia="Arial" w:hAnsi="Arial" w:cs="Arial"/>
                <w:b/>
                <w:sz w:val="20"/>
                <w:szCs w:val="20"/>
              </w:rPr>
              <w:t xml:space="preserve">Prioritní osa 1 „Podpora zaměstnanosti a adaptability pracovní síly“ </w:t>
            </w:r>
            <w:r w:rsidRPr="0005109D">
              <w:rPr>
                <w:rFonts w:ascii="Arial" w:eastAsia="Arial" w:hAnsi="Arial" w:cs="Arial"/>
                <w:sz w:val="20"/>
                <w:szCs w:val="20"/>
              </w:rPr>
              <w:t>(PO1) je prováděna prostřednictvím pěti investičních priorit (IP) a je svými 6</w:t>
            </w:r>
            <w:r w:rsidR="00F4056D" w:rsidRPr="0005109D">
              <w:rPr>
                <w:rFonts w:ascii="Arial" w:eastAsia="Arial" w:hAnsi="Arial" w:cs="Arial"/>
                <w:sz w:val="20"/>
                <w:szCs w:val="20"/>
              </w:rPr>
              <w:t>4</w:t>
            </w:r>
            <w:r w:rsidRPr="0005109D">
              <w:rPr>
                <w:rFonts w:ascii="Arial" w:eastAsia="Arial" w:hAnsi="Arial" w:cs="Arial"/>
                <w:sz w:val="20"/>
                <w:szCs w:val="20"/>
              </w:rPr>
              <w:t xml:space="preserve"> % (1 </w:t>
            </w:r>
            <w:r w:rsidR="00F4056D" w:rsidRPr="0005109D">
              <w:rPr>
                <w:rFonts w:ascii="Arial" w:eastAsia="Arial" w:hAnsi="Arial" w:cs="Arial"/>
                <w:sz w:val="20"/>
                <w:szCs w:val="20"/>
              </w:rPr>
              <w:t>840</w:t>
            </w:r>
            <w:r w:rsidRPr="0005109D">
              <w:rPr>
                <w:rFonts w:ascii="Arial" w:eastAsia="Arial" w:hAnsi="Arial" w:cs="Arial"/>
                <w:sz w:val="20"/>
                <w:szCs w:val="20"/>
              </w:rPr>
              <w:t xml:space="preserve"> mil. EUR</w:t>
            </w:r>
            <w:r w:rsidR="001608E0" w:rsidRPr="0005109D">
              <w:rPr>
                <w:rFonts w:ascii="Arial" w:eastAsia="Arial" w:hAnsi="Arial" w:cs="Arial"/>
                <w:sz w:val="20"/>
                <w:szCs w:val="20"/>
              </w:rPr>
              <w:t>, včetně YEI</w:t>
            </w:r>
            <w:r w:rsidRPr="0005109D">
              <w:rPr>
                <w:rFonts w:ascii="Arial" w:eastAsia="Arial" w:hAnsi="Arial" w:cs="Arial"/>
                <w:sz w:val="20"/>
                <w:szCs w:val="20"/>
              </w:rPr>
              <w:t xml:space="preserve">) </w:t>
            </w:r>
            <w:r w:rsidR="001608E0" w:rsidRPr="0005109D">
              <w:rPr>
                <w:rFonts w:ascii="Arial" w:eastAsia="Arial" w:hAnsi="Arial" w:cs="Arial"/>
                <w:sz w:val="20"/>
                <w:szCs w:val="20"/>
              </w:rPr>
              <w:t xml:space="preserve">celkových </w:t>
            </w:r>
            <w:r w:rsidRPr="0005109D">
              <w:rPr>
                <w:rFonts w:ascii="Arial" w:eastAsia="Arial" w:hAnsi="Arial" w:cs="Arial"/>
                <w:sz w:val="20"/>
                <w:szCs w:val="20"/>
              </w:rPr>
              <w:t>alokovaných prostředků programu nejrozsáhlejší prioritní osou.</w:t>
            </w:r>
          </w:p>
          <w:p w14:paraId="0D00BE3E" w14:textId="2744462F" w:rsidR="00043098" w:rsidRPr="0005109D" w:rsidRDefault="0058462D" w:rsidP="00BB3DF7">
            <w:pPr>
              <w:spacing w:after="120"/>
              <w:ind w:left="136" w:right="238"/>
              <w:rPr>
                <w:rFonts w:ascii="Arial" w:eastAsia="Arial" w:hAnsi="Arial" w:cs="Arial"/>
                <w:sz w:val="20"/>
                <w:szCs w:val="20"/>
              </w:rPr>
            </w:pPr>
            <w:r w:rsidRPr="0005109D">
              <w:rPr>
                <w:rFonts w:ascii="Arial" w:eastAsia="Arial" w:hAnsi="Arial" w:cs="Arial"/>
                <w:sz w:val="20"/>
                <w:szCs w:val="20"/>
              </w:rPr>
              <w:t xml:space="preserve">Celkem bylo od začátku programového období vyhlášeno </w:t>
            </w:r>
            <w:r w:rsidR="00C20C22" w:rsidRPr="0005109D">
              <w:rPr>
                <w:rFonts w:ascii="Arial" w:eastAsia="Arial" w:hAnsi="Arial" w:cs="Arial"/>
                <w:sz w:val="20"/>
                <w:szCs w:val="20"/>
              </w:rPr>
              <w:t>6</w:t>
            </w:r>
            <w:r w:rsidR="00F4056D" w:rsidRPr="0005109D">
              <w:rPr>
                <w:rFonts w:ascii="Arial" w:eastAsia="Arial" w:hAnsi="Arial" w:cs="Arial"/>
                <w:sz w:val="20"/>
                <w:szCs w:val="20"/>
              </w:rPr>
              <w:t>3</w:t>
            </w:r>
            <w:r w:rsidR="00C20C22" w:rsidRPr="0005109D">
              <w:rPr>
                <w:rFonts w:ascii="Arial" w:eastAsia="Arial" w:hAnsi="Arial" w:cs="Arial"/>
                <w:sz w:val="20"/>
                <w:szCs w:val="20"/>
              </w:rPr>
              <w:t xml:space="preserve"> výzev v celkovém objemu </w:t>
            </w:r>
            <w:r w:rsidR="00086086" w:rsidRPr="0005109D">
              <w:rPr>
                <w:rFonts w:ascii="Arial" w:eastAsia="Arial" w:hAnsi="Arial" w:cs="Arial"/>
                <w:sz w:val="20"/>
                <w:szCs w:val="20"/>
              </w:rPr>
              <w:t>2</w:t>
            </w:r>
            <w:r w:rsidR="00C20C22" w:rsidRPr="0005109D">
              <w:rPr>
                <w:rFonts w:ascii="Arial" w:eastAsia="Arial" w:hAnsi="Arial" w:cs="Arial"/>
                <w:sz w:val="20"/>
                <w:szCs w:val="20"/>
              </w:rPr>
              <w:t> </w:t>
            </w:r>
            <w:r w:rsidR="00086086" w:rsidRPr="0005109D">
              <w:rPr>
                <w:rFonts w:ascii="Arial" w:eastAsia="Arial" w:hAnsi="Arial" w:cs="Arial"/>
                <w:sz w:val="20"/>
                <w:szCs w:val="20"/>
              </w:rPr>
              <w:t>136</w:t>
            </w:r>
            <w:r w:rsidR="00C20C22" w:rsidRPr="0005109D">
              <w:rPr>
                <w:rFonts w:ascii="Arial" w:eastAsia="Arial" w:hAnsi="Arial" w:cs="Arial"/>
                <w:sz w:val="20"/>
                <w:szCs w:val="20"/>
              </w:rPr>
              <w:t xml:space="preserve"> mil. EUR</w:t>
            </w:r>
            <w:r w:rsidRPr="0005109D">
              <w:rPr>
                <w:rFonts w:ascii="Arial" w:eastAsia="Arial" w:hAnsi="Arial" w:cs="Arial"/>
                <w:sz w:val="20"/>
                <w:szCs w:val="20"/>
              </w:rPr>
              <w:t xml:space="preserve">. Celkový počet právních aktů byl </w:t>
            </w:r>
            <w:r w:rsidR="00982579">
              <w:rPr>
                <w:rFonts w:ascii="Arial" w:eastAsia="Arial" w:hAnsi="Arial" w:cs="Arial"/>
                <w:sz w:val="20"/>
                <w:szCs w:val="20"/>
              </w:rPr>
              <w:t>5 902</w:t>
            </w:r>
            <w:r w:rsidR="00566BB4" w:rsidRPr="0005109D">
              <w:rPr>
                <w:rFonts w:ascii="Arial" w:eastAsia="Arial" w:hAnsi="Arial" w:cs="Arial"/>
                <w:sz w:val="20"/>
                <w:szCs w:val="20"/>
              </w:rPr>
              <w:t xml:space="preserve"> </w:t>
            </w:r>
            <w:r w:rsidRPr="0005109D">
              <w:rPr>
                <w:rFonts w:ascii="Arial" w:eastAsia="Arial" w:hAnsi="Arial" w:cs="Arial"/>
                <w:sz w:val="20"/>
                <w:szCs w:val="20"/>
              </w:rPr>
              <w:t xml:space="preserve">v celkovém objemu 1 </w:t>
            </w:r>
            <w:r w:rsidR="00123289">
              <w:rPr>
                <w:rFonts w:ascii="Arial" w:eastAsia="Arial" w:hAnsi="Arial" w:cs="Arial"/>
                <w:sz w:val="20"/>
                <w:szCs w:val="20"/>
              </w:rPr>
              <w:t>6</w:t>
            </w:r>
            <w:r w:rsidR="00982579">
              <w:rPr>
                <w:rFonts w:ascii="Arial" w:eastAsia="Arial" w:hAnsi="Arial" w:cs="Arial"/>
                <w:sz w:val="20"/>
                <w:szCs w:val="20"/>
              </w:rPr>
              <w:t>37</w:t>
            </w:r>
            <w:r w:rsidRPr="0005109D">
              <w:rPr>
                <w:rFonts w:ascii="Arial" w:eastAsia="Arial" w:hAnsi="Arial" w:cs="Arial"/>
                <w:sz w:val="20"/>
                <w:szCs w:val="20"/>
              </w:rPr>
              <w:t xml:space="preserve"> mil. EUR. </w:t>
            </w:r>
            <w:r w:rsidR="00192921" w:rsidRPr="0005109D">
              <w:rPr>
                <w:rFonts w:ascii="Arial" w:eastAsia="Arial" w:hAnsi="Arial" w:cs="Arial"/>
                <w:sz w:val="20"/>
                <w:szCs w:val="20"/>
              </w:rPr>
              <w:t>V roce 20</w:t>
            </w:r>
            <w:r w:rsidR="00F8510B" w:rsidRPr="0005109D">
              <w:rPr>
                <w:rFonts w:ascii="Arial" w:eastAsia="Arial" w:hAnsi="Arial" w:cs="Arial"/>
                <w:sz w:val="20"/>
                <w:szCs w:val="20"/>
              </w:rPr>
              <w:t>20</w:t>
            </w:r>
            <w:r w:rsidR="00192921" w:rsidRPr="0005109D">
              <w:rPr>
                <w:rFonts w:ascii="Arial" w:eastAsia="Arial" w:hAnsi="Arial" w:cs="Arial"/>
                <w:sz w:val="20"/>
                <w:szCs w:val="20"/>
              </w:rPr>
              <w:t xml:space="preserve"> byl</w:t>
            </w:r>
            <w:r w:rsidR="0015776F" w:rsidRPr="0005109D">
              <w:rPr>
                <w:rFonts w:ascii="Arial" w:eastAsia="Arial" w:hAnsi="Arial" w:cs="Arial"/>
                <w:sz w:val="20"/>
                <w:szCs w:val="20"/>
              </w:rPr>
              <w:t>y</w:t>
            </w:r>
            <w:r w:rsidR="00192921" w:rsidRPr="0005109D">
              <w:rPr>
                <w:rFonts w:ascii="Arial" w:eastAsia="Arial" w:hAnsi="Arial" w:cs="Arial"/>
                <w:sz w:val="20"/>
                <w:szCs w:val="20"/>
              </w:rPr>
              <w:t xml:space="preserve"> vyhlášen</w:t>
            </w:r>
            <w:r w:rsidR="0015776F" w:rsidRPr="0005109D">
              <w:rPr>
                <w:rFonts w:ascii="Arial" w:eastAsia="Arial" w:hAnsi="Arial" w:cs="Arial"/>
                <w:sz w:val="20"/>
                <w:szCs w:val="20"/>
              </w:rPr>
              <w:t>y</w:t>
            </w:r>
            <w:r w:rsidRPr="0005109D">
              <w:rPr>
                <w:rFonts w:ascii="Arial" w:eastAsia="Arial" w:hAnsi="Arial" w:cs="Arial"/>
                <w:sz w:val="20"/>
                <w:szCs w:val="20"/>
              </w:rPr>
              <w:t xml:space="preserve"> </w:t>
            </w:r>
            <w:r w:rsidR="00883373" w:rsidRPr="0005109D">
              <w:rPr>
                <w:rFonts w:ascii="Arial" w:eastAsia="Arial" w:hAnsi="Arial" w:cs="Arial"/>
                <w:sz w:val="20"/>
                <w:szCs w:val="20"/>
              </w:rPr>
              <w:t>3</w:t>
            </w:r>
            <w:r w:rsidR="00192921" w:rsidRPr="0005109D">
              <w:rPr>
                <w:rFonts w:ascii="Arial" w:eastAsia="Arial" w:hAnsi="Arial" w:cs="Arial"/>
                <w:sz w:val="20"/>
                <w:szCs w:val="20"/>
              </w:rPr>
              <w:t xml:space="preserve"> vý</w:t>
            </w:r>
            <w:r w:rsidR="001870FB" w:rsidRPr="0005109D">
              <w:rPr>
                <w:rFonts w:ascii="Arial" w:eastAsia="Arial" w:hAnsi="Arial" w:cs="Arial"/>
                <w:sz w:val="20"/>
                <w:szCs w:val="20"/>
              </w:rPr>
              <w:t>zvy</w:t>
            </w:r>
            <w:r w:rsidRPr="0005109D">
              <w:rPr>
                <w:rFonts w:ascii="Arial" w:eastAsia="Arial" w:hAnsi="Arial" w:cs="Arial"/>
                <w:sz w:val="20"/>
                <w:szCs w:val="20"/>
              </w:rPr>
              <w:t xml:space="preserve"> v celkovém objemu </w:t>
            </w:r>
            <w:r w:rsidR="00883373" w:rsidRPr="0005109D">
              <w:rPr>
                <w:rFonts w:ascii="Arial" w:eastAsia="Arial" w:hAnsi="Arial" w:cs="Arial"/>
                <w:sz w:val="20"/>
                <w:szCs w:val="20"/>
              </w:rPr>
              <w:t>304</w:t>
            </w:r>
            <w:r w:rsidR="00372CC0" w:rsidRPr="0005109D">
              <w:rPr>
                <w:rFonts w:ascii="Arial" w:eastAsia="Arial" w:hAnsi="Arial" w:cs="Arial"/>
                <w:sz w:val="20"/>
                <w:szCs w:val="20"/>
              </w:rPr>
              <w:t xml:space="preserve"> mil. EUR.</w:t>
            </w:r>
          </w:p>
          <w:p w14:paraId="1A4F106D" w14:textId="77777777" w:rsidR="002A326C" w:rsidRPr="0005109D" w:rsidRDefault="002A326C" w:rsidP="00BB3DF7">
            <w:pPr>
              <w:spacing w:after="120"/>
              <w:ind w:left="136" w:right="238"/>
              <w:rPr>
                <w:rFonts w:ascii="Arial" w:hAnsi="Arial" w:cs="Arial"/>
                <w:b/>
                <w:sz w:val="20"/>
                <w:szCs w:val="20"/>
              </w:rPr>
            </w:pPr>
            <w:r w:rsidRPr="0005109D">
              <w:rPr>
                <w:rFonts w:ascii="Arial" w:hAnsi="Arial" w:cs="Arial"/>
                <w:b/>
                <w:sz w:val="20"/>
                <w:szCs w:val="20"/>
              </w:rPr>
              <w:t>IP1.1</w:t>
            </w:r>
            <w:r w:rsidR="0045118F" w:rsidRPr="0005109D">
              <w:rPr>
                <w:rFonts w:ascii="Arial" w:hAnsi="Arial" w:cs="Arial"/>
                <w:b/>
                <w:sz w:val="20"/>
                <w:szCs w:val="20"/>
              </w:rPr>
              <w:t xml:space="preserve"> „Přístup k zaměstnání pro osoby hledající zaměstnání a neaktivní osoby, včetně místních iniciativ na podporu zaměstnanosti a mobility pracovníků“</w:t>
            </w:r>
          </w:p>
          <w:p w14:paraId="1A4F106F" w14:textId="1FD37AFE" w:rsidR="0084648D" w:rsidRPr="0005109D" w:rsidRDefault="002A326C" w:rsidP="00BB3DF7">
            <w:pPr>
              <w:spacing w:after="120"/>
              <w:ind w:left="136" w:right="238"/>
              <w:rPr>
                <w:rFonts w:ascii="Arial" w:hAnsi="Arial" w:cs="Arial"/>
                <w:sz w:val="20"/>
                <w:szCs w:val="20"/>
              </w:rPr>
            </w:pPr>
            <w:r w:rsidRPr="0005109D">
              <w:rPr>
                <w:rFonts w:ascii="Arial" w:hAnsi="Arial" w:cs="Arial"/>
                <w:sz w:val="20"/>
                <w:szCs w:val="20"/>
              </w:rPr>
              <w:t>Naplnění tematického cíle 8i (Přístup k zaměstnání pro osoby hledající zaměstnání a neaktivní osoby, včetně dlouhodobě nezaměstnaných a osob vzdálených trhu práce, také prostřednictvím místních iniciativ na podporu zaměstnanosti a mobility pracovníků) pro IP1.1 bude probíhat prostřednictvím projektů realizovaných v příslušných výzvách.</w:t>
            </w:r>
          </w:p>
          <w:p w14:paraId="366C7641" w14:textId="64C0E0C2" w:rsidR="00A26D02" w:rsidRPr="0005109D" w:rsidRDefault="00A26D02" w:rsidP="00BB3DF7">
            <w:pPr>
              <w:spacing w:after="120"/>
              <w:ind w:left="136" w:right="238"/>
              <w:rPr>
                <w:rFonts w:ascii="Arial" w:hAnsi="Arial" w:cs="Arial"/>
                <w:sz w:val="20"/>
                <w:szCs w:val="20"/>
              </w:rPr>
            </w:pPr>
            <w:r w:rsidRPr="0005109D">
              <w:rPr>
                <w:rFonts w:ascii="Arial" w:hAnsi="Arial" w:cs="Arial"/>
                <w:sz w:val="20"/>
                <w:szCs w:val="20"/>
              </w:rPr>
              <w:t xml:space="preserve">IP1.1 je realizována prostřednictvím 14 výzev, ve kterých bylo předloženo celkem 1 408 žádostí v celkovém objemu </w:t>
            </w:r>
            <w:r w:rsidR="00123289">
              <w:rPr>
                <w:rFonts w:ascii="Arial" w:hAnsi="Arial" w:cs="Arial"/>
                <w:sz w:val="20"/>
                <w:szCs w:val="20"/>
              </w:rPr>
              <w:t>961</w:t>
            </w:r>
            <w:r w:rsidRPr="0005109D">
              <w:rPr>
                <w:rFonts w:ascii="Arial" w:hAnsi="Arial" w:cs="Arial"/>
                <w:sz w:val="20"/>
                <w:szCs w:val="20"/>
              </w:rPr>
              <w:t xml:space="preserve"> mil. EUR a uzavřeno 475 právních aktů v celkovém objemu 786 mil. EUR.</w:t>
            </w:r>
          </w:p>
          <w:p w14:paraId="1EAC0DA8" w14:textId="3F2CE912" w:rsidR="00E87B48" w:rsidRPr="0005109D" w:rsidRDefault="00E87B48" w:rsidP="00BB3DF7">
            <w:pPr>
              <w:spacing w:after="120"/>
              <w:ind w:left="136" w:right="238"/>
              <w:rPr>
                <w:rFonts w:ascii="Arial" w:hAnsi="Arial" w:cs="Arial"/>
                <w:sz w:val="20"/>
                <w:szCs w:val="20"/>
              </w:rPr>
            </w:pPr>
            <w:r w:rsidRPr="0005109D">
              <w:rPr>
                <w:rFonts w:ascii="Arial" w:hAnsi="Arial" w:cs="Arial"/>
                <w:b/>
                <w:bCs/>
                <w:sz w:val="20"/>
                <w:szCs w:val="20"/>
              </w:rPr>
              <w:t>V rámci IP 1.1</w:t>
            </w:r>
            <w:r w:rsidRPr="0005109D">
              <w:rPr>
                <w:rFonts w:ascii="Arial" w:hAnsi="Arial" w:cs="Arial"/>
                <w:sz w:val="20"/>
                <w:szCs w:val="20"/>
              </w:rPr>
              <w:t xml:space="preserve"> bylo ve výzvě č. </w:t>
            </w:r>
            <w:r w:rsidRPr="0005109D">
              <w:rPr>
                <w:rFonts w:ascii="Arial" w:hAnsi="Arial" w:cs="Arial"/>
                <w:b/>
                <w:sz w:val="20"/>
                <w:szCs w:val="20"/>
              </w:rPr>
              <w:t>4 „Záruky pro mladé</w:t>
            </w:r>
            <w:r w:rsidRPr="0005109D">
              <w:rPr>
                <w:rFonts w:ascii="Arial" w:hAnsi="Arial" w:cs="Arial"/>
                <w:sz w:val="20"/>
                <w:szCs w:val="20"/>
              </w:rPr>
              <w:t xml:space="preserve">“ (příjemce ÚP ČR) ke konci roku 2020 v realizaci 13 projektů Záruky pro mladé v celkové výši cca 50,9 mil. EUR. U výzvy č. </w:t>
            </w:r>
            <w:r w:rsidRPr="0005109D">
              <w:rPr>
                <w:rFonts w:ascii="Arial" w:hAnsi="Arial" w:cs="Arial"/>
                <w:b/>
                <w:sz w:val="20"/>
                <w:szCs w:val="20"/>
              </w:rPr>
              <w:t xml:space="preserve">10 „Realizace projektů zaměřených na řešení specifických problémů na regionální úrovni pomocí kombinace nástrojů APZ“ </w:t>
            </w:r>
            <w:r w:rsidRPr="0005109D">
              <w:rPr>
                <w:rFonts w:ascii="Arial" w:hAnsi="Arial" w:cs="Arial"/>
                <w:sz w:val="20"/>
                <w:szCs w:val="20"/>
              </w:rPr>
              <w:t>(příjemce ÚP ČR) bylo v realizaci 37 projektů v celkové výši 106,05 mil. EUR.</w:t>
            </w:r>
          </w:p>
          <w:p w14:paraId="4994A5A5" w14:textId="549DECC4" w:rsidR="00E87B48" w:rsidRPr="0005109D" w:rsidRDefault="00E87B48" w:rsidP="00BB3DF7">
            <w:pPr>
              <w:spacing w:after="120"/>
              <w:ind w:left="136" w:right="238"/>
              <w:rPr>
                <w:rFonts w:ascii="Arial" w:hAnsi="Arial" w:cs="Arial"/>
                <w:sz w:val="20"/>
                <w:szCs w:val="20"/>
              </w:rPr>
            </w:pPr>
            <w:r w:rsidRPr="0005109D">
              <w:rPr>
                <w:rFonts w:ascii="Arial" w:hAnsi="Arial" w:cs="Arial"/>
                <w:sz w:val="20"/>
                <w:szCs w:val="20"/>
              </w:rPr>
              <w:t xml:space="preserve">Ve výzvě č. </w:t>
            </w:r>
            <w:r w:rsidRPr="0005109D">
              <w:rPr>
                <w:rFonts w:ascii="Arial" w:hAnsi="Arial" w:cs="Arial"/>
                <w:b/>
                <w:bCs/>
                <w:sz w:val="20"/>
                <w:szCs w:val="20"/>
              </w:rPr>
              <w:t>121 „Nástroje APZ II“</w:t>
            </w:r>
            <w:r w:rsidRPr="0005109D">
              <w:rPr>
                <w:rFonts w:ascii="Arial" w:hAnsi="Arial" w:cs="Arial"/>
                <w:sz w:val="20"/>
                <w:szCs w:val="20"/>
              </w:rPr>
              <w:t xml:space="preserve"> pokračovala v průběhu roku 2020 realizace projektu „Podpora zaměstnanosti dlouhodobě evidovaných uchazečů o zaměstnání“ s celkovou alokací ve výši 55,4 mil. EUR a projektu „Vzdělávání a dovednosti pro trh práce II“ s celkovou alokací ve výši 57,3 mil. EUR.</w:t>
            </w:r>
          </w:p>
          <w:p w14:paraId="2B60AA27" w14:textId="33FFDE2C" w:rsidR="00A26D02" w:rsidRPr="0005109D" w:rsidRDefault="00E87B48" w:rsidP="00BB3DF7">
            <w:pPr>
              <w:spacing w:after="120"/>
              <w:ind w:left="136" w:right="238"/>
              <w:rPr>
                <w:rFonts w:ascii="Arial" w:hAnsi="Arial" w:cs="Arial"/>
                <w:sz w:val="20"/>
                <w:szCs w:val="20"/>
              </w:rPr>
            </w:pPr>
            <w:r w:rsidRPr="0005109D">
              <w:rPr>
                <w:rFonts w:ascii="Arial" w:hAnsi="Arial" w:cs="Arial"/>
                <w:sz w:val="20"/>
                <w:szCs w:val="20"/>
              </w:rPr>
              <w:t xml:space="preserve">V oblasti soutěžních projektů (včetně ITI a IPRÚ) o objemu 91,83 mil EUR nebyly s ohledem na blížící se konec programového období již vyhlašovány nové výzvy a v roce 2020 u tohoto typu projektů (na IP 1.1 jedná se o lokální projekty zejména neziskových a vzdělávacích organizací zaměřených na různé skupiny nezaměstnaných osob) většinově pokračovala jejich realizace, případně byla jejich realizace postupně ukončována dle původních plánů či naopak prodlužována. Hlavními důvody prodlužování projektů </w:t>
            </w:r>
            <w:r w:rsidRPr="0005109D">
              <w:rPr>
                <w:rFonts w:ascii="Arial" w:hAnsi="Arial" w:cs="Arial"/>
                <w:sz w:val="20"/>
                <w:szCs w:val="20"/>
              </w:rPr>
              <w:lastRenderedPageBreak/>
              <w:t>byla epidemiologická opatření dopadající především na realizaci vzdělávacích kurzů a skupinových poradenských aktivit, ale také zvýšená zdravotní rizika u některých skupin účastníků, např. u osob se zdravotním postižením. Projekty prodlužovaly svoji realizaci z důvodu epidemie v průměru zatím o jednotky měsíců až o půlrok.</w:t>
            </w:r>
          </w:p>
          <w:p w14:paraId="1A4F107C" w14:textId="77777777" w:rsidR="002A326C" w:rsidRPr="0005109D" w:rsidRDefault="002A326C" w:rsidP="00BB3DF7">
            <w:pPr>
              <w:spacing w:after="120"/>
              <w:ind w:left="136" w:right="238"/>
              <w:rPr>
                <w:rFonts w:ascii="Arial" w:hAnsi="Arial" w:cs="Arial"/>
                <w:b/>
                <w:sz w:val="20"/>
                <w:szCs w:val="20"/>
              </w:rPr>
            </w:pPr>
            <w:r w:rsidRPr="0005109D">
              <w:rPr>
                <w:rFonts w:ascii="Arial" w:hAnsi="Arial" w:cs="Arial"/>
                <w:b/>
                <w:sz w:val="20"/>
                <w:szCs w:val="20"/>
              </w:rPr>
              <w:t>IP1.2</w:t>
            </w:r>
            <w:r w:rsidR="0045118F" w:rsidRPr="0005109D">
              <w:rPr>
                <w:rFonts w:ascii="Arial" w:hAnsi="Arial" w:cs="Arial"/>
                <w:sz w:val="20"/>
                <w:szCs w:val="20"/>
              </w:rPr>
              <w:t xml:space="preserve"> „</w:t>
            </w:r>
            <w:r w:rsidR="0045118F" w:rsidRPr="0005109D">
              <w:rPr>
                <w:rFonts w:ascii="Arial" w:hAnsi="Arial" w:cs="Arial"/>
                <w:b/>
                <w:sz w:val="20"/>
                <w:szCs w:val="20"/>
              </w:rPr>
              <w:t>Rovnost žen a mužů a sladění pracovního a soukromého života“</w:t>
            </w:r>
          </w:p>
          <w:p w14:paraId="06D36ADD" w14:textId="3917BC5C" w:rsidR="00287562" w:rsidRPr="0005109D" w:rsidRDefault="002A326C" w:rsidP="00BB3DF7">
            <w:pPr>
              <w:spacing w:after="120"/>
              <w:ind w:left="136" w:right="238"/>
              <w:rPr>
                <w:rFonts w:ascii="Arial" w:hAnsi="Arial" w:cs="Arial"/>
                <w:sz w:val="20"/>
                <w:szCs w:val="20"/>
              </w:rPr>
            </w:pPr>
            <w:r w:rsidRPr="0005109D">
              <w:rPr>
                <w:rFonts w:ascii="Arial" w:hAnsi="Arial" w:cs="Arial"/>
                <w:sz w:val="20"/>
                <w:szCs w:val="20"/>
              </w:rPr>
              <w:t>Naplnění tematického cíle 8iv (Rovnost žen a mužů ve všech oblastec</w:t>
            </w:r>
            <w:r w:rsidR="009F161C" w:rsidRPr="0005109D">
              <w:rPr>
                <w:rFonts w:ascii="Arial" w:hAnsi="Arial" w:cs="Arial"/>
                <w:sz w:val="20"/>
                <w:szCs w:val="20"/>
              </w:rPr>
              <w:t>h, a to i pokud jde o přístup k </w:t>
            </w:r>
            <w:r w:rsidRPr="0005109D">
              <w:rPr>
                <w:rFonts w:ascii="Arial" w:hAnsi="Arial" w:cs="Arial"/>
                <w:sz w:val="20"/>
                <w:szCs w:val="20"/>
              </w:rPr>
              <w:t>zaměstnání a kariérní postup, sladění pracovního a soukromého života a podpora stejné odměny za stejnou práci) pro IP 1.2 bude probíhat prostřednictvím projektů realizovaných v příslušných výzvách.</w:t>
            </w:r>
          </w:p>
          <w:p w14:paraId="70A55B0A" w14:textId="53622EA4" w:rsidR="00E70E7B" w:rsidRPr="0005109D" w:rsidRDefault="00A26D02" w:rsidP="00BB3DF7">
            <w:pPr>
              <w:spacing w:after="120"/>
              <w:ind w:left="136" w:right="238"/>
              <w:rPr>
                <w:rFonts w:ascii="Arial" w:hAnsi="Arial" w:cs="Arial"/>
                <w:sz w:val="20"/>
                <w:szCs w:val="20"/>
              </w:rPr>
            </w:pPr>
            <w:r w:rsidRPr="0005109D">
              <w:rPr>
                <w:rFonts w:ascii="Arial" w:hAnsi="Arial" w:cs="Arial"/>
                <w:sz w:val="20"/>
                <w:szCs w:val="20"/>
              </w:rPr>
              <w:t>IP1.2 je realizována prostřednictvím 30 výzev</w:t>
            </w:r>
            <w:r w:rsidR="00C121D0" w:rsidRPr="0005109D">
              <w:rPr>
                <w:rFonts w:ascii="Arial" w:hAnsi="Arial" w:cs="Arial"/>
                <w:sz w:val="20"/>
                <w:szCs w:val="20"/>
              </w:rPr>
              <w:t xml:space="preserve"> v celkovém objemu 404 mil. EUR. Předloženo</w:t>
            </w:r>
            <w:r w:rsidRPr="0005109D">
              <w:rPr>
                <w:rFonts w:ascii="Arial" w:hAnsi="Arial" w:cs="Arial"/>
                <w:sz w:val="20"/>
                <w:szCs w:val="20"/>
              </w:rPr>
              <w:t xml:space="preserve"> </w:t>
            </w:r>
            <w:r w:rsidR="00C121D0" w:rsidRPr="0005109D">
              <w:rPr>
                <w:rFonts w:ascii="Arial" w:hAnsi="Arial" w:cs="Arial"/>
                <w:sz w:val="20"/>
                <w:szCs w:val="20"/>
              </w:rPr>
              <w:t xml:space="preserve">bylo </w:t>
            </w:r>
            <w:r w:rsidRPr="0005109D">
              <w:rPr>
                <w:rFonts w:ascii="Arial" w:hAnsi="Arial" w:cs="Arial"/>
                <w:sz w:val="20"/>
                <w:szCs w:val="20"/>
              </w:rPr>
              <w:t>celkem 4 694 žádostí v celkovém objemu 550 mil. EUR a uzavřeno 2 870 právních aktů v celkovém objemu 338 mil. EUR.</w:t>
            </w:r>
          </w:p>
          <w:p w14:paraId="040FD4FD" w14:textId="5E414540" w:rsidR="00E70E7B" w:rsidRPr="0005109D" w:rsidRDefault="00551AE6" w:rsidP="00BB3DF7">
            <w:pPr>
              <w:spacing w:after="120"/>
              <w:ind w:left="136" w:right="238"/>
              <w:rPr>
                <w:rFonts w:ascii="Arial" w:hAnsi="Arial" w:cs="Arial"/>
                <w:sz w:val="20"/>
                <w:szCs w:val="20"/>
              </w:rPr>
            </w:pPr>
            <w:r w:rsidRPr="0005109D">
              <w:rPr>
                <w:rFonts w:ascii="Arial" w:hAnsi="Arial" w:cs="Arial"/>
                <w:sz w:val="20"/>
                <w:szCs w:val="20"/>
              </w:rPr>
              <w:t>Probíhal</w:t>
            </w:r>
            <w:r w:rsidR="00E70E7B" w:rsidRPr="0005109D">
              <w:rPr>
                <w:rFonts w:ascii="Arial" w:hAnsi="Arial" w:cs="Arial"/>
                <w:sz w:val="20"/>
                <w:szCs w:val="20"/>
              </w:rPr>
              <w:t xml:space="preserve"> příjem žádostí, hodnocení a následné vydávání právních aktů ve výzvách </w:t>
            </w:r>
            <w:r w:rsidR="00287562" w:rsidRPr="0005109D">
              <w:rPr>
                <w:rFonts w:ascii="Arial" w:hAnsi="Arial" w:cs="Arial"/>
                <w:sz w:val="20"/>
                <w:szCs w:val="20"/>
              </w:rPr>
              <w:t xml:space="preserve">č. </w:t>
            </w:r>
            <w:r w:rsidR="00E70E7B" w:rsidRPr="0005109D">
              <w:rPr>
                <w:rFonts w:ascii="Arial" w:hAnsi="Arial" w:cs="Arial"/>
                <w:b/>
                <w:bCs/>
                <w:sz w:val="20"/>
                <w:szCs w:val="20"/>
              </w:rPr>
              <w:t>101</w:t>
            </w:r>
            <w:r w:rsidR="00E70E7B" w:rsidRPr="0005109D">
              <w:rPr>
                <w:rFonts w:ascii="Arial" w:hAnsi="Arial" w:cs="Arial"/>
                <w:sz w:val="20"/>
                <w:szCs w:val="20"/>
              </w:rPr>
              <w:t xml:space="preserve"> </w:t>
            </w:r>
            <w:r w:rsidR="00440885" w:rsidRPr="0005109D">
              <w:rPr>
                <w:rFonts w:ascii="Arial" w:hAnsi="Arial" w:cs="Arial"/>
                <w:b/>
                <w:sz w:val="20"/>
                <w:szCs w:val="20"/>
              </w:rPr>
              <w:t xml:space="preserve">„Podpora dětských skupin pro podniky i veřejnost - dotace na provoz mimo Prahu“ </w:t>
            </w:r>
            <w:r w:rsidR="00E70E7B" w:rsidRPr="0005109D">
              <w:rPr>
                <w:rFonts w:ascii="Arial" w:hAnsi="Arial" w:cs="Arial"/>
                <w:sz w:val="20"/>
                <w:szCs w:val="20"/>
              </w:rPr>
              <w:t xml:space="preserve">a </w:t>
            </w:r>
            <w:r w:rsidR="00E70E7B" w:rsidRPr="0005109D">
              <w:rPr>
                <w:rFonts w:ascii="Arial" w:hAnsi="Arial" w:cs="Arial"/>
                <w:b/>
                <w:bCs/>
                <w:sz w:val="20"/>
                <w:szCs w:val="20"/>
              </w:rPr>
              <w:t>103</w:t>
            </w:r>
            <w:r w:rsidR="00E70E7B" w:rsidRPr="0005109D">
              <w:rPr>
                <w:rFonts w:ascii="Arial" w:hAnsi="Arial" w:cs="Arial"/>
                <w:sz w:val="20"/>
                <w:szCs w:val="20"/>
              </w:rPr>
              <w:t xml:space="preserve"> </w:t>
            </w:r>
            <w:r w:rsidR="00440885" w:rsidRPr="0005109D">
              <w:rPr>
                <w:rFonts w:ascii="Arial" w:hAnsi="Arial" w:cs="Arial"/>
                <w:b/>
                <w:sz w:val="20"/>
                <w:szCs w:val="20"/>
              </w:rPr>
              <w:t>„Podpora dětských skupin pro podniky i veřejnost - dotace na provoz v Praze“</w:t>
            </w:r>
            <w:r w:rsidR="00E70E7B" w:rsidRPr="0005109D">
              <w:rPr>
                <w:rFonts w:ascii="Arial" w:hAnsi="Arial" w:cs="Arial"/>
                <w:sz w:val="20"/>
                <w:szCs w:val="20"/>
              </w:rPr>
              <w:t>. V rámci těchto výzev jsou podpořeny pouze ty dětské skupiny</w:t>
            </w:r>
            <w:r w:rsidR="00FC1BC3" w:rsidRPr="0005109D">
              <w:rPr>
                <w:rFonts w:ascii="Arial" w:hAnsi="Arial" w:cs="Arial"/>
                <w:sz w:val="20"/>
                <w:szCs w:val="20"/>
              </w:rPr>
              <w:t xml:space="preserve"> (DS)</w:t>
            </w:r>
            <w:r w:rsidR="00E70E7B" w:rsidRPr="0005109D">
              <w:rPr>
                <w:rFonts w:ascii="Arial" w:hAnsi="Arial" w:cs="Arial"/>
                <w:sz w:val="20"/>
                <w:szCs w:val="20"/>
              </w:rPr>
              <w:t>, které již dříve realizovaly projekt v OPZ a je tak tedy zajištěn jejich kontinuální provoz.</w:t>
            </w:r>
          </w:p>
          <w:p w14:paraId="6E6A9924" w14:textId="74F0C9B8" w:rsidR="00E70E7B" w:rsidRPr="0005109D" w:rsidRDefault="00440885" w:rsidP="00BB3DF7">
            <w:pPr>
              <w:spacing w:after="120"/>
              <w:ind w:left="136" w:right="238"/>
              <w:rPr>
                <w:rFonts w:ascii="Arial" w:hAnsi="Arial" w:cs="Arial"/>
                <w:sz w:val="20"/>
                <w:szCs w:val="20"/>
              </w:rPr>
            </w:pPr>
            <w:r w:rsidRPr="0005109D">
              <w:rPr>
                <w:rFonts w:ascii="Arial" w:hAnsi="Arial" w:cs="Arial"/>
                <w:sz w:val="20"/>
                <w:szCs w:val="20"/>
              </w:rPr>
              <w:t xml:space="preserve">Na podporu dětských skupin bylo dosud </w:t>
            </w:r>
            <w:r w:rsidR="00E70E7B" w:rsidRPr="0005109D">
              <w:rPr>
                <w:rFonts w:ascii="Arial" w:hAnsi="Arial" w:cs="Arial"/>
                <w:sz w:val="20"/>
                <w:szCs w:val="20"/>
              </w:rPr>
              <w:t>vyhlášeno celkem 11 výzev na s</w:t>
            </w:r>
            <w:r w:rsidRPr="0005109D">
              <w:rPr>
                <w:rFonts w:ascii="Arial" w:hAnsi="Arial" w:cs="Arial"/>
                <w:sz w:val="20"/>
                <w:szCs w:val="20"/>
              </w:rPr>
              <w:t xml:space="preserve"> celkovou</w:t>
            </w:r>
            <w:r w:rsidR="00E70E7B" w:rsidRPr="0005109D">
              <w:rPr>
                <w:rFonts w:ascii="Arial" w:hAnsi="Arial" w:cs="Arial"/>
                <w:sz w:val="20"/>
                <w:szCs w:val="20"/>
              </w:rPr>
              <w:t xml:space="preserve"> alokací 298,</w:t>
            </w:r>
            <w:r w:rsidR="00BF69B7" w:rsidRPr="0005109D">
              <w:rPr>
                <w:rFonts w:ascii="Arial" w:hAnsi="Arial" w:cs="Arial"/>
                <w:sz w:val="20"/>
                <w:szCs w:val="20"/>
              </w:rPr>
              <w:t>8</w:t>
            </w:r>
            <w:r w:rsidR="00E70E7B" w:rsidRPr="0005109D">
              <w:rPr>
                <w:rFonts w:ascii="Arial" w:hAnsi="Arial" w:cs="Arial"/>
                <w:sz w:val="20"/>
                <w:szCs w:val="20"/>
              </w:rPr>
              <w:t xml:space="preserve"> mil. EUR.</w:t>
            </w:r>
            <w:r w:rsidR="00FC1BC3" w:rsidRPr="0005109D">
              <w:rPr>
                <w:rFonts w:ascii="Arial" w:hAnsi="Arial" w:cs="Arial"/>
                <w:sz w:val="20"/>
                <w:szCs w:val="20"/>
              </w:rPr>
              <w:t xml:space="preserve"> Celkem bylo v realizaci nebo v ukončené realizaci </w:t>
            </w:r>
            <w:r w:rsidR="00E70E7B" w:rsidRPr="0005109D">
              <w:rPr>
                <w:rFonts w:ascii="Arial" w:hAnsi="Arial" w:cs="Arial"/>
                <w:sz w:val="20"/>
                <w:szCs w:val="20"/>
              </w:rPr>
              <w:t>2</w:t>
            </w:r>
            <w:r w:rsidR="00FC1BC3" w:rsidRPr="0005109D">
              <w:rPr>
                <w:rFonts w:ascii="Arial" w:hAnsi="Arial" w:cs="Arial"/>
                <w:sz w:val="20"/>
                <w:szCs w:val="20"/>
              </w:rPr>
              <w:t> </w:t>
            </w:r>
            <w:r w:rsidR="00E70E7B" w:rsidRPr="0005109D">
              <w:rPr>
                <w:rFonts w:ascii="Arial" w:hAnsi="Arial" w:cs="Arial"/>
                <w:sz w:val="20"/>
                <w:szCs w:val="20"/>
              </w:rPr>
              <w:t>10</w:t>
            </w:r>
            <w:r w:rsidR="00BF69B7" w:rsidRPr="0005109D">
              <w:rPr>
                <w:rFonts w:ascii="Arial" w:hAnsi="Arial" w:cs="Arial"/>
                <w:sz w:val="20"/>
                <w:szCs w:val="20"/>
              </w:rPr>
              <w:t>7</w:t>
            </w:r>
            <w:r w:rsidR="00FC1BC3" w:rsidRPr="0005109D">
              <w:rPr>
                <w:rFonts w:ascii="Arial" w:hAnsi="Arial" w:cs="Arial"/>
                <w:sz w:val="20"/>
                <w:szCs w:val="20"/>
              </w:rPr>
              <w:t xml:space="preserve"> projektů, a to v celkovém objemu</w:t>
            </w:r>
            <w:r w:rsidR="00E70E7B" w:rsidRPr="0005109D">
              <w:rPr>
                <w:rFonts w:ascii="Arial" w:hAnsi="Arial" w:cs="Arial"/>
                <w:sz w:val="20"/>
                <w:szCs w:val="20"/>
              </w:rPr>
              <w:t xml:space="preserve"> 241 mil. EUR. </w:t>
            </w:r>
            <w:r w:rsidR="00FC1BC3" w:rsidRPr="0005109D">
              <w:rPr>
                <w:rFonts w:ascii="Arial" w:hAnsi="Arial" w:cs="Arial"/>
                <w:sz w:val="20"/>
                <w:szCs w:val="20"/>
              </w:rPr>
              <w:t>D</w:t>
            </w:r>
            <w:r w:rsidR="00E70E7B" w:rsidRPr="0005109D">
              <w:rPr>
                <w:rFonts w:ascii="Arial" w:hAnsi="Arial" w:cs="Arial"/>
                <w:sz w:val="20"/>
                <w:szCs w:val="20"/>
              </w:rPr>
              <w:t xml:space="preserve">osud </w:t>
            </w:r>
            <w:r w:rsidR="00FC1BC3" w:rsidRPr="0005109D">
              <w:rPr>
                <w:rFonts w:ascii="Arial" w:hAnsi="Arial" w:cs="Arial"/>
                <w:sz w:val="20"/>
                <w:szCs w:val="20"/>
              </w:rPr>
              <w:t xml:space="preserve">bylo </w:t>
            </w:r>
            <w:r w:rsidR="00E70E7B" w:rsidRPr="0005109D">
              <w:rPr>
                <w:rFonts w:ascii="Arial" w:hAnsi="Arial" w:cs="Arial"/>
                <w:sz w:val="20"/>
                <w:szCs w:val="20"/>
              </w:rPr>
              <w:t>podpořeno 1 124 zařízení s kapacitou 14 757 míst, z toho nově vzniklo 769 dětských skupin s kapacitou 9 362 míst (zbývající DS již existovaly dříve a z OPZ byl podpořen jejich další provoz).</w:t>
            </w:r>
          </w:p>
          <w:p w14:paraId="0A81F2DE" w14:textId="04545467" w:rsidR="00E70E7B" w:rsidRPr="0005109D" w:rsidRDefault="00E70E7B" w:rsidP="00BB3DF7">
            <w:pPr>
              <w:spacing w:after="120"/>
              <w:ind w:left="136" w:right="238"/>
              <w:rPr>
                <w:rFonts w:ascii="Arial" w:hAnsi="Arial" w:cs="Arial"/>
                <w:sz w:val="20"/>
                <w:szCs w:val="20"/>
              </w:rPr>
            </w:pPr>
            <w:r w:rsidRPr="0005109D">
              <w:rPr>
                <w:rFonts w:ascii="Arial" w:hAnsi="Arial" w:cs="Arial"/>
                <w:sz w:val="20"/>
                <w:szCs w:val="20"/>
              </w:rPr>
              <w:t xml:space="preserve">Společně s dětskými skupinami jsou v rámci OPZ podporována také zařízení péče o děti ve věku od 6 měsíců do 3 let včetně, tzv. mikrojesle. Za celé OPZ byly vyhlášeny celkem 4 výzvy s alokací 16,6 mil. EUR. Na projekty v realizaci či s ukončenou realizací, kterých bylo ke konci roku 2020 170, bylo schváleno 14,5 mil. Kč. Dosud bylo podpořeno 108 zařízení s kapacitou 432 míst. </w:t>
            </w:r>
          </w:p>
          <w:p w14:paraId="22AA8003" w14:textId="361ADFA3" w:rsidR="001C116D" w:rsidRPr="0005109D" w:rsidRDefault="001C116D" w:rsidP="00BB3DF7">
            <w:pPr>
              <w:spacing w:after="120"/>
              <w:ind w:left="136" w:right="238"/>
              <w:rPr>
                <w:rFonts w:ascii="Arial" w:hAnsi="Arial" w:cs="Arial"/>
                <w:sz w:val="20"/>
                <w:szCs w:val="20"/>
              </w:rPr>
            </w:pPr>
            <w:r w:rsidRPr="0005109D">
              <w:rPr>
                <w:rFonts w:ascii="Arial" w:hAnsi="Arial" w:cs="Arial"/>
                <w:sz w:val="20"/>
                <w:szCs w:val="20"/>
              </w:rPr>
              <w:t>V roce 2020 byly vydány dvě výjimky z výpočtu obsazenosti dětských skupin, obdobně bylo postupováno u projektů dětských skupin, financovaných v režimu vykazování skutečných nákladů ve výzvě č. 47 a i u projektů mikrojeslí. Výjimky z výpočtu obsazenosti u dětských skupin umožňují příjemcům nezapočítat dobu, po kterou trvalo omezení z důvodu epidemiologické situace COVID-19, do výpočtu obsazenosti, ze které se vypočítává výše způsobilé částky dotace. Výjimky eliminují negativní dopad vyšší nepřítomnosti dětí (tj. nízké obsazenosti z objektivních důvodů, nebo uzavření z důvodu celostátních opatření), resp. dotace se o tyto dny nesnižuje. Období platnosti výjimky č. I je od 11.3.2020 do 30.6.2020 (odkaz: https://www.esfcr.cz/pravidla-pro-zadatele-a-prijemce-opz/-/dokument/13514181),období platnosti výjimky č. II je od 18.9.2020 do 30.6.2021 (odkaz: https://www.esfcr.cz/pravidla-pro-zadatele-a-prijemce-opz/-/dokument/14729069). Mikrojesle si v obdobných případech mohou nárokovat 100% mzdové náklady.</w:t>
            </w:r>
          </w:p>
          <w:p w14:paraId="0A26443C" w14:textId="750C7773" w:rsidR="00E70E7B" w:rsidRPr="0005109D" w:rsidRDefault="00E70E7B" w:rsidP="00BB3DF7">
            <w:pPr>
              <w:spacing w:after="120"/>
              <w:ind w:left="136" w:right="238"/>
              <w:rPr>
                <w:rFonts w:ascii="Arial" w:hAnsi="Arial" w:cs="Arial"/>
                <w:sz w:val="20"/>
                <w:szCs w:val="20"/>
              </w:rPr>
            </w:pPr>
            <w:r w:rsidRPr="0005109D">
              <w:rPr>
                <w:rFonts w:ascii="Arial" w:hAnsi="Arial" w:cs="Arial"/>
                <w:sz w:val="20"/>
                <w:szCs w:val="20"/>
              </w:rPr>
              <w:lastRenderedPageBreak/>
              <w:t>V souvislost s dětskými skupinami a mikrojeslemi lze v roce 2021 očekávat změny, vzhledem k návrhu novely zákona č. 247/2014 zákona o poskytování služby péče o dítě v dětské skupině a o změně souvisejících zákonů. Změny by se měly dotknout samotného názvu zařízení, kdy by dětské skupiny měly být přejmenovány na jesle. Nově by měl být zaveden požadavek na novou profesní kvalifikaci Chůva pro děti v jeslích. Nejzásadnější změnou pak je přechod z financování provozu dětských skupin z OPZ na financování ze státního rozpočtu a ukončení podpory pro děti starší 3 let pro zařízení evidovaná od 1.7.2021. Tato zařízení tedy budou moci čerpat podporu (státní příspěvek) pouze na děti od 6 měsíců do 3 let (do 31. srpna po 3. narozeninách). Zařízení evidovaná do 30.6.2021 budou mít díky výjimce financována i místa pro děti ve věku do zahájení povinné školní docházky až do 31. 8. 2024.</w:t>
            </w:r>
          </w:p>
          <w:p w14:paraId="06E2CB9B" w14:textId="39D8CC21" w:rsidR="00551AE6" w:rsidRPr="0005109D" w:rsidRDefault="00E70E7B" w:rsidP="00BB3DF7">
            <w:pPr>
              <w:spacing w:after="120"/>
              <w:ind w:left="136" w:right="238"/>
              <w:rPr>
                <w:rFonts w:ascii="Arial" w:hAnsi="Arial" w:cs="Arial"/>
                <w:sz w:val="20"/>
                <w:szCs w:val="20"/>
              </w:rPr>
            </w:pPr>
            <w:r w:rsidRPr="0005109D">
              <w:rPr>
                <w:rFonts w:ascii="Arial" w:hAnsi="Arial" w:cs="Arial"/>
                <w:sz w:val="20"/>
                <w:szCs w:val="20"/>
              </w:rPr>
              <w:t xml:space="preserve">V lednu 2020 byla vyhlášena </w:t>
            </w:r>
            <w:r w:rsidR="00551AE6" w:rsidRPr="0005109D">
              <w:rPr>
                <w:rFonts w:ascii="Arial" w:hAnsi="Arial" w:cs="Arial"/>
                <w:sz w:val="20"/>
                <w:szCs w:val="20"/>
              </w:rPr>
              <w:t xml:space="preserve">nová </w:t>
            </w:r>
            <w:r w:rsidRPr="0005109D">
              <w:rPr>
                <w:rFonts w:ascii="Arial" w:hAnsi="Arial" w:cs="Arial"/>
                <w:sz w:val="20"/>
                <w:szCs w:val="20"/>
              </w:rPr>
              <w:t xml:space="preserve">výzva </w:t>
            </w:r>
            <w:r w:rsidRPr="0005109D">
              <w:rPr>
                <w:rFonts w:ascii="Arial" w:hAnsi="Arial" w:cs="Arial"/>
                <w:b/>
                <w:bCs/>
                <w:sz w:val="20"/>
                <w:szCs w:val="20"/>
              </w:rPr>
              <w:t xml:space="preserve">č. 107 </w:t>
            </w:r>
            <w:r w:rsidR="00551AE6" w:rsidRPr="0005109D">
              <w:rPr>
                <w:rFonts w:ascii="Arial" w:hAnsi="Arial" w:cs="Arial"/>
                <w:b/>
                <w:bCs/>
                <w:sz w:val="20"/>
                <w:szCs w:val="20"/>
              </w:rPr>
              <w:t xml:space="preserve">„Podpora zařízení </w:t>
            </w:r>
            <w:r w:rsidRPr="0005109D">
              <w:rPr>
                <w:rFonts w:ascii="Arial" w:hAnsi="Arial" w:cs="Arial"/>
                <w:b/>
                <w:bCs/>
                <w:sz w:val="20"/>
                <w:szCs w:val="20"/>
              </w:rPr>
              <w:t>péče o děti na 1. stupni základních škol v době mimo školní vyučování mimo hl. město Prahu</w:t>
            </w:r>
            <w:r w:rsidR="00551AE6" w:rsidRPr="0005109D">
              <w:rPr>
                <w:rFonts w:ascii="Arial" w:hAnsi="Arial" w:cs="Arial"/>
                <w:b/>
                <w:bCs/>
                <w:sz w:val="20"/>
                <w:szCs w:val="20"/>
              </w:rPr>
              <w:t>“</w:t>
            </w:r>
            <w:r w:rsidRPr="0005109D">
              <w:rPr>
                <w:rFonts w:ascii="Arial" w:hAnsi="Arial" w:cs="Arial"/>
                <w:sz w:val="20"/>
                <w:szCs w:val="20"/>
              </w:rPr>
              <w:t>. Z důvodu velkého zájmu žadatelů a potřebnosti podpory daných zařízení byla alokace výzvy navýšena na finálních 11,2 mil. EUR. Očekává se, že do realizace vstoupí 88 projektů.</w:t>
            </w:r>
          </w:p>
          <w:p w14:paraId="79145AEE" w14:textId="15555D23" w:rsidR="00E70E7B" w:rsidRPr="0005109D" w:rsidRDefault="00E70E7B" w:rsidP="00BB3DF7">
            <w:pPr>
              <w:spacing w:after="120"/>
              <w:ind w:left="136" w:right="238"/>
              <w:rPr>
                <w:rFonts w:ascii="Arial" w:hAnsi="Arial" w:cs="Arial"/>
                <w:sz w:val="20"/>
                <w:szCs w:val="20"/>
              </w:rPr>
            </w:pPr>
            <w:r w:rsidRPr="0005109D">
              <w:rPr>
                <w:rFonts w:ascii="Arial" w:hAnsi="Arial" w:cs="Arial"/>
                <w:sz w:val="20"/>
                <w:szCs w:val="20"/>
              </w:rPr>
              <w:t>Kapacita podpořených klubů je 5 952 míst, kapacita táborů je 4 654 míst (počty však nezohledňují případnou opakovanou podporu téhož zařízení v navazujících výzvách). Počty podpořených projektů budou ještě navýšeny o projekty výzvy č. 107, očekává se podpora 2482 míst v dětských klubech a 2897 v příměstských táborech.</w:t>
            </w:r>
          </w:p>
          <w:p w14:paraId="1CF151F3" w14:textId="02FA4A87" w:rsidR="00E70E7B" w:rsidRPr="0005109D" w:rsidRDefault="00E70E7B" w:rsidP="00BB3DF7">
            <w:pPr>
              <w:spacing w:after="120"/>
              <w:ind w:left="136" w:right="238"/>
              <w:rPr>
                <w:rFonts w:ascii="Arial" w:hAnsi="Arial" w:cs="Arial"/>
                <w:sz w:val="20"/>
                <w:szCs w:val="20"/>
              </w:rPr>
            </w:pPr>
            <w:r w:rsidRPr="0005109D">
              <w:rPr>
                <w:rFonts w:ascii="Arial" w:hAnsi="Arial" w:cs="Arial"/>
                <w:sz w:val="20"/>
                <w:szCs w:val="20"/>
              </w:rPr>
              <w:t xml:space="preserve">V roce 2020 začala svou realizaci většina podpořených projektů z výzvy </w:t>
            </w:r>
            <w:r w:rsidR="00551AE6" w:rsidRPr="0005109D">
              <w:rPr>
                <w:rFonts w:ascii="Arial" w:hAnsi="Arial" w:cs="Arial"/>
                <w:sz w:val="20"/>
                <w:szCs w:val="20"/>
              </w:rPr>
              <w:t xml:space="preserve">č. </w:t>
            </w:r>
            <w:r w:rsidRPr="0005109D">
              <w:rPr>
                <w:rFonts w:ascii="Arial" w:hAnsi="Arial" w:cs="Arial"/>
                <w:b/>
                <w:bCs/>
                <w:sz w:val="20"/>
                <w:szCs w:val="20"/>
              </w:rPr>
              <w:t>81</w:t>
            </w:r>
            <w:r w:rsidR="00551AE6" w:rsidRPr="0005109D">
              <w:rPr>
                <w:rFonts w:ascii="Arial" w:hAnsi="Arial" w:cs="Arial"/>
                <w:sz w:val="20"/>
                <w:szCs w:val="20"/>
              </w:rPr>
              <w:t xml:space="preserve"> </w:t>
            </w:r>
            <w:r w:rsidR="00551AE6" w:rsidRPr="0005109D">
              <w:rPr>
                <w:rFonts w:ascii="Arial" w:hAnsi="Arial" w:cs="Arial"/>
                <w:b/>
                <w:sz w:val="20"/>
                <w:szCs w:val="20"/>
              </w:rPr>
              <w:t>„Soutěžní projekty na podporu rovnosti žen a mužů v ČR mimo hl. města Prahy“</w:t>
            </w:r>
            <w:r w:rsidRPr="0005109D">
              <w:rPr>
                <w:rFonts w:ascii="Arial" w:hAnsi="Arial" w:cs="Arial"/>
                <w:sz w:val="20"/>
                <w:szCs w:val="20"/>
              </w:rPr>
              <w:t>. V této výzvě bylo podpořeno 38 projektů s finanční alokací 7,2 mil. EUR.</w:t>
            </w:r>
          </w:p>
          <w:p w14:paraId="70E1A9EC" w14:textId="4399515D" w:rsidR="00E70E7B" w:rsidRPr="0005109D" w:rsidRDefault="00E70E7B" w:rsidP="00BB3DF7">
            <w:pPr>
              <w:spacing w:after="120"/>
              <w:ind w:left="136" w:right="238"/>
              <w:rPr>
                <w:rFonts w:ascii="Arial" w:hAnsi="Arial" w:cs="Arial"/>
                <w:sz w:val="20"/>
                <w:szCs w:val="20"/>
              </w:rPr>
            </w:pPr>
            <w:r w:rsidRPr="0005109D">
              <w:rPr>
                <w:rFonts w:ascii="Arial" w:hAnsi="Arial" w:cs="Arial"/>
                <w:sz w:val="20"/>
                <w:szCs w:val="20"/>
              </w:rPr>
              <w:t xml:space="preserve">V realizaci v roce 2020 pokračovaly i projekty z výzev </w:t>
            </w:r>
            <w:r w:rsidR="00551AE6" w:rsidRPr="0005109D">
              <w:rPr>
                <w:rFonts w:ascii="Arial" w:hAnsi="Arial" w:cs="Arial"/>
                <w:sz w:val="20"/>
                <w:szCs w:val="20"/>
              </w:rPr>
              <w:t xml:space="preserve">č. </w:t>
            </w:r>
            <w:r w:rsidRPr="0005109D">
              <w:rPr>
                <w:rFonts w:ascii="Arial" w:hAnsi="Arial" w:cs="Arial"/>
                <w:b/>
                <w:bCs/>
                <w:sz w:val="20"/>
                <w:szCs w:val="20"/>
              </w:rPr>
              <w:t>130</w:t>
            </w:r>
            <w:r w:rsidR="00440885" w:rsidRPr="0005109D">
              <w:rPr>
                <w:rFonts w:ascii="Arial" w:hAnsi="Arial" w:cs="Arial"/>
                <w:b/>
                <w:bCs/>
                <w:sz w:val="20"/>
                <w:szCs w:val="20"/>
              </w:rPr>
              <w:t xml:space="preserve"> „Implementace doporučení genderového auditu u zaměstnavatelů mimo Prahu“</w:t>
            </w:r>
            <w:r w:rsidR="00440885" w:rsidRPr="0005109D">
              <w:rPr>
                <w:rFonts w:ascii="Arial" w:hAnsi="Arial" w:cs="Arial"/>
                <w:sz w:val="20"/>
                <w:szCs w:val="20"/>
              </w:rPr>
              <w:t xml:space="preserve"> </w:t>
            </w:r>
            <w:r w:rsidRPr="0005109D">
              <w:rPr>
                <w:rFonts w:ascii="Arial" w:hAnsi="Arial" w:cs="Arial"/>
                <w:sz w:val="20"/>
                <w:szCs w:val="20"/>
              </w:rPr>
              <w:t xml:space="preserve">a </w:t>
            </w:r>
            <w:r w:rsidRPr="0005109D">
              <w:rPr>
                <w:rFonts w:ascii="Arial" w:hAnsi="Arial" w:cs="Arial"/>
                <w:b/>
                <w:bCs/>
                <w:sz w:val="20"/>
                <w:szCs w:val="20"/>
              </w:rPr>
              <w:t>131</w:t>
            </w:r>
            <w:r w:rsidR="00440885" w:rsidRPr="0005109D">
              <w:rPr>
                <w:rFonts w:ascii="Arial" w:hAnsi="Arial" w:cs="Arial"/>
                <w:sz w:val="20"/>
                <w:szCs w:val="20"/>
              </w:rPr>
              <w:t xml:space="preserve"> </w:t>
            </w:r>
            <w:r w:rsidR="00440885" w:rsidRPr="0005109D">
              <w:rPr>
                <w:rFonts w:ascii="Arial" w:hAnsi="Arial" w:cs="Arial"/>
                <w:b/>
                <w:bCs/>
                <w:sz w:val="20"/>
                <w:szCs w:val="20"/>
              </w:rPr>
              <w:t>„Implementace doporučení genderového auditu u zaměstnavatelů v hl. m. Praze“</w:t>
            </w:r>
            <w:r w:rsidRPr="0005109D">
              <w:rPr>
                <w:rFonts w:ascii="Arial" w:hAnsi="Arial" w:cs="Arial"/>
                <w:sz w:val="20"/>
                <w:szCs w:val="20"/>
              </w:rPr>
              <w:t xml:space="preserve">, tj. výzev zaměřených na implementaci doporučení vzešlých z genderových auditů u zaměstnavatelů. </w:t>
            </w:r>
          </w:p>
          <w:p w14:paraId="1A4F1082" w14:textId="77777777" w:rsidR="002A326C" w:rsidRPr="0005109D" w:rsidRDefault="002A326C" w:rsidP="00BB3DF7">
            <w:pPr>
              <w:spacing w:after="120"/>
              <w:ind w:left="136" w:right="238"/>
              <w:rPr>
                <w:rFonts w:ascii="Arial" w:hAnsi="Arial" w:cs="Arial"/>
                <w:b/>
                <w:sz w:val="20"/>
                <w:szCs w:val="20"/>
              </w:rPr>
            </w:pPr>
            <w:r w:rsidRPr="0005109D">
              <w:rPr>
                <w:rFonts w:ascii="Arial" w:hAnsi="Arial" w:cs="Arial"/>
                <w:b/>
                <w:sz w:val="20"/>
                <w:szCs w:val="20"/>
              </w:rPr>
              <w:t xml:space="preserve">IP1.3 </w:t>
            </w:r>
            <w:r w:rsidR="00E857FD" w:rsidRPr="0005109D">
              <w:rPr>
                <w:rFonts w:ascii="Arial" w:hAnsi="Arial" w:cs="Arial"/>
                <w:b/>
                <w:sz w:val="20"/>
                <w:szCs w:val="20"/>
              </w:rPr>
              <w:t>„Pomoc pracovníkům, podnikům a podnikatelům přizpůsobovat se změnám“</w:t>
            </w:r>
          </w:p>
          <w:p w14:paraId="1A4F1084" w14:textId="53A9A43C" w:rsidR="002A326C" w:rsidRPr="0005109D" w:rsidRDefault="00A26D02" w:rsidP="00BB3DF7">
            <w:pPr>
              <w:spacing w:after="120"/>
              <w:ind w:left="136" w:right="238"/>
              <w:rPr>
                <w:rFonts w:ascii="Arial" w:hAnsi="Arial" w:cs="Arial"/>
                <w:sz w:val="20"/>
                <w:szCs w:val="20"/>
              </w:rPr>
            </w:pPr>
            <w:r w:rsidRPr="0005109D">
              <w:rPr>
                <w:rFonts w:ascii="Arial" w:hAnsi="Arial" w:cs="Arial"/>
                <w:sz w:val="20"/>
                <w:szCs w:val="20"/>
              </w:rPr>
              <w:t xml:space="preserve">Naplnění tematického cíle 8v (Pomoc pracovníkům, podnikům a podnikatelům přizpůsobovat se změnám) pro IP1.3 bude probíhat prostřednictvím projektů realizovaných v příslušných výzvách. V roce 2020 byly vyhlášeny dvě výzvy v celkové alokaci 293 mil. EUR. Celkově od počátku programu se jedná o 12 výzev, ve kterých bylo uzavřeno celkem 2 883 právních aktů v celkovém objemu 404 mil. EUR, předloženo bylo 3 995 žádostí v celkovém objemu 830 mil. EUR. </w:t>
            </w:r>
          </w:p>
          <w:p w14:paraId="7592C708" w14:textId="483D46A0" w:rsidR="00AE435A" w:rsidRPr="0005109D" w:rsidRDefault="00AE435A" w:rsidP="002C4433">
            <w:pPr>
              <w:spacing w:after="120"/>
              <w:ind w:left="136" w:right="238"/>
              <w:rPr>
                <w:rFonts w:ascii="Arial" w:eastAsia="Calibri" w:hAnsi="Arial" w:cs="Arial"/>
                <w:sz w:val="20"/>
                <w:szCs w:val="20"/>
              </w:rPr>
            </w:pPr>
            <w:r w:rsidRPr="0005109D">
              <w:rPr>
                <w:rFonts w:ascii="Arial" w:eastAsia="Calibri" w:hAnsi="Arial" w:cs="Arial"/>
                <w:sz w:val="20"/>
                <w:szCs w:val="20"/>
              </w:rPr>
              <w:t xml:space="preserve">V roce 2020 byla vyhlášena nová výzva č. </w:t>
            </w:r>
            <w:r w:rsidRPr="0005109D">
              <w:rPr>
                <w:rFonts w:ascii="Arial" w:eastAsia="Calibri" w:hAnsi="Arial" w:cs="Arial"/>
                <w:b/>
                <w:bCs/>
                <w:sz w:val="20"/>
                <w:szCs w:val="20"/>
              </w:rPr>
              <w:t>93</w:t>
            </w:r>
            <w:r w:rsidRPr="0005109D">
              <w:rPr>
                <w:rFonts w:ascii="Arial" w:eastAsia="Calibri" w:hAnsi="Arial" w:cs="Arial"/>
                <w:sz w:val="20"/>
                <w:szCs w:val="20"/>
              </w:rPr>
              <w:t xml:space="preserve"> </w:t>
            </w:r>
            <w:r w:rsidRPr="0005109D">
              <w:rPr>
                <w:rFonts w:ascii="Arial" w:hAnsi="Arial" w:cs="Arial"/>
                <w:b/>
                <w:bCs/>
                <w:sz w:val="20"/>
                <w:szCs w:val="20"/>
              </w:rPr>
              <w:t>„</w:t>
            </w:r>
            <w:r w:rsidRPr="0005109D">
              <w:rPr>
                <w:rFonts w:ascii="Arial" w:eastAsia="Calibri" w:hAnsi="Arial" w:cs="Arial"/>
                <w:b/>
                <w:bCs/>
                <w:sz w:val="20"/>
                <w:szCs w:val="20"/>
              </w:rPr>
              <w:t>Podpora zaměstnanců ohrožených propouštěním II”.</w:t>
            </w:r>
            <w:r w:rsidRPr="0005109D">
              <w:rPr>
                <w:rFonts w:ascii="Arial" w:eastAsia="Calibri" w:hAnsi="Arial" w:cs="Arial"/>
                <w:sz w:val="20"/>
                <w:szCs w:val="20"/>
              </w:rPr>
              <w:t xml:space="preserve"> V rámci této výzvy je od 1. 6. 2020 na celém území ČR realizován projekt </w:t>
            </w:r>
            <w:r w:rsidRPr="0005109D">
              <w:rPr>
                <w:rFonts w:ascii="Arial" w:eastAsia="Calibri" w:hAnsi="Arial" w:cs="Arial"/>
                <w:b/>
                <w:bCs/>
                <w:sz w:val="20"/>
                <w:szCs w:val="20"/>
              </w:rPr>
              <w:t>Outplacement</w:t>
            </w:r>
            <w:r w:rsidRPr="0005109D">
              <w:rPr>
                <w:rFonts w:ascii="Arial" w:eastAsia="Calibri" w:hAnsi="Arial" w:cs="Arial"/>
                <w:sz w:val="20"/>
                <w:szCs w:val="20"/>
              </w:rPr>
              <w:t xml:space="preserve"> s rozpočtem 141,42 mil. EUR. Smyslem projektu je pomoci zaměstnancům ještě před jejich faktickým </w:t>
            </w:r>
            <w:r w:rsidR="002C4433" w:rsidRPr="0005109D">
              <w:rPr>
                <w:rFonts w:ascii="Arial" w:eastAsia="Calibri" w:hAnsi="Arial" w:cs="Arial"/>
                <w:sz w:val="20"/>
                <w:szCs w:val="20"/>
              </w:rPr>
              <w:t>propuštěním,</w:t>
            </w:r>
            <w:r w:rsidRPr="0005109D">
              <w:rPr>
                <w:rFonts w:ascii="Arial" w:eastAsia="Calibri" w:hAnsi="Arial" w:cs="Arial"/>
                <w:sz w:val="20"/>
                <w:szCs w:val="20"/>
              </w:rPr>
              <w:t xml:space="preserve"> a to individuální a cílenou pomocí komplexních nástrojů počínaje pracovní diagnostikou, přes vzdělávací kurz, popřípadě rekvalifikací a </w:t>
            </w:r>
            <w:r w:rsidRPr="0005109D">
              <w:rPr>
                <w:rFonts w:ascii="Arial" w:eastAsia="Calibri" w:hAnsi="Arial" w:cs="Arial"/>
                <w:sz w:val="20"/>
                <w:szCs w:val="20"/>
              </w:rPr>
              <w:lastRenderedPageBreak/>
              <w:t>nakonec i zprostředkováním zaměstnání. Zaměstnanci se tak budou moci přeškolit a najít si nové místo ještě před koncem pracovního poměru.</w:t>
            </w:r>
            <w:bookmarkStart w:id="0" w:name="_Hlk64542480"/>
          </w:p>
          <w:p w14:paraId="30F1EA20" w14:textId="0D50345C" w:rsidR="00AE435A" w:rsidRPr="0005109D" w:rsidRDefault="00AE435A" w:rsidP="002C4433">
            <w:pPr>
              <w:spacing w:after="120"/>
              <w:ind w:left="136" w:right="238"/>
              <w:rPr>
                <w:rFonts w:ascii="Arial" w:hAnsi="Arial" w:cs="Arial"/>
                <w:sz w:val="20"/>
                <w:szCs w:val="20"/>
              </w:rPr>
            </w:pPr>
            <w:r w:rsidRPr="0005109D">
              <w:rPr>
                <w:rFonts w:ascii="Arial" w:hAnsi="Arial" w:cs="Arial"/>
                <w:sz w:val="20"/>
                <w:szCs w:val="20"/>
              </w:rPr>
              <w:t xml:space="preserve">Ve výzvě č. </w:t>
            </w:r>
            <w:r w:rsidRPr="0005109D">
              <w:rPr>
                <w:rFonts w:ascii="Arial" w:hAnsi="Arial" w:cs="Arial"/>
                <w:b/>
                <w:bCs/>
                <w:sz w:val="20"/>
                <w:szCs w:val="20"/>
              </w:rPr>
              <w:t>44</w:t>
            </w:r>
            <w:r w:rsidRPr="0005109D">
              <w:rPr>
                <w:rFonts w:ascii="Arial" w:hAnsi="Arial" w:cs="Arial"/>
                <w:sz w:val="20"/>
                <w:szCs w:val="20"/>
              </w:rPr>
              <w:t xml:space="preserve"> </w:t>
            </w:r>
            <w:r w:rsidRPr="0005109D">
              <w:rPr>
                <w:rFonts w:ascii="Arial" w:hAnsi="Arial" w:cs="Arial"/>
                <w:b/>
                <w:bCs/>
                <w:sz w:val="20"/>
                <w:szCs w:val="20"/>
              </w:rPr>
              <w:t xml:space="preserve">„Podpora zaměstnanců ohrožených propouštěním” </w:t>
            </w:r>
            <w:r w:rsidRPr="0005109D">
              <w:rPr>
                <w:rFonts w:ascii="Arial" w:hAnsi="Arial" w:cs="Arial"/>
                <w:sz w:val="20"/>
                <w:szCs w:val="20"/>
              </w:rPr>
              <w:t xml:space="preserve">byla k 30. 9. 2020 předčasně ukončena realizace projektů </w:t>
            </w:r>
            <w:r w:rsidRPr="002C4433">
              <w:rPr>
                <w:rFonts w:ascii="Arial" w:hAnsi="Arial" w:cs="Arial"/>
                <w:b/>
                <w:bCs/>
                <w:sz w:val="20"/>
                <w:szCs w:val="20"/>
              </w:rPr>
              <w:t>Outplacemen</w:t>
            </w:r>
            <w:r w:rsidRPr="0005109D">
              <w:rPr>
                <w:rFonts w:ascii="Arial" w:hAnsi="Arial" w:cs="Arial"/>
                <w:sz w:val="20"/>
                <w:szCs w:val="20"/>
              </w:rPr>
              <w:t xml:space="preserve">t krajské pobočky Úřadu práce (KrP ÚP) v Ústeckém kraji a </w:t>
            </w:r>
            <w:r w:rsidRPr="002C4433">
              <w:rPr>
                <w:rFonts w:ascii="Arial" w:hAnsi="Arial" w:cs="Arial"/>
                <w:b/>
                <w:bCs/>
                <w:sz w:val="20"/>
                <w:szCs w:val="20"/>
              </w:rPr>
              <w:t>Outplacement</w:t>
            </w:r>
            <w:r w:rsidRPr="0005109D">
              <w:rPr>
                <w:rFonts w:ascii="Arial" w:hAnsi="Arial" w:cs="Arial"/>
                <w:sz w:val="20"/>
                <w:szCs w:val="20"/>
              </w:rPr>
              <w:t xml:space="preserve"> KrP ÚP v Kraji Vysočina. Důvodem pro předčasné ukončení bylo zejména vyhlášení celorepublikové výzvy č. </w:t>
            </w:r>
            <w:r w:rsidRPr="0005109D">
              <w:rPr>
                <w:rFonts w:ascii="Arial" w:hAnsi="Arial" w:cs="Arial"/>
                <w:b/>
                <w:bCs/>
                <w:sz w:val="20"/>
                <w:szCs w:val="20"/>
              </w:rPr>
              <w:t>93</w:t>
            </w:r>
            <w:r w:rsidR="002C4433" w:rsidRPr="002C4433">
              <w:rPr>
                <w:rFonts w:ascii="Arial" w:hAnsi="Arial" w:cs="Arial"/>
                <w:sz w:val="20"/>
                <w:szCs w:val="20"/>
              </w:rPr>
              <w:t xml:space="preserve">, </w:t>
            </w:r>
            <w:r w:rsidRPr="0005109D">
              <w:rPr>
                <w:rFonts w:ascii="Arial" w:hAnsi="Arial" w:cs="Arial"/>
                <w:sz w:val="20"/>
                <w:szCs w:val="20"/>
              </w:rPr>
              <w:t xml:space="preserve">která je zaměřena na podobné aktivity (viz výše). Ve výzvě č. </w:t>
            </w:r>
            <w:r w:rsidRPr="0005109D">
              <w:rPr>
                <w:rFonts w:ascii="Arial" w:hAnsi="Arial" w:cs="Arial"/>
                <w:b/>
                <w:bCs/>
                <w:sz w:val="20"/>
                <w:szCs w:val="20"/>
              </w:rPr>
              <w:t>44</w:t>
            </w:r>
            <w:r w:rsidRPr="0005109D">
              <w:rPr>
                <w:rFonts w:ascii="Arial" w:hAnsi="Arial" w:cs="Arial"/>
                <w:sz w:val="20"/>
                <w:szCs w:val="20"/>
              </w:rPr>
              <w:t xml:space="preserve"> byly celkem realizovány tři projekty, kromě projektů v Ústeckém kraji a Kraji Vysočina to byl také projekt KrP ÚP v Moravskoslezském kraji (realizace ukončena k 31. 12. 2019). Celkově bylo v těchto projektech vyčerpáno 1,89 mil. EUR a podpořeno 702 osob.</w:t>
            </w:r>
          </w:p>
          <w:bookmarkEnd w:id="0"/>
          <w:p w14:paraId="299C15BA" w14:textId="5C4F1231" w:rsidR="00AE435A" w:rsidRPr="0005109D" w:rsidRDefault="00AE435A" w:rsidP="002C4433">
            <w:pPr>
              <w:spacing w:after="120"/>
              <w:ind w:left="136" w:right="238"/>
              <w:rPr>
                <w:rFonts w:ascii="Arial" w:hAnsi="Arial" w:cs="Arial"/>
                <w:sz w:val="20"/>
                <w:szCs w:val="20"/>
              </w:rPr>
            </w:pPr>
            <w:r w:rsidRPr="0005109D">
              <w:rPr>
                <w:rFonts w:ascii="Arial" w:hAnsi="Arial" w:cs="Arial"/>
                <w:sz w:val="20"/>
                <w:szCs w:val="20"/>
              </w:rPr>
              <w:t xml:space="preserve">Dne 23. 10. 2020 byla vyhlášena výzva č. </w:t>
            </w:r>
            <w:r w:rsidRPr="0005109D">
              <w:rPr>
                <w:rFonts w:ascii="Arial" w:hAnsi="Arial" w:cs="Arial"/>
                <w:b/>
                <w:bCs/>
                <w:sz w:val="20"/>
                <w:szCs w:val="20"/>
              </w:rPr>
              <w:t>138 „Antivirus A”</w:t>
            </w:r>
            <w:r w:rsidRPr="0005109D">
              <w:rPr>
                <w:rFonts w:ascii="Arial" w:hAnsi="Arial" w:cs="Arial"/>
                <w:sz w:val="20"/>
                <w:szCs w:val="20"/>
              </w:rPr>
              <w:t xml:space="preserve">. V rámci výzvy byl v období 12. 3. – 31. 12. 2020 realizován na celém území ČR projekt </w:t>
            </w:r>
            <w:r w:rsidRPr="0005109D">
              <w:rPr>
                <w:rFonts w:ascii="Arial" w:hAnsi="Arial" w:cs="Arial"/>
                <w:b/>
                <w:bCs/>
                <w:sz w:val="20"/>
                <w:szCs w:val="20"/>
              </w:rPr>
              <w:t xml:space="preserve">Podpora zaměstnanosti prostřednictvím cíleného programu Antivirus A </w:t>
            </w:r>
            <w:r w:rsidRPr="0005109D">
              <w:rPr>
                <w:rFonts w:ascii="Arial" w:hAnsi="Arial" w:cs="Arial"/>
                <w:sz w:val="20"/>
                <w:szCs w:val="20"/>
              </w:rPr>
              <w:t>s celkovou alokací 156,4 mil. EUR</w:t>
            </w:r>
            <w:r w:rsidRPr="0005109D">
              <w:rPr>
                <w:rFonts w:ascii="Arial" w:hAnsi="Arial" w:cs="Arial"/>
                <w:b/>
                <w:bCs/>
                <w:sz w:val="20"/>
                <w:szCs w:val="20"/>
              </w:rPr>
              <w:t xml:space="preserve">. </w:t>
            </w:r>
            <w:r w:rsidRPr="0005109D">
              <w:rPr>
                <w:rFonts w:ascii="Arial" w:hAnsi="Arial" w:cs="Arial"/>
                <w:sz w:val="20"/>
                <w:szCs w:val="20"/>
              </w:rPr>
              <w:t>Část prostředků vynaložených na opatření CP Antivirus A v boji s COVID-19 tak bylo zpětně proplaceno z ESF. Antivirus A byl určen na zpětné financování části výdajů zaměstnavatelů, jejichž náklady nejsou kryty veřejnými rozpočty. Refundovány byly mzdové náklady za vybrané období, kdy nebyla pro zaměstnavatele konána práce (opatření pro nucené uzavření či omezení provozu zaměstnavatele na základě krizového opatření či nařízení karantény).</w:t>
            </w:r>
          </w:p>
          <w:p w14:paraId="63FA5098" w14:textId="77777777" w:rsidR="00AE435A" w:rsidRPr="0005109D" w:rsidRDefault="00AE435A" w:rsidP="00BB3DF7">
            <w:pPr>
              <w:spacing w:after="120"/>
              <w:ind w:left="136" w:right="238"/>
              <w:rPr>
                <w:rFonts w:ascii="Arial" w:hAnsi="Arial" w:cs="Arial"/>
                <w:sz w:val="20"/>
                <w:szCs w:val="20"/>
              </w:rPr>
            </w:pPr>
            <w:r w:rsidRPr="0005109D">
              <w:rPr>
                <w:rFonts w:ascii="Arial" w:hAnsi="Arial" w:cs="Arial"/>
                <w:sz w:val="20"/>
                <w:szCs w:val="20"/>
              </w:rPr>
              <w:t xml:space="preserve">K 18. 12. 2020 byl ve výzvě č. </w:t>
            </w:r>
            <w:r w:rsidRPr="0005109D">
              <w:rPr>
                <w:rFonts w:ascii="Arial" w:hAnsi="Arial" w:cs="Arial"/>
                <w:b/>
                <w:bCs/>
                <w:sz w:val="20"/>
                <w:szCs w:val="20"/>
              </w:rPr>
              <w:t>54 „Výzva pro organizační složky státu a jimi řízené / zřízené příspěvkové organizace“</w:t>
            </w:r>
            <w:r w:rsidRPr="0005109D">
              <w:rPr>
                <w:rFonts w:ascii="Arial" w:hAnsi="Arial" w:cs="Arial"/>
                <w:sz w:val="20"/>
                <w:szCs w:val="20"/>
              </w:rPr>
              <w:t xml:space="preserve"> předčasně ukončen projekt České centrály cestovního ruchu – CzechTourism </w:t>
            </w:r>
            <w:r w:rsidRPr="0005109D">
              <w:rPr>
                <w:rFonts w:ascii="Arial" w:hAnsi="Arial" w:cs="Arial"/>
                <w:b/>
                <w:bCs/>
                <w:sz w:val="20"/>
                <w:szCs w:val="20"/>
              </w:rPr>
              <w:t>Vzdělávání v cestovním ruchu</w:t>
            </w:r>
            <w:r w:rsidRPr="0005109D">
              <w:rPr>
                <w:rFonts w:ascii="Arial" w:hAnsi="Arial" w:cs="Arial"/>
                <w:sz w:val="20"/>
                <w:szCs w:val="20"/>
              </w:rPr>
              <w:t xml:space="preserve"> s celkovou alokací ve výši 3,34 mil. EUR, a to z důvodů zavedení mimořádných opatření v souvislosti s COVID-19.</w:t>
            </w:r>
          </w:p>
          <w:p w14:paraId="14F2B0C3" w14:textId="5B3DC26A" w:rsidR="00AE435A" w:rsidRPr="0005109D" w:rsidRDefault="00AE435A" w:rsidP="00BB3DF7">
            <w:pPr>
              <w:spacing w:after="120"/>
              <w:ind w:left="136" w:right="238"/>
              <w:rPr>
                <w:rFonts w:ascii="Arial" w:hAnsi="Arial" w:cs="Arial"/>
                <w:sz w:val="20"/>
                <w:szCs w:val="20"/>
              </w:rPr>
            </w:pPr>
            <w:r w:rsidRPr="0005109D">
              <w:rPr>
                <w:rFonts w:ascii="Arial" w:hAnsi="Arial" w:cs="Arial"/>
                <w:sz w:val="20"/>
                <w:szCs w:val="20"/>
              </w:rPr>
              <w:t xml:space="preserve">Ve výzvě č. </w:t>
            </w:r>
            <w:r w:rsidRPr="0005109D">
              <w:rPr>
                <w:rFonts w:ascii="Arial" w:hAnsi="Arial" w:cs="Arial"/>
                <w:b/>
                <w:bCs/>
                <w:sz w:val="20"/>
                <w:szCs w:val="20"/>
              </w:rPr>
              <w:t>79 „Age management - chytrá změna v řízení, příležitost k růstu“</w:t>
            </w:r>
            <w:r w:rsidRPr="0005109D">
              <w:rPr>
                <w:rFonts w:ascii="Arial" w:hAnsi="Arial" w:cs="Arial"/>
                <w:sz w:val="20"/>
                <w:szCs w:val="20"/>
              </w:rPr>
              <w:t xml:space="preserve"> bylo v roce 2020 ve fyzické realizaci 101 projektů a 23 projektů realizaci ukončilo.</w:t>
            </w:r>
          </w:p>
          <w:p w14:paraId="3D73DEA4" w14:textId="77777777" w:rsidR="00AE435A" w:rsidRPr="0005109D" w:rsidRDefault="00AE435A" w:rsidP="00BB3DF7">
            <w:pPr>
              <w:spacing w:after="120"/>
              <w:ind w:left="136" w:right="238"/>
              <w:rPr>
                <w:rFonts w:ascii="Arial" w:hAnsi="Arial" w:cs="Arial"/>
                <w:sz w:val="20"/>
                <w:szCs w:val="20"/>
              </w:rPr>
            </w:pPr>
            <w:r w:rsidRPr="0005109D">
              <w:rPr>
                <w:rFonts w:ascii="Arial" w:hAnsi="Arial" w:cs="Arial"/>
                <w:sz w:val="20"/>
                <w:szCs w:val="20"/>
              </w:rPr>
              <w:t xml:space="preserve">Ve výzvě č. </w:t>
            </w:r>
            <w:r w:rsidRPr="0005109D">
              <w:rPr>
                <w:rFonts w:ascii="Arial" w:hAnsi="Arial" w:cs="Arial"/>
                <w:b/>
                <w:bCs/>
                <w:sz w:val="20"/>
                <w:szCs w:val="20"/>
              </w:rPr>
              <w:t>21 „Další profesní vzdělávání zaměstnanců podporované zaměstnavateli“</w:t>
            </w:r>
            <w:r w:rsidRPr="0005109D">
              <w:rPr>
                <w:rFonts w:ascii="Arial" w:hAnsi="Arial" w:cs="Arial"/>
                <w:sz w:val="20"/>
                <w:szCs w:val="20"/>
              </w:rPr>
              <w:t xml:space="preserve"> pokračovala realizace projektu POVEZ II s celkovou alokací ve výši cca 133,5 mil. EUR. Realizace projektu byla prodloužena do 31. 12. 2022.</w:t>
            </w:r>
          </w:p>
          <w:p w14:paraId="6F6A2814" w14:textId="6F30C757" w:rsidR="00AE435A" w:rsidRPr="0005109D" w:rsidRDefault="00AE435A" w:rsidP="002C4433">
            <w:pPr>
              <w:spacing w:after="120"/>
              <w:ind w:left="136" w:right="238"/>
              <w:rPr>
                <w:rFonts w:ascii="Arial" w:hAnsi="Arial" w:cs="Arial"/>
                <w:sz w:val="20"/>
                <w:szCs w:val="20"/>
              </w:rPr>
            </w:pPr>
            <w:r w:rsidRPr="0005109D">
              <w:rPr>
                <w:rFonts w:ascii="Arial" w:hAnsi="Arial" w:cs="Arial"/>
                <w:sz w:val="20"/>
                <w:szCs w:val="20"/>
              </w:rPr>
              <w:t>V roce 2020 v IP 1.3 rovněž pokračovala realizace projektů v režimu zjednodušeného vykazování výdajů formou jednotkových nákladů zaměřených na další profesní vzdělávání zaměstnanců prostřednictvím čtyř výzev.</w:t>
            </w:r>
          </w:p>
          <w:p w14:paraId="56908778" w14:textId="084ED885" w:rsidR="00AE435A" w:rsidRPr="0005109D" w:rsidRDefault="00AE435A" w:rsidP="002C4433">
            <w:pPr>
              <w:spacing w:after="120"/>
              <w:ind w:left="136" w:right="238"/>
              <w:rPr>
                <w:rFonts w:ascii="Arial" w:hAnsi="Arial" w:cs="Arial"/>
                <w:sz w:val="20"/>
                <w:szCs w:val="20"/>
              </w:rPr>
            </w:pPr>
            <w:r w:rsidRPr="0005109D">
              <w:rPr>
                <w:rFonts w:ascii="Arial" w:hAnsi="Arial" w:cs="Arial"/>
                <w:sz w:val="20"/>
                <w:szCs w:val="20"/>
              </w:rPr>
              <w:t>Ve výzvě č. </w:t>
            </w:r>
            <w:r w:rsidRPr="0005109D">
              <w:rPr>
                <w:rFonts w:ascii="Arial" w:hAnsi="Arial" w:cs="Arial"/>
                <w:b/>
                <w:bCs/>
                <w:sz w:val="20"/>
                <w:szCs w:val="20"/>
              </w:rPr>
              <w:t>43 „Podnikové vzdělávání zaměstnanců“</w:t>
            </w:r>
            <w:r w:rsidRPr="0005109D">
              <w:rPr>
                <w:rFonts w:ascii="Arial" w:hAnsi="Arial" w:cs="Arial"/>
                <w:sz w:val="20"/>
                <w:szCs w:val="20"/>
              </w:rPr>
              <w:t>, ve které byla realizace projektů ukončena, byly do 31. 12. 2020 vyúčtovány žádosti o platbu v celkové výši přes 53,6 mil. EUR a alokace výzvy byla vyčerpána ze 70,2 %. Celkem bylo podpořeno 41 534 osob.</w:t>
            </w:r>
          </w:p>
          <w:p w14:paraId="01A9D858" w14:textId="77777777" w:rsidR="00AE435A" w:rsidRPr="0005109D" w:rsidRDefault="00AE435A" w:rsidP="002C4433">
            <w:pPr>
              <w:spacing w:after="120"/>
              <w:ind w:left="136" w:right="238"/>
              <w:rPr>
                <w:rFonts w:ascii="Arial" w:hAnsi="Arial" w:cs="Arial"/>
                <w:sz w:val="20"/>
                <w:szCs w:val="20"/>
              </w:rPr>
            </w:pPr>
            <w:r w:rsidRPr="0005109D">
              <w:rPr>
                <w:rFonts w:ascii="Arial" w:hAnsi="Arial" w:cs="Arial"/>
                <w:sz w:val="20"/>
                <w:szCs w:val="20"/>
              </w:rPr>
              <w:t>Na tuto výzvu již v roce 2019 navázala výzva č. </w:t>
            </w:r>
            <w:r w:rsidRPr="0005109D">
              <w:rPr>
                <w:rFonts w:ascii="Arial" w:hAnsi="Arial" w:cs="Arial"/>
                <w:b/>
                <w:bCs/>
                <w:sz w:val="20"/>
                <w:szCs w:val="20"/>
              </w:rPr>
              <w:t>97 „Podnikové vzdělávání zaměstnanců II“</w:t>
            </w:r>
            <w:r w:rsidRPr="0005109D">
              <w:rPr>
                <w:rFonts w:ascii="Arial" w:hAnsi="Arial" w:cs="Arial"/>
                <w:sz w:val="20"/>
                <w:szCs w:val="20"/>
              </w:rPr>
              <w:t>. Výzva byla vyhlášena s finanční alokací 85,3 mil. EUR. Z důvodu vysokého zájmu o podporu byla alokace výzvy v lednu navýšena. Celkem bylo v rámci výzvy uzavřeno 1 374 právních aktů za více než 86,5 mil. EUR. V roce 2020 byla většina projektů ve stavu fyzické realizace.</w:t>
            </w:r>
          </w:p>
          <w:p w14:paraId="2E0E82F1" w14:textId="58C53659" w:rsidR="00AE435A" w:rsidRPr="0005109D" w:rsidRDefault="00AE435A" w:rsidP="002C4433">
            <w:pPr>
              <w:spacing w:after="120"/>
              <w:ind w:left="136" w:right="238"/>
              <w:rPr>
                <w:rFonts w:ascii="Arial" w:hAnsi="Arial" w:cs="Arial"/>
                <w:sz w:val="20"/>
                <w:szCs w:val="20"/>
              </w:rPr>
            </w:pPr>
            <w:r w:rsidRPr="0005109D">
              <w:rPr>
                <w:rFonts w:ascii="Arial" w:hAnsi="Arial" w:cs="Arial"/>
                <w:sz w:val="20"/>
                <w:szCs w:val="20"/>
              </w:rPr>
              <w:lastRenderedPageBreak/>
              <w:t>Dále probíhala realizace projektů ve výzvě č. </w:t>
            </w:r>
            <w:r w:rsidRPr="0005109D">
              <w:rPr>
                <w:rFonts w:ascii="Arial" w:hAnsi="Arial" w:cs="Arial"/>
                <w:b/>
                <w:bCs/>
                <w:sz w:val="20"/>
                <w:szCs w:val="20"/>
              </w:rPr>
              <w:t>60 „Vzdělávání – společná cesta k rozvoji!“</w:t>
            </w:r>
            <w:r w:rsidRPr="0005109D">
              <w:rPr>
                <w:rFonts w:ascii="Arial" w:hAnsi="Arial" w:cs="Arial"/>
                <w:sz w:val="20"/>
                <w:szCs w:val="20"/>
              </w:rPr>
              <w:t xml:space="preserve"> a ve výzvě č. </w:t>
            </w:r>
            <w:r w:rsidRPr="0005109D">
              <w:rPr>
                <w:rFonts w:ascii="Arial" w:hAnsi="Arial" w:cs="Arial"/>
                <w:b/>
                <w:bCs/>
                <w:sz w:val="20"/>
                <w:szCs w:val="20"/>
              </w:rPr>
              <w:t>110 „Vzdělávání - společná cesta k rozvoji II!“</w:t>
            </w:r>
            <w:r w:rsidRPr="0005109D">
              <w:rPr>
                <w:rFonts w:ascii="Arial" w:hAnsi="Arial" w:cs="Arial"/>
                <w:sz w:val="20"/>
                <w:szCs w:val="20"/>
              </w:rPr>
              <w:t xml:space="preserve"> ve kterých bylo ke konci roku 2020 podpořeno přes 15 000 osob.</w:t>
            </w:r>
          </w:p>
          <w:p w14:paraId="1A4F108D" w14:textId="77777777" w:rsidR="002A326C" w:rsidRPr="0005109D" w:rsidRDefault="002A326C" w:rsidP="00BB3DF7">
            <w:pPr>
              <w:spacing w:after="120"/>
              <w:ind w:left="136" w:right="238"/>
              <w:rPr>
                <w:rFonts w:ascii="Arial" w:hAnsi="Arial" w:cs="Arial"/>
                <w:b/>
                <w:sz w:val="20"/>
                <w:szCs w:val="20"/>
              </w:rPr>
            </w:pPr>
            <w:r w:rsidRPr="0005109D">
              <w:rPr>
                <w:rFonts w:ascii="Arial" w:hAnsi="Arial" w:cs="Arial"/>
                <w:b/>
                <w:sz w:val="20"/>
                <w:szCs w:val="20"/>
              </w:rPr>
              <w:t>IP1.4</w:t>
            </w:r>
            <w:r w:rsidR="005B0334" w:rsidRPr="0005109D">
              <w:rPr>
                <w:rFonts w:ascii="Arial" w:hAnsi="Arial" w:cs="Arial"/>
                <w:sz w:val="20"/>
                <w:szCs w:val="20"/>
              </w:rPr>
              <w:t xml:space="preserve"> „</w:t>
            </w:r>
            <w:r w:rsidR="005B0334" w:rsidRPr="0005109D">
              <w:rPr>
                <w:rFonts w:ascii="Arial" w:hAnsi="Arial" w:cs="Arial"/>
                <w:b/>
                <w:sz w:val="20"/>
                <w:szCs w:val="20"/>
              </w:rPr>
              <w:t>Modernizace a posílení institucí trhu práce včetně opatření pro zlepšení nadnárodní mobility pracovníků“</w:t>
            </w:r>
          </w:p>
          <w:p w14:paraId="1A4F108F" w14:textId="5BD86239" w:rsidR="002A326C" w:rsidRPr="002C4433" w:rsidRDefault="002A326C" w:rsidP="00BB3DF7">
            <w:pPr>
              <w:spacing w:after="120"/>
              <w:ind w:left="136" w:right="238"/>
              <w:rPr>
                <w:rFonts w:ascii="Arial" w:hAnsi="Arial" w:cs="Arial"/>
                <w:iCs/>
                <w:sz w:val="20"/>
                <w:szCs w:val="20"/>
              </w:rPr>
            </w:pPr>
            <w:r w:rsidRPr="0005109D">
              <w:rPr>
                <w:rFonts w:ascii="Arial" w:hAnsi="Arial" w:cs="Arial"/>
                <w:sz w:val="20"/>
                <w:szCs w:val="20"/>
              </w:rPr>
              <w:t xml:space="preserve">Naplnění tematického cíle 8vii (Modernizace institucí trhu práce, jako jsou veřejné a soukromé služby zaměstnanosti a přispívání k adaptaci na potřeby trhu práce, včetně prostřednictvím opatření pro zlepšení nadnárodní mobility pracovníků a programů mobility a lepší spolupráce mezi institucemi a příslušnými zúčastněnými stranami) pro IP1.4 </w:t>
            </w:r>
            <w:r w:rsidR="00A26D02" w:rsidRPr="0005109D">
              <w:rPr>
                <w:rFonts w:ascii="Arial" w:hAnsi="Arial" w:cs="Arial"/>
                <w:sz w:val="20"/>
                <w:szCs w:val="20"/>
              </w:rPr>
              <w:t>probíhá</w:t>
            </w:r>
            <w:r w:rsidRPr="0005109D">
              <w:rPr>
                <w:rFonts w:ascii="Arial" w:hAnsi="Arial" w:cs="Arial"/>
                <w:sz w:val="20"/>
                <w:szCs w:val="20"/>
              </w:rPr>
              <w:t xml:space="preserve"> prostřednictvím projektů realizovaných v příslušných výzvách. </w:t>
            </w:r>
            <w:r w:rsidR="00380078" w:rsidRPr="0005109D">
              <w:rPr>
                <w:rFonts w:ascii="Arial" w:hAnsi="Arial" w:cs="Arial"/>
                <w:sz w:val="20"/>
                <w:szCs w:val="20"/>
              </w:rPr>
              <w:t>Od počátku programu byly vyhlášeny c</w:t>
            </w:r>
            <w:r w:rsidR="00AC53A8" w:rsidRPr="0005109D">
              <w:rPr>
                <w:rFonts w:ascii="Arial" w:hAnsi="Arial" w:cs="Arial"/>
                <w:sz w:val="20"/>
                <w:szCs w:val="20"/>
              </w:rPr>
              <w:t>elkem 3 výzvy v celkovém objemu</w:t>
            </w:r>
            <w:r w:rsidR="003A7C65" w:rsidRPr="0005109D">
              <w:rPr>
                <w:rFonts w:ascii="Arial" w:hAnsi="Arial" w:cs="Arial"/>
                <w:sz w:val="20"/>
                <w:szCs w:val="20"/>
              </w:rPr>
              <w:t xml:space="preserve"> </w:t>
            </w:r>
            <w:r w:rsidR="00A26D02" w:rsidRPr="0005109D">
              <w:rPr>
                <w:rFonts w:ascii="Arial" w:hAnsi="Arial" w:cs="Arial"/>
                <w:sz w:val="20"/>
                <w:szCs w:val="20"/>
              </w:rPr>
              <w:t>135</w:t>
            </w:r>
            <w:r w:rsidR="000E7593" w:rsidRPr="0005109D">
              <w:rPr>
                <w:rFonts w:ascii="Arial" w:hAnsi="Arial" w:cs="Arial"/>
                <w:sz w:val="20"/>
                <w:szCs w:val="20"/>
              </w:rPr>
              <w:t>,9</w:t>
            </w:r>
            <w:r w:rsidR="0016750B" w:rsidRPr="0005109D">
              <w:rPr>
                <w:rFonts w:ascii="Arial" w:hAnsi="Arial" w:cs="Arial"/>
                <w:sz w:val="20"/>
                <w:szCs w:val="20"/>
              </w:rPr>
              <w:t xml:space="preserve"> mil. EUR</w:t>
            </w:r>
            <w:r w:rsidR="007B0D8E" w:rsidRPr="0005109D">
              <w:rPr>
                <w:rFonts w:ascii="Arial" w:hAnsi="Arial" w:cs="Arial"/>
                <w:i/>
                <w:sz w:val="20"/>
                <w:szCs w:val="20"/>
              </w:rPr>
              <w:t>.</w:t>
            </w:r>
          </w:p>
          <w:p w14:paraId="24A94596" w14:textId="35205AA4" w:rsidR="000E7593" w:rsidRPr="0005109D" w:rsidRDefault="000E7593" w:rsidP="002C4433">
            <w:pPr>
              <w:spacing w:after="120"/>
              <w:ind w:left="136" w:right="238"/>
              <w:rPr>
                <w:rFonts w:ascii="Arial" w:hAnsi="Arial" w:cs="Arial"/>
                <w:sz w:val="20"/>
                <w:szCs w:val="20"/>
              </w:rPr>
            </w:pPr>
            <w:r w:rsidRPr="0005109D">
              <w:rPr>
                <w:rFonts w:ascii="Arial" w:hAnsi="Arial" w:cs="Arial"/>
                <w:b/>
                <w:bCs/>
                <w:sz w:val="20"/>
                <w:szCs w:val="20"/>
              </w:rPr>
              <w:t xml:space="preserve">V rámci IP 1.4 </w:t>
            </w:r>
            <w:r w:rsidRPr="0005109D">
              <w:rPr>
                <w:rFonts w:ascii="Arial" w:hAnsi="Arial" w:cs="Arial"/>
                <w:sz w:val="20"/>
                <w:szCs w:val="20"/>
              </w:rPr>
              <w:t xml:space="preserve">byly vyhlášeny celkem 3 výzvy. Ve výzvě č. </w:t>
            </w:r>
            <w:r w:rsidRPr="0005109D">
              <w:rPr>
                <w:rFonts w:ascii="Arial" w:hAnsi="Arial" w:cs="Arial"/>
                <w:b/>
                <w:bCs/>
                <w:sz w:val="20"/>
                <w:szCs w:val="20"/>
              </w:rPr>
              <w:t>11</w:t>
            </w:r>
            <w:r w:rsidRPr="0005109D">
              <w:rPr>
                <w:rFonts w:ascii="Arial" w:hAnsi="Arial" w:cs="Arial"/>
                <w:sz w:val="20"/>
                <w:szCs w:val="20"/>
              </w:rPr>
              <w:t xml:space="preserve"> </w:t>
            </w:r>
            <w:r w:rsidRPr="0005109D">
              <w:rPr>
                <w:rFonts w:ascii="Arial" w:hAnsi="Arial" w:cs="Arial"/>
                <w:b/>
                <w:sz w:val="20"/>
                <w:szCs w:val="20"/>
              </w:rPr>
              <w:t>„Rozvoj služeb zaměstnanosti v rámci Úřadu práce ČR“</w:t>
            </w:r>
            <w:r w:rsidRPr="0005109D">
              <w:rPr>
                <w:rFonts w:ascii="Arial" w:hAnsi="Arial" w:cs="Arial"/>
                <w:sz w:val="20"/>
                <w:szCs w:val="20"/>
              </w:rPr>
              <w:t xml:space="preserve"> jsou realizovány 4 projekty </w:t>
            </w:r>
            <w:r w:rsidR="002C4433">
              <w:rPr>
                <w:rFonts w:ascii="Arial" w:hAnsi="Arial" w:cs="Arial"/>
                <w:sz w:val="20"/>
                <w:szCs w:val="20"/>
              </w:rPr>
              <w:t xml:space="preserve">a to </w:t>
            </w:r>
            <w:r w:rsidRPr="002C4433">
              <w:rPr>
                <w:rFonts w:ascii="Arial" w:hAnsi="Arial" w:cs="Arial"/>
                <w:b/>
                <w:bCs/>
                <w:sz w:val="20"/>
                <w:szCs w:val="20"/>
              </w:rPr>
              <w:t>EFES, EURES II, PIPS</w:t>
            </w:r>
            <w:r w:rsidRPr="0005109D">
              <w:rPr>
                <w:rFonts w:ascii="Arial" w:hAnsi="Arial" w:cs="Arial"/>
                <w:sz w:val="20"/>
                <w:szCs w:val="20"/>
              </w:rPr>
              <w:t xml:space="preserve"> a </w:t>
            </w:r>
            <w:r w:rsidRPr="002C4433">
              <w:rPr>
                <w:rFonts w:ascii="Arial" w:hAnsi="Arial" w:cs="Arial"/>
                <w:b/>
                <w:bCs/>
                <w:sz w:val="20"/>
                <w:szCs w:val="20"/>
              </w:rPr>
              <w:t>OZP</w:t>
            </w:r>
            <w:r w:rsidRPr="0005109D">
              <w:rPr>
                <w:rFonts w:ascii="Arial" w:hAnsi="Arial" w:cs="Arial"/>
                <w:sz w:val="20"/>
                <w:szCs w:val="20"/>
              </w:rPr>
              <w:t xml:space="preserve"> v celkovém objemu 65,8 mil. EUR. V průběhu roku 2019 byla třem projektům prodloužena realizace do roku 2022, resp. do června 2023 v případě projektu Efektivní služby zaměstnanosti (EFES). Začátkem roku 2020 pak došlo k prodloužení realizace do roku 2022 i u projektu Evropské služby zaměstnanosti ČR II (EURES) a také ke snížení rozpočtu tohoto projektu o 1,96 mil. EUR.</w:t>
            </w:r>
          </w:p>
          <w:p w14:paraId="6F4DF5EC" w14:textId="07401750" w:rsidR="000E7593" w:rsidRPr="0005109D" w:rsidRDefault="000E7593" w:rsidP="002C4433">
            <w:pPr>
              <w:tabs>
                <w:tab w:val="left" w:pos="9060"/>
              </w:tabs>
              <w:spacing w:after="120"/>
              <w:ind w:left="136" w:right="238"/>
              <w:rPr>
                <w:rFonts w:ascii="Arial" w:hAnsi="Arial" w:cs="Arial"/>
                <w:sz w:val="20"/>
                <w:szCs w:val="20"/>
              </w:rPr>
            </w:pPr>
            <w:r w:rsidRPr="0005109D">
              <w:rPr>
                <w:rFonts w:ascii="Arial" w:hAnsi="Arial" w:cs="Arial"/>
                <w:sz w:val="20"/>
                <w:szCs w:val="20"/>
              </w:rPr>
              <w:t xml:space="preserve">Ve výzvě č. </w:t>
            </w:r>
            <w:r w:rsidRPr="0005109D">
              <w:rPr>
                <w:rFonts w:ascii="Arial" w:hAnsi="Arial" w:cs="Arial"/>
                <w:b/>
                <w:bCs/>
                <w:sz w:val="20"/>
                <w:szCs w:val="20"/>
              </w:rPr>
              <w:t>122</w:t>
            </w:r>
            <w:r w:rsidRPr="0005109D">
              <w:rPr>
                <w:rFonts w:ascii="Arial" w:hAnsi="Arial" w:cs="Arial"/>
                <w:sz w:val="20"/>
                <w:szCs w:val="20"/>
              </w:rPr>
              <w:t xml:space="preserve"> </w:t>
            </w:r>
            <w:r w:rsidRPr="0005109D">
              <w:rPr>
                <w:rFonts w:ascii="Arial" w:hAnsi="Arial" w:cs="Arial"/>
                <w:b/>
                <w:sz w:val="20"/>
                <w:szCs w:val="20"/>
              </w:rPr>
              <w:t xml:space="preserve">„Rozvoj služeb zaměstnanosti“ </w:t>
            </w:r>
            <w:r w:rsidRPr="0005109D">
              <w:rPr>
                <w:rFonts w:ascii="Arial" w:hAnsi="Arial" w:cs="Arial"/>
                <w:sz w:val="20"/>
                <w:szCs w:val="20"/>
              </w:rPr>
              <w:t>jsou realizovány 3 projekty (Kompas, Kompetence 4.0 a Účinnost a Efektivita APZ) v celkovém objemu</w:t>
            </w:r>
            <w:r w:rsidRPr="0005109D">
              <w:rPr>
                <w:rFonts w:ascii="Arial" w:hAnsi="Arial" w:cs="Arial"/>
                <w:bCs/>
                <w:sz w:val="20"/>
                <w:szCs w:val="20"/>
              </w:rPr>
              <w:t xml:space="preserve"> </w:t>
            </w:r>
            <w:r w:rsidRPr="0005109D">
              <w:rPr>
                <w:rFonts w:ascii="Arial" w:hAnsi="Arial" w:cs="Arial"/>
                <w:sz w:val="20"/>
                <w:szCs w:val="20"/>
              </w:rPr>
              <w:t xml:space="preserve">22,16 mil. EUR. V roce 2020 došlo k prodloužení realizace projektu Predikce trhu práce (Kompas) o 24 měsíců do konce roku 2022 a zároveň k navýšení celkového rozpočtu projektu o 1,1 mil. EUR. Projekt </w:t>
            </w:r>
            <w:r w:rsidRPr="002C4433">
              <w:rPr>
                <w:rFonts w:ascii="Arial" w:hAnsi="Arial" w:cs="Arial"/>
                <w:b/>
                <w:bCs/>
                <w:sz w:val="20"/>
                <w:szCs w:val="20"/>
              </w:rPr>
              <w:t>Vyhodnocování účinnosti a efektivity realizace APZ (Účinnost a efektivita APZ)</w:t>
            </w:r>
            <w:r w:rsidRPr="0005109D">
              <w:rPr>
                <w:rFonts w:ascii="Arial" w:hAnsi="Arial" w:cs="Arial"/>
                <w:sz w:val="20"/>
                <w:szCs w:val="20"/>
              </w:rPr>
              <w:t xml:space="preserve"> byl prodloužen o 6 měsíců do 30. 6. 2021.</w:t>
            </w:r>
          </w:p>
          <w:p w14:paraId="6C5B006E" w14:textId="7BF895F3" w:rsidR="000E7593" w:rsidRPr="0005109D" w:rsidRDefault="000E7593" w:rsidP="00BB3DF7">
            <w:pPr>
              <w:spacing w:after="120"/>
              <w:ind w:left="136" w:right="238"/>
              <w:rPr>
                <w:rFonts w:ascii="Arial" w:hAnsi="Arial" w:cs="Arial"/>
                <w:sz w:val="20"/>
                <w:szCs w:val="20"/>
              </w:rPr>
            </w:pPr>
            <w:r w:rsidRPr="0005109D">
              <w:rPr>
                <w:rFonts w:ascii="Arial" w:hAnsi="Arial" w:cs="Arial"/>
                <w:sz w:val="20"/>
                <w:szCs w:val="20"/>
              </w:rPr>
              <w:t xml:space="preserve">Ve výzvě č. </w:t>
            </w:r>
            <w:r w:rsidRPr="0005109D">
              <w:rPr>
                <w:rFonts w:ascii="Arial" w:hAnsi="Arial" w:cs="Arial"/>
                <w:b/>
                <w:bCs/>
                <w:sz w:val="20"/>
                <w:szCs w:val="20"/>
              </w:rPr>
              <w:t>20 „Rozvoj dalšího profesního vzdělávání“</w:t>
            </w:r>
            <w:r w:rsidRPr="0005109D">
              <w:rPr>
                <w:rFonts w:ascii="Arial" w:hAnsi="Arial" w:cs="Arial"/>
                <w:sz w:val="20"/>
                <w:szCs w:val="20"/>
              </w:rPr>
              <w:t xml:space="preserve"> s alokací 41,6 mil. EUR bylo realizováno 5 projektů v celkovém objemu 23,52 mil. EUR. Jedná se o projekty </w:t>
            </w:r>
            <w:r w:rsidRPr="002C4433">
              <w:rPr>
                <w:rFonts w:ascii="Arial" w:hAnsi="Arial" w:cs="Arial"/>
                <w:b/>
                <w:bCs/>
                <w:sz w:val="20"/>
                <w:szCs w:val="20"/>
              </w:rPr>
              <w:t>DigiStrategie 2020</w:t>
            </w:r>
            <w:r w:rsidRPr="0005109D">
              <w:rPr>
                <w:rFonts w:ascii="Arial" w:hAnsi="Arial" w:cs="Arial"/>
                <w:sz w:val="20"/>
                <w:szCs w:val="20"/>
              </w:rPr>
              <w:t xml:space="preserve">, </w:t>
            </w:r>
            <w:r w:rsidRPr="002C4433">
              <w:rPr>
                <w:rFonts w:ascii="Arial" w:hAnsi="Arial" w:cs="Arial"/>
                <w:b/>
                <w:bCs/>
                <w:sz w:val="20"/>
                <w:szCs w:val="20"/>
              </w:rPr>
              <w:t>DigiKatalog</w:t>
            </w:r>
            <w:r w:rsidRPr="0005109D">
              <w:rPr>
                <w:rFonts w:ascii="Arial" w:hAnsi="Arial" w:cs="Arial"/>
                <w:sz w:val="20"/>
                <w:szCs w:val="20"/>
              </w:rPr>
              <w:t xml:space="preserve"> a </w:t>
            </w:r>
            <w:r w:rsidRPr="002C4433">
              <w:rPr>
                <w:rFonts w:ascii="Arial" w:hAnsi="Arial" w:cs="Arial"/>
                <w:b/>
                <w:bCs/>
                <w:sz w:val="20"/>
                <w:szCs w:val="20"/>
              </w:rPr>
              <w:t>KVASAR</w:t>
            </w:r>
            <w:r w:rsidRPr="0005109D">
              <w:rPr>
                <w:rFonts w:ascii="Arial" w:hAnsi="Arial" w:cs="Arial"/>
                <w:sz w:val="20"/>
                <w:szCs w:val="20"/>
              </w:rPr>
              <w:t>, které jsou realizovány projektovou kanceláří MPSV. Dále se jedná o projekty Národního pedagogického institutu, a to Mistrovská zkouška – systém a UpSkilling CZ. V roce 2020 došlo k prodloužení realizace projektů DigiStrategie celkem o 11 měsíců, tj. do 31. 7. 2021 a UpSkilling CZ o 8 a půl měsíce do konce roku 2023.</w:t>
            </w:r>
          </w:p>
          <w:p w14:paraId="1A4F1096" w14:textId="75F04DED" w:rsidR="00FF32B9" w:rsidRPr="0005109D" w:rsidRDefault="00CA1E77" w:rsidP="00BB3DF7">
            <w:pPr>
              <w:spacing w:after="120"/>
              <w:ind w:left="136" w:right="238"/>
              <w:rPr>
                <w:rFonts w:ascii="Arial" w:hAnsi="Arial" w:cs="Arial"/>
                <w:b/>
                <w:color w:val="auto"/>
                <w:sz w:val="20"/>
                <w:szCs w:val="20"/>
              </w:rPr>
            </w:pPr>
            <w:r w:rsidRPr="0005109D">
              <w:rPr>
                <w:rFonts w:ascii="Arial" w:hAnsi="Arial" w:cs="Arial"/>
                <w:b/>
                <w:color w:val="auto"/>
                <w:sz w:val="20"/>
                <w:szCs w:val="20"/>
              </w:rPr>
              <w:t xml:space="preserve">IP1.5 </w:t>
            </w:r>
            <w:r w:rsidR="00FF32B9" w:rsidRPr="0005109D">
              <w:rPr>
                <w:rFonts w:ascii="Arial" w:hAnsi="Arial" w:cs="Arial"/>
                <w:b/>
                <w:color w:val="auto"/>
                <w:sz w:val="20"/>
                <w:szCs w:val="20"/>
              </w:rPr>
              <w:t>„Udržitelná integrace mladých lidí (15-24 let) mimo zaměstnání, vzdělávání nebo odbornou přípravu na trh práce, pro projekty financované Iniciativou na podporu zaměstnanosti mládeže“ (</w:t>
            </w:r>
            <w:r w:rsidRPr="0005109D">
              <w:rPr>
                <w:rFonts w:ascii="Arial" w:hAnsi="Arial" w:cs="Arial"/>
                <w:b/>
                <w:color w:val="auto"/>
                <w:sz w:val="20"/>
                <w:szCs w:val="20"/>
              </w:rPr>
              <w:t>YEI</w:t>
            </w:r>
            <w:r w:rsidR="00FF32B9" w:rsidRPr="0005109D">
              <w:rPr>
                <w:rFonts w:ascii="Arial" w:hAnsi="Arial" w:cs="Arial"/>
                <w:b/>
                <w:color w:val="auto"/>
                <w:sz w:val="20"/>
                <w:szCs w:val="20"/>
              </w:rPr>
              <w:t>)</w:t>
            </w:r>
          </w:p>
          <w:p w14:paraId="1D3F432A" w14:textId="77777777" w:rsidR="00E02FF0" w:rsidRPr="0005109D" w:rsidRDefault="00E02FF0" w:rsidP="00BB3DF7">
            <w:pPr>
              <w:spacing w:after="120"/>
              <w:ind w:left="136" w:right="238"/>
              <w:rPr>
                <w:rFonts w:ascii="Arial" w:hAnsi="Arial" w:cs="Arial"/>
                <w:bCs/>
                <w:sz w:val="20"/>
                <w:szCs w:val="20"/>
              </w:rPr>
            </w:pPr>
            <w:r w:rsidRPr="0005109D">
              <w:rPr>
                <w:rFonts w:ascii="Arial" w:hAnsi="Arial" w:cs="Arial"/>
                <w:bCs/>
                <w:sz w:val="20"/>
                <w:szCs w:val="20"/>
              </w:rPr>
              <w:t>Iniciativa na podporu zaměstnanosti mladých lidí (YEI) je prováděna v rámci Operačního programu Zaměstnanost (OPZ) jako součást prioritní osy 1, investiční priority 1.5. Celková alokace YEI v rámci OPZ představuje 29,6 mil. EUR (fond YEI 13 599 984 EUR, související ESF 13 599 984 EUR). Národní spolufinancování činí 2 399 998 EUR (míra EU spolufinancování 91,89 %).</w:t>
            </w:r>
          </w:p>
          <w:p w14:paraId="224C4090" w14:textId="653D0CCB" w:rsidR="00E02FF0" w:rsidRPr="0005109D" w:rsidRDefault="00E02FF0" w:rsidP="00BB3DF7">
            <w:pPr>
              <w:spacing w:after="120"/>
              <w:ind w:left="136" w:right="238"/>
              <w:rPr>
                <w:rFonts w:ascii="Arial" w:hAnsi="Arial" w:cs="Arial"/>
                <w:sz w:val="20"/>
                <w:szCs w:val="20"/>
              </w:rPr>
            </w:pPr>
            <w:r w:rsidRPr="0005109D">
              <w:rPr>
                <w:rFonts w:ascii="Arial" w:hAnsi="Arial" w:cs="Arial"/>
                <w:sz w:val="20"/>
                <w:szCs w:val="20"/>
              </w:rPr>
              <w:t xml:space="preserve">Iniciativa na podporu zaměstnanosti mladých lidí (YEI) je v OPZ nyní realizována čtyřmi výzvami. Jedná se o </w:t>
            </w:r>
            <w:r w:rsidRPr="0005109D">
              <w:rPr>
                <w:rFonts w:ascii="Arial" w:hAnsi="Arial" w:cs="Arial"/>
                <w:bCs/>
                <w:sz w:val="20"/>
                <w:szCs w:val="20"/>
              </w:rPr>
              <w:t>výzvu č</w:t>
            </w:r>
            <w:r w:rsidRPr="0005109D">
              <w:rPr>
                <w:rFonts w:ascii="Arial" w:hAnsi="Arial" w:cs="Arial"/>
                <w:sz w:val="20"/>
                <w:szCs w:val="20"/>
              </w:rPr>
              <w:t xml:space="preserve">. </w:t>
            </w:r>
            <w:r w:rsidRPr="0005109D">
              <w:rPr>
                <w:rFonts w:ascii="Arial" w:hAnsi="Arial" w:cs="Arial"/>
                <w:b/>
                <w:sz w:val="20"/>
                <w:szCs w:val="20"/>
              </w:rPr>
              <w:t xml:space="preserve">3 „Iniciativa na podporu zaměstnanosti mládeže pro region NUTS Severozápad v Ústeckém a </w:t>
            </w:r>
            <w:r w:rsidRPr="0005109D">
              <w:rPr>
                <w:rFonts w:ascii="Arial" w:hAnsi="Arial" w:cs="Arial"/>
                <w:b/>
                <w:sz w:val="20"/>
                <w:szCs w:val="20"/>
              </w:rPr>
              <w:lastRenderedPageBreak/>
              <w:t xml:space="preserve">Karlovarském kraji“ </w:t>
            </w:r>
            <w:r w:rsidRPr="0005109D">
              <w:rPr>
                <w:rFonts w:ascii="Arial" w:hAnsi="Arial" w:cs="Arial"/>
                <w:sz w:val="20"/>
                <w:szCs w:val="20"/>
              </w:rPr>
              <w:t xml:space="preserve">s alokací 24,3 mil. EUR, </w:t>
            </w:r>
            <w:r w:rsidRPr="0005109D">
              <w:rPr>
                <w:rFonts w:ascii="Arial" w:hAnsi="Arial" w:cs="Arial"/>
                <w:bCs/>
                <w:sz w:val="20"/>
                <w:szCs w:val="20"/>
              </w:rPr>
              <w:t>výzvu č.</w:t>
            </w:r>
            <w:r w:rsidRPr="0005109D">
              <w:rPr>
                <w:rFonts w:ascii="Arial" w:hAnsi="Arial" w:cs="Arial"/>
                <w:sz w:val="20"/>
                <w:szCs w:val="20"/>
              </w:rPr>
              <w:t> </w:t>
            </w:r>
            <w:r w:rsidRPr="0005109D">
              <w:rPr>
                <w:rFonts w:ascii="Arial" w:hAnsi="Arial" w:cs="Arial"/>
                <w:b/>
                <w:sz w:val="20"/>
                <w:szCs w:val="20"/>
              </w:rPr>
              <w:t>116 „Iniciativa na podporu zaměstnanosti mládeže pro region NUTS II Severozápad – kraje“</w:t>
            </w:r>
            <w:r w:rsidRPr="0005109D">
              <w:rPr>
                <w:rFonts w:ascii="Arial" w:hAnsi="Arial" w:cs="Arial"/>
                <w:sz w:val="20"/>
                <w:szCs w:val="20"/>
              </w:rPr>
              <w:t xml:space="preserve"> s alokací cca 6 mil. EUR (zaměřena na Ústecký a Karlovarský kraj), </w:t>
            </w:r>
            <w:r w:rsidRPr="0005109D">
              <w:rPr>
                <w:rFonts w:ascii="Arial" w:hAnsi="Arial" w:cs="Arial"/>
                <w:bCs/>
                <w:sz w:val="20"/>
                <w:szCs w:val="20"/>
              </w:rPr>
              <w:t>výzvu č.</w:t>
            </w:r>
            <w:r w:rsidRPr="0005109D">
              <w:rPr>
                <w:rFonts w:ascii="Arial" w:hAnsi="Arial" w:cs="Arial"/>
                <w:b/>
                <w:sz w:val="20"/>
                <w:szCs w:val="20"/>
              </w:rPr>
              <w:t xml:space="preserve"> 91 „Iniciativa na podporu zaměstnanosti mládeže pro regiony NUTS II Severozápad a NUTS II Moravskoslezsko – kraje“ </w:t>
            </w:r>
            <w:r w:rsidRPr="0005109D">
              <w:rPr>
                <w:rFonts w:ascii="Arial" w:hAnsi="Arial" w:cs="Arial"/>
                <w:sz w:val="20"/>
                <w:szCs w:val="20"/>
              </w:rPr>
              <w:t xml:space="preserve">s alokací 2,6 mil. EUR a </w:t>
            </w:r>
            <w:r w:rsidR="00F065DB">
              <w:rPr>
                <w:rFonts w:ascii="Arial" w:hAnsi="Arial" w:cs="Arial"/>
                <w:sz w:val="20"/>
                <w:szCs w:val="20"/>
              </w:rPr>
              <w:t xml:space="preserve">výzvu </w:t>
            </w:r>
            <w:r w:rsidRPr="0005109D">
              <w:rPr>
                <w:rFonts w:ascii="Arial" w:hAnsi="Arial" w:cs="Arial"/>
                <w:bCs/>
                <w:sz w:val="20"/>
                <w:szCs w:val="20"/>
              </w:rPr>
              <w:t>č.</w:t>
            </w:r>
            <w:r w:rsidRPr="0005109D">
              <w:rPr>
                <w:rFonts w:ascii="Arial" w:hAnsi="Arial" w:cs="Arial"/>
                <w:b/>
                <w:sz w:val="20"/>
                <w:szCs w:val="20"/>
              </w:rPr>
              <w:t xml:space="preserve"> 136 „Iniciativa na podporu zaměstnanosti mládeže pro region NUTS II Severozápad a NUTS II Moravskoslezsko </w:t>
            </w:r>
            <w:r w:rsidR="00F065DB" w:rsidRPr="0005109D">
              <w:rPr>
                <w:rFonts w:ascii="Arial" w:hAnsi="Arial" w:cs="Arial"/>
                <w:b/>
                <w:color w:val="auto"/>
                <w:sz w:val="20"/>
                <w:szCs w:val="20"/>
              </w:rPr>
              <w:t>–</w:t>
            </w:r>
            <w:r w:rsidRPr="0005109D">
              <w:rPr>
                <w:rFonts w:ascii="Arial" w:hAnsi="Arial" w:cs="Arial"/>
                <w:b/>
                <w:sz w:val="20"/>
                <w:szCs w:val="20"/>
              </w:rPr>
              <w:t xml:space="preserve"> ÚP ČR“</w:t>
            </w:r>
            <w:r w:rsidRPr="0005109D">
              <w:rPr>
                <w:rFonts w:ascii="Arial" w:hAnsi="Arial" w:cs="Arial"/>
                <w:sz w:val="20"/>
                <w:szCs w:val="20"/>
              </w:rPr>
              <w:t xml:space="preserve"> s alokací 1,9 mil. EUR.</w:t>
            </w:r>
          </w:p>
          <w:p w14:paraId="1A4F1098" w14:textId="508C7EFD" w:rsidR="00C75A07" w:rsidRPr="0005109D" w:rsidRDefault="000E7593" w:rsidP="00BB3DF7">
            <w:pPr>
              <w:spacing w:after="120"/>
              <w:ind w:left="136" w:right="238"/>
              <w:rPr>
                <w:rFonts w:ascii="Arial" w:hAnsi="Arial" w:cs="Arial"/>
                <w:sz w:val="20"/>
                <w:szCs w:val="20"/>
              </w:rPr>
            </w:pPr>
            <w:r w:rsidRPr="0005109D">
              <w:rPr>
                <w:rFonts w:ascii="Arial" w:hAnsi="Arial" w:cs="Arial"/>
                <w:color w:val="auto"/>
                <w:sz w:val="20"/>
                <w:szCs w:val="20"/>
              </w:rPr>
              <w:t xml:space="preserve">V rámci výzvy č. </w:t>
            </w:r>
            <w:r w:rsidRPr="00F065DB">
              <w:rPr>
                <w:rFonts w:ascii="Arial" w:hAnsi="Arial" w:cs="Arial"/>
                <w:b/>
                <w:bCs/>
                <w:color w:val="auto"/>
                <w:sz w:val="20"/>
                <w:szCs w:val="20"/>
              </w:rPr>
              <w:t>136</w:t>
            </w:r>
            <w:r w:rsidRPr="0005109D">
              <w:rPr>
                <w:rFonts w:ascii="Arial" w:hAnsi="Arial" w:cs="Arial"/>
                <w:color w:val="auto"/>
                <w:sz w:val="20"/>
                <w:szCs w:val="20"/>
              </w:rPr>
              <w:t xml:space="preserve"> </w:t>
            </w:r>
            <w:r w:rsidRPr="0005109D">
              <w:rPr>
                <w:rFonts w:ascii="Arial" w:hAnsi="Arial" w:cs="Arial"/>
                <w:b/>
                <w:color w:val="auto"/>
                <w:sz w:val="20"/>
                <w:szCs w:val="20"/>
              </w:rPr>
              <w:t xml:space="preserve">„Iniciativa na podporu zaměstnanosti mládeže pro region NUTS II Severozápad a NUTS II </w:t>
            </w:r>
            <w:r w:rsidR="00F065DB" w:rsidRPr="0005109D">
              <w:rPr>
                <w:rFonts w:ascii="Arial" w:hAnsi="Arial" w:cs="Arial"/>
                <w:b/>
                <w:color w:val="auto"/>
                <w:sz w:val="20"/>
                <w:szCs w:val="20"/>
              </w:rPr>
              <w:t>Moravskoslezsko – ÚP</w:t>
            </w:r>
            <w:r w:rsidRPr="0005109D">
              <w:rPr>
                <w:rFonts w:ascii="Arial" w:hAnsi="Arial" w:cs="Arial"/>
                <w:b/>
                <w:color w:val="auto"/>
                <w:sz w:val="20"/>
                <w:szCs w:val="20"/>
              </w:rPr>
              <w:t xml:space="preserve"> ČR” </w:t>
            </w:r>
            <w:r w:rsidRPr="0005109D">
              <w:rPr>
                <w:rFonts w:ascii="Arial" w:hAnsi="Arial" w:cs="Arial"/>
                <w:bCs/>
                <w:color w:val="auto"/>
                <w:sz w:val="20"/>
                <w:szCs w:val="20"/>
              </w:rPr>
              <w:t xml:space="preserve">realizován 1 projekt GŘ ÚP ČR s názvem </w:t>
            </w:r>
            <w:r w:rsidRPr="0005109D">
              <w:rPr>
                <w:rFonts w:ascii="Arial" w:hAnsi="Arial" w:cs="Arial"/>
                <w:b/>
                <w:color w:val="auto"/>
                <w:sz w:val="20"/>
                <w:szCs w:val="20"/>
              </w:rPr>
              <w:t>INICIATIVA na podporu mladých uchazečů o zaměstnání</w:t>
            </w:r>
            <w:r w:rsidRPr="00F065DB">
              <w:rPr>
                <w:rFonts w:ascii="Arial" w:hAnsi="Arial" w:cs="Arial"/>
                <w:bCs/>
                <w:color w:val="auto"/>
                <w:sz w:val="20"/>
                <w:szCs w:val="20"/>
              </w:rPr>
              <w:t xml:space="preserve"> </w:t>
            </w:r>
            <w:r w:rsidRPr="0005109D">
              <w:rPr>
                <w:rFonts w:ascii="Arial" w:hAnsi="Arial" w:cs="Arial"/>
                <w:bCs/>
                <w:color w:val="auto"/>
                <w:sz w:val="20"/>
                <w:szCs w:val="20"/>
              </w:rPr>
              <w:t xml:space="preserve">s celkovým rozpočtem 1,64 mil. EUR (období realizace 1/2020 - 6/2021). </w:t>
            </w:r>
            <w:bookmarkStart w:id="1" w:name="_Hlk64998036"/>
            <w:r w:rsidRPr="0005109D">
              <w:rPr>
                <w:rFonts w:ascii="Arial" w:hAnsi="Arial" w:cs="Arial"/>
                <w:bCs/>
                <w:color w:val="auto"/>
                <w:sz w:val="20"/>
                <w:szCs w:val="20"/>
              </w:rPr>
              <w:t>Projekt bude realizován do dočerpání zbývající alokace YEI (cca 1,07 mil. EUR k 31. 12. 2020)</w:t>
            </w:r>
            <w:bookmarkEnd w:id="1"/>
            <w:r w:rsidRPr="0005109D">
              <w:rPr>
                <w:rFonts w:ascii="Arial" w:hAnsi="Arial" w:cs="Arial"/>
                <w:color w:val="auto"/>
                <w:sz w:val="20"/>
                <w:szCs w:val="20"/>
              </w:rPr>
              <w:t xml:space="preserve"> </w:t>
            </w:r>
            <w:r w:rsidRPr="0005109D">
              <w:rPr>
                <w:rFonts w:ascii="Arial" w:hAnsi="Arial" w:cs="Arial"/>
                <w:bCs/>
                <w:color w:val="auto"/>
                <w:sz w:val="20"/>
                <w:szCs w:val="20"/>
              </w:rPr>
              <w:t>prostřednictvím KrP ÚP ČR v Ústeckém, Karlovarském a Moravskoslezském kraji. Projekt je zaměřen na cílovou skupinu mladých do 30 let, kteří musí mít kumulaci znevýhodnění ovlivňujících jejich schopnost uplatnit se na trhu práce.</w:t>
            </w:r>
          </w:p>
        </w:tc>
      </w:tr>
      <w:tr w:rsidR="002A326C" w:rsidRPr="00096506" w14:paraId="1A4F10B3" w14:textId="77777777" w:rsidTr="001936D1">
        <w:trPr>
          <w:trHeight w:val="159"/>
        </w:trPr>
        <w:tc>
          <w:tcPr>
            <w:tcW w:w="1378" w:type="dxa"/>
            <w:vAlign w:val="center"/>
          </w:tcPr>
          <w:p w14:paraId="1A4F109A" w14:textId="32DBA99B" w:rsidR="002A326C" w:rsidRPr="00096506" w:rsidRDefault="002A326C" w:rsidP="002A326C">
            <w:pPr>
              <w:ind w:left="181"/>
              <w:rPr>
                <w:rFonts w:ascii="Arial" w:hAnsi="Arial" w:cs="Arial"/>
                <w:sz w:val="20"/>
                <w:szCs w:val="20"/>
              </w:rPr>
            </w:pPr>
            <w:r w:rsidRPr="00096506">
              <w:rPr>
                <w:rFonts w:ascii="Arial" w:hAnsi="Arial" w:cs="Arial"/>
                <w:sz w:val="20"/>
                <w:szCs w:val="20"/>
              </w:rPr>
              <w:lastRenderedPageBreak/>
              <w:t>3.2</w:t>
            </w:r>
          </w:p>
        </w:tc>
        <w:tc>
          <w:tcPr>
            <w:tcW w:w="2637" w:type="dxa"/>
            <w:vAlign w:val="center"/>
          </w:tcPr>
          <w:p w14:paraId="1A4F109B" w14:textId="77777777" w:rsidR="002A326C" w:rsidRPr="00096506" w:rsidRDefault="002A326C" w:rsidP="00AA673F">
            <w:pPr>
              <w:ind w:left="79" w:right="103"/>
              <w:jc w:val="left"/>
              <w:rPr>
                <w:rFonts w:ascii="Arial" w:hAnsi="Arial" w:cs="Arial"/>
                <w:sz w:val="20"/>
                <w:szCs w:val="20"/>
              </w:rPr>
            </w:pPr>
            <w:r w:rsidRPr="00096506">
              <w:rPr>
                <w:rFonts w:ascii="Arial" w:hAnsi="Arial" w:cs="Arial"/>
                <w:sz w:val="20"/>
                <w:szCs w:val="20"/>
              </w:rPr>
              <w:t>Sociální začleňování a boj s chudobou</w:t>
            </w:r>
          </w:p>
        </w:tc>
        <w:tc>
          <w:tcPr>
            <w:tcW w:w="10154" w:type="dxa"/>
            <w:vAlign w:val="center"/>
          </w:tcPr>
          <w:p w14:paraId="1A4F109C" w14:textId="6723FEE1" w:rsidR="004A29A6" w:rsidRPr="0005109D" w:rsidRDefault="004A29A6" w:rsidP="00BB3DF7">
            <w:pPr>
              <w:spacing w:after="120"/>
              <w:ind w:left="136" w:right="238"/>
              <w:rPr>
                <w:rFonts w:ascii="Arial" w:eastAsia="Arial" w:hAnsi="Arial" w:cs="Arial"/>
                <w:b/>
                <w:sz w:val="20"/>
                <w:szCs w:val="20"/>
              </w:rPr>
            </w:pPr>
            <w:r w:rsidRPr="0005109D">
              <w:rPr>
                <w:rFonts w:ascii="Arial" w:eastAsia="Arial" w:hAnsi="Arial" w:cs="Arial"/>
                <w:b/>
                <w:sz w:val="20"/>
                <w:szCs w:val="20"/>
              </w:rPr>
              <w:t xml:space="preserve">Prioritní osa 2 „Sociální začleňování a boj s chudobou“ </w:t>
            </w:r>
            <w:r w:rsidRPr="0005109D">
              <w:rPr>
                <w:rFonts w:ascii="Arial" w:eastAsia="Arial" w:hAnsi="Arial" w:cs="Arial"/>
                <w:sz w:val="20"/>
                <w:szCs w:val="20"/>
              </w:rPr>
              <w:t xml:space="preserve">(PO2) je prováděna prostřednictvím tří investičních priorit (IP), z nichž nejvyšší objem finančních prostředků alokovaných ve výzvách a nejvyšší počet předložených projektů představuje IP2.1. Objem prostředků alokovaných na PO2 činí celkem </w:t>
            </w:r>
            <w:r w:rsidR="002703A6" w:rsidRPr="0005109D">
              <w:rPr>
                <w:rFonts w:ascii="Arial" w:eastAsia="Arial" w:hAnsi="Arial" w:cs="Arial"/>
                <w:sz w:val="20"/>
                <w:szCs w:val="20"/>
              </w:rPr>
              <w:t>740</w:t>
            </w:r>
            <w:r w:rsidRPr="0005109D">
              <w:rPr>
                <w:rFonts w:ascii="Arial" w:eastAsia="Arial" w:hAnsi="Arial" w:cs="Arial"/>
                <w:sz w:val="20"/>
                <w:szCs w:val="20"/>
              </w:rPr>
              <w:t xml:space="preserve"> mil. EUR, což představuje 2</w:t>
            </w:r>
            <w:r w:rsidR="0072769B" w:rsidRPr="0005109D">
              <w:rPr>
                <w:rFonts w:ascii="Arial" w:eastAsia="Arial" w:hAnsi="Arial" w:cs="Arial"/>
                <w:sz w:val="20"/>
                <w:szCs w:val="20"/>
              </w:rPr>
              <w:t>6</w:t>
            </w:r>
            <w:r w:rsidRPr="0005109D">
              <w:rPr>
                <w:rFonts w:ascii="Arial" w:eastAsia="Arial" w:hAnsi="Arial" w:cs="Arial"/>
                <w:sz w:val="20"/>
                <w:szCs w:val="20"/>
              </w:rPr>
              <w:t> % z celkového objemu finančních prostředků určených na OPZ.</w:t>
            </w:r>
            <w:r w:rsidRPr="0005109D">
              <w:rPr>
                <w:rFonts w:ascii="Arial" w:eastAsia="Arial" w:hAnsi="Arial" w:cs="Arial"/>
                <w:b/>
                <w:sz w:val="20"/>
                <w:szCs w:val="20"/>
              </w:rPr>
              <w:t xml:space="preserve"> </w:t>
            </w:r>
          </w:p>
          <w:p w14:paraId="757036CD" w14:textId="6CF355C6" w:rsidR="00BC3DF9" w:rsidRPr="0005109D" w:rsidRDefault="00BC3DF9" w:rsidP="00BB3DF7">
            <w:pPr>
              <w:spacing w:after="120"/>
              <w:ind w:left="136" w:right="238"/>
              <w:rPr>
                <w:rFonts w:ascii="Arial" w:eastAsia="Arial" w:hAnsi="Arial" w:cs="Arial"/>
                <w:b/>
                <w:sz w:val="20"/>
                <w:szCs w:val="20"/>
              </w:rPr>
            </w:pPr>
            <w:r w:rsidRPr="0005109D">
              <w:rPr>
                <w:rFonts w:ascii="Arial" w:eastAsia="Arial" w:hAnsi="Arial" w:cs="Arial"/>
                <w:sz w:val="20"/>
                <w:szCs w:val="20"/>
              </w:rPr>
              <w:t>Celkem bylo od začátku programového období do konce roku 2020 vyhlášeno 43 výzev v celkovém objemu cca 919 mil. EUR.</w:t>
            </w:r>
          </w:p>
          <w:p w14:paraId="4DDB9A75" w14:textId="77777777" w:rsidR="00D9198D" w:rsidRPr="0005109D" w:rsidRDefault="00D9198D" w:rsidP="00BB3DF7">
            <w:pPr>
              <w:keepNext/>
              <w:keepLines/>
              <w:spacing w:after="120"/>
              <w:ind w:left="136" w:right="238"/>
              <w:rPr>
                <w:rFonts w:ascii="Arial" w:hAnsi="Arial" w:cs="Arial"/>
                <w:b/>
                <w:sz w:val="20"/>
                <w:szCs w:val="20"/>
              </w:rPr>
            </w:pPr>
            <w:r w:rsidRPr="0005109D">
              <w:rPr>
                <w:rFonts w:ascii="Arial" w:hAnsi="Arial" w:cs="Arial"/>
                <w:b/>
                <w:sz w:val="20"/>
                <w:szCs w:val="20"/>
              </w:rPr>
              <w:t>IP2.1</w:t>
            </w:r>
            <w:r w:rsidRPr="0005109D">
              <w:rPr>
                <w:rFonts w:ascii="Arial" w:hAnsi="Arial" w:cs="Arial"/>
                <w:sz w:val="20"/>
                <w:szCs w:val="20"/>
              </w:rPr>
              <w:t xml:space="preserve"> „</w:t>
            </w:r>
            <w:r w:rsidRPr="0005109D">
              <w:rPr>
                <w:rFonts w:ascii="Arial" w:hAnsi="Arial" w:cs="Arial"/>
                <w:b/>
                <w:sz w:val="20"/>
                <w:szCs w:val="20"/>
              </w:rPr>
              <w:t>Aktivní začleňování, zejména za účelem zvyšování zaměstnatelnosti“</w:t>
            </w:r>
          </w:p>
          <w:p w14:paraId="3FA8E811" w14:textId="4615E188" w:rsidR="00D9198D" w:rsidRPr="0005109D" w:rsidRDefault="00D9198D" w:rsidP="00BB3DF7">
            <w:pPr>
              <w:keepNext/>
              <w:keepLines/>
              <w:spacing w:after="120"/>
              <w:ind w:left="136" w:right="238"/>
              <w:rPr>
                <w:rFonts w:ascii="Arial" w:hAnsi="Arial" w:cs="Arial"/>
                <w:sz w:val="20"/>
                <w:szCs w:val="20"/>
              </w:rPr>
            </w:pPr>
            <w:r w:rsidRPr="0005109D">
              <w:rPr>
                <w:rFonts w:ascii="Arial" w:hAnsi="Arial" w:cs="Arial"/>
                <w:sz w:val="20"/>
                <w:szCs w:val="20"/>
              </w:rPr>
              <w:t xml:space="preserve">Naplnění tematického cíle 9i (Aktivní začleňování, včetně začleňování s ohledem na podporu rovných příležitostí a aktivní účast a zlepšení zaměstnatelnosti) pro IP2.1 bude probíhat prostřednictvím projektů realizovaných v příslušných výzvách. </w:t>
            </w:r>
          </w:p>
          <w:p w14:paraId="744EE25F" w14:textId="20238E8E" w:rsidR="00324E67" w:rsidRPr="0005109D" w:rsidRDefault="00324E67" w:rsidP="00BB3DF7">
            <w:pPr>
              <w:spacing w:after="120"/>
              <w:ind w:left="136" w:right="238"/>
              <w:rPr>
                <w:rFonts w:ascii="Arial" w:eastAsia="Arial" w:hAnsi="Arial" w:cs="Arial"/>
                <w:sz w:val="20"/>
                <w:szCs w:val="20"/>
              </w:rPr>
            </w:pPr>
            <w:r w:rsidRPr="0005109D">
              <w:rPr>
                <w:rFonts w:ascii="Arial" w:eastAsia="Arial" w:hAnsi="Arial" w:cs="Arial"/>
                <w:sz w:val="20"/>
                <w:szCs w:val="20"/>
              </w:rPr>
              <w:t xml:space="preserve">V roce 2020 byla vyhlášena výzva č. </w:t>
            </w:r>
            <w:r w:rsidRPr="00D94459">
              <w:rPr>
                <w:rFonts w:ascii="Arial" w:eastAsia="Arial" w:hAnsi="Arial" w:cs="Arial"/>
                <w:b/>
                <w:bCs/>
                <w:sz w:val="20"/>
                <w:szCs w:val="20"/>
              </w:rPr>
              <w:t>139 „Podpora sociálního začleňování v Praze“</w:t>
            </w:r>
            <w:r w:rsidRPr="0005109D">
              <w:rPr>
                <w:rFonts w:ascii="Arial" w:eastAsia="Arial" w:hAnsi="Arial" w:cs="Arial"/>
                <w:sz w:val="20"/>
                <w:szCs w:val="20"/>
              </w:rPr>
              <w:t xml:space="preserve"> s celkovou alokací 3,8</w:t>
            </w:r>
            <w:r w:rsidR="00BC3DF9" w:rsidRPr="0005109D">
              <w:rPr>
                <w:rFonts w:ascii="Arial" w:eastAsia="Arial" w:hAnsi="Arial" w:cs="Arial"/>
                <w:sz w:val="20"/>
                <w:szCs w:val="20"/>
              </w:rPr>
              <w:t>1</w:t>
            </w:r>
            <w:r w:rsidRPr="0005109D">
              <w:rPr>
                <w:rFonts w:ascii="Arial" w:eastAsia="Arial" w:hAnsi="Arial" w:cs="Arial"/>
                <w:sz w:val="20"/>
                <w:szCs w:val="20"/>
              </w:rPr>
              <w:t xml:space="preserve"> mil. EUR. Ve výzvě bylo předloženo 92 žádostí v celkovém objemu 17,6 mil. EUR.</w:t>
            </w:r>
          </w:p>
          <w:p w14:paraId="0F20AB71" w14:textId="58C75FAD" w:rsidR="00BC3DF9" w:rsidRPr="0005109D" w:rsidRDefault="002900AD" w:rsidP="00BB3DF7">
            <w:pPr>
              <w:spacing w:after="120"/>
              <w:ind w:left="136" w:right="238"/>
              <w:rPr>
                <w:rFonts w:ascii="Arial" w:eastAsia="Arial" w:hAnsi="Arial" w:cs="Arial"/>
                <w:sz w:val="20"/>
                <w:szCs w:val="20"/>
              </w:rPr>
            </w:pPr>
            <w:r w:rsidRPr="0005109D">
              <w:rPr>
                <w:rFonts w:ascii="Arial" w:eastAsia="Arial" w:hAnsi="Arial" w:cs="Arial"/>
                <w:sz w:val="20"/>
                <w:szCs w:val="20"/>
              </w:rPr>
              <w:t>Byla</w:t>
            </w:r>
            <w:r w:rsidR="00BC3DF9" w:rsidRPr="0005109D">
              <w:rPr>
                <w:rFonts w:ascii="Arial" w:eastAsia="Arial" w:hAnsi="Arial" w:cs="Arial"/>
                <w:sz w:val="20"/>
                <w:szCs w:val="20"/>
              </w:rPr>
              <w:t xml:space="preserve"> uzavřena poslední výzva v rámci koordinovaného přístupu k sociálně vyloučeným lokalitám (KPSVL), celkem bylo v KPSVL podpořeno 190 projektů za 44,3 mil. EUR v 34 městech a obcích, které podaly 27 Strategických plánů sociálního začleňování a 31 Tematických akčních plánů.</w:t>
            </w:r>
          </w:p>
          <w:p w14:paraId="5B98CBA5" w14:textId="77777777" w:rsidR="00D9198D" w:rsidRPr="0005109D" w:rsidRDefault="00D9198D" w:rsidP="00BB3DF7">
            <w:pPr>
              <w:spacing w:after="120"/>
              <w:ind w:left="136" w:right="238"/>
              <w:rPr>
                <w:rFonts w:ascii="Arial" w:hAnsi="Arial" w:cs="Arial"/>
                <w:b/>
                <w:sz w:val="20"/>
                <w:szCs w:val="20"/>
              </w:rPr>
            </w:pPr>
            <w:r w:rsidRPr="0005109D">
              <w:rPr>
                <w:rFonts w:ascii="Arial" w:hAnsi="Arial" w:cs="Arial"/>
                <w:b/>
                <w:sz w:val="20"/>
                <w:szCs w:val="20"/>
              </w:rPr>
              <w:t>IP2.2</w:t>
            </w:r>
            <w:r w:rsidRPr="0005109D">
              <w:rPr>
                <w:rFonts w:ascii="Arial" w:hAnsi="Arial" w:cs="Arial"/>
                <w:sz w:val="20"/>
                <w:szCs w:val="20"/>
              </w:rPr>
              <w:t xml:space="preserve"> „</w:t>
            </w:r>
            <w:r w:rsidRPr="0005109D">
              <w:rPr>
                <w:rFonts w:ascii="Arial" w:hAnsi="Arial" w:cs="Arial"/>
                <w:b/>
                <w:sz w:val="20"/>
                <w:szCs w:val="20"/>
              </w:rPr>
              <w:t>Zlepšování přístupu k dostupným, udržitelným a vysoce kvalitním službám, včetně zdravotnictví a sociálních služeb obecného zájmu“</w:t>
            </w:r>
          </w:p>
          <w:p w14:paraId="048E211B" w14:textId="4E2E7E25" w:rsidR="00D9198D" w:rsidRPr="0005109D" w:rsidRDefault="00324E67" w:rsidP="00BB3DF7">
            <w:pPr>
              <w:spacing w:after="120"/>
              <w:ind w:left="136" w:right="238"/>
              <w:rPr>
                <w:rFonts w:ascii="Arial" w:hAnsi="Arial" w:cs="Arial"/>
                <w:sz w:val="20"/>
                <w:szCs w:val="20"/>
              </w:rPr>
            </w:pPr>
            <w:r w:rsidRPr="0005109D">
              <w:rPr>
                <w:rFonts w:ascii="Arial" w:hAnsi="Arial" w:cs="Arial"/>
                <w:sz w:val="20"/>
                <w:szCs w:val="20"/>
              </w:rPr>
              <w:t xml:space="preserve">Naplnění tematického cíle 9iv (Zlepšování přístupu k dostupným, udržitelným a vysoce kvalitním službám, včetně zdravotnictví a sociálních služeb obecného zájmu) pro IP 2.2 bude probíhat prostřednictvím projektů realizovaných v příslušných výzvách. </w:t>
            </w:r>
          </w:p>
          <w:p w14:paraId="68AA3CF6" w14:textId="57C2D627" w:rsidR="00BC3DF9" w:rsidRPr="0005109D" w:rsidRDefault="00BC3DF9" w:rsidP="00BB3DF7">
            <w:pPr>
              <w:spacing w:after="120"/>
              <w:ind w:left="136" w:right="238"/>
              <w:rPr>
                <w:rFonts w:ascii="Arial" w:hAnsi="Arial" w:cs="Arial"/>
                <w:sz w:val="20"/>
                <w:szCs w:val="20"/>
              </w:rPr>
            </w:pPr>
            <w:r w:rsidRPr="0005109D">
              <w:rPr>
                <w:rFonts w:ascii="Arial" w:hAnsi="Arial" w:cs="Arial"/>
                <w:sz w:val="20"/>
                <w:szCs w:val="20"/>
              </w:rPr>
              <w:lastRenderedPageBreak/>
              <w:t xml:space="preserve">V srpnu 2020 byla vyhlášena výzva č. </w:t>
            </w:r>
            <w:r w:rsidRPr="00CD78B5">
              <w:rPr>
                <w:rFonts w:ascii="Arial" w:hAnsi="Arial" w:cs="Arial"/>
                <w:b/>
                <w:bCs/>
                <w:sz w:val="20"/>
                <w:szCs w:val="20"/>
              </w:rPr>
              <w:t>137 „Budování kapacit romských a proromských nestátních neziskových organizací pro zapojení do přípravy a implementace programů spolufinancovaných z fondů EU“</w:t>
            </w:r>
            <w:r w:rsidRPr="0005109D">
              <w:rPr>
                <w:rFonts w:ascii="Arial" w:hAnsi="Arial" w:cs="Arial"/>
                <w:sz w:val="20"/>
                <w:szCs w:val="20"/>
              </w:rPr>
              <w:t xml:space="preserve"> s celkovou alokací 1,14 mil. EUR.</w:t>
            </w:r>
          </w:p>
          <w:p w14:paraId="61A35E44" w14:textId="77777777" w:rsidR="00324E67" w:rsidRPr="0005109D" w:rsidRDefault="00324E67" w:rsidP="00BB3DF7">
            <w:pPr>
              <w:spacing w:after="120"/>
              <w:ind w:left="136" w:right="238"/>
              <w:rPr>
                <w:rFonts w:ascii="Arial" w:hAnsi="Arial" w:cs="Arial"/>
                <w:b/>
                <w:sz w:val="20"/>
                <w:szCs w:val="20"/>
              </w:rPr>
            </w:pPr>
            <w:r w:rsidRPr="0005109D">
              <w:rPr>
                <w:rFonts w:ascii="Arial" w:hAnsi="Arial" w:cs="Arial"/>
                <w:b/>
                <w:sz w:val="20"/>
                <w:szCs w:val="20"/>
              </w:rPr>
              <w:t>IP2.3</w:t>
            </w:r>
            <w:r w:rsidRPr="0005109D">
              <w:rPr>
                <w:rFonts w:ascii="Arial" w:hAnsi="Arial" w:cs="Arial"/>
                <w:sz w:val="20"/>
                <w:szCs w:val="20"/>
              </w:rPr>
              <w:t xml:space="preserve"> „</w:t>
            </w:r>
            <w:r w:rsidRPr="0005109D">
              <w:rPr>
                <w:rFonts w:ascii="Arial" w:hAnsi="Arial" w:cs="Arial"/>
                <w:b/>
                <w:sz w:val="20"/>
                <w:szCs w:val="20"/>
              </w:rPr>
              <w:t>Strategie pro místní rozvoj s vedoucí úlohou komunit“</w:t>
            </w:r>
          </w:p>
          <w:p w14:paraId="3A9AD9D4" w14:textId="7A91AEC8" w:rsidR="00324E67" w:rsidRPr="0005109D" w:rsidRDefault="00324E67" w:rsidP="00BB3DF7">
            <w:pPr>
              <w:spacing w:after="120"/>
              <w:ind w:left="136" w:right="238"/>
              <w:rPr>
                <w:rFonts w:ascii="Arial" w:hAnsi="Arial" w:cs="Arial"/>
                <w:sz w:val="20"/>
                <w:szCs w:val="20"/>
              </w:rPr>
            </w:pPr>
            <w:r w:rsidRPr="0005109D">
              <w:rPr>
                <w:rFonts w:ascii="Arial" w:hAnsi="Arial" w:cs="Arial"/>
                <w:sz w:val="20"/>
                <w:szCs w:val="20"/>
              </w:rPr>
              <w:t xml:space="preserve">Naplnění tematického cíle 9vi (Strategie komunitně vedeného místního rozvoje – CLLD) pro IP2.3 bude probíhat prostřednictvím projektů realizovaných v příslušných výzvách. </w:t>
            </w:r>
          </w:p>
          <w:p w14:paraId="5480649B" w14:textId="3CC3590C" w:rsidR="00471DEA" w:rsidRPr="0005109D" w:rsidRDefault="002900AD" w:rsidP="00BB3DF7">
            <w:pPr>
              <w:spacing w:after="120"/>
              <w:ind w:left="136" w:right="238"/>
              <w:rPr>
                <w:rFonts w:ascii="Arial" w:eastAsia="Arial" w:hAnsi="Arial" w:cs="Arial"/>
                <w:sz w:val="20"/>
                <w:szCs w:val="20"/>
              </w:rPr>
            </w:pPr>
            <w:r w:rsidRPr="0005109D">
              <w:rPr>
                <w:rFonts w:ascii="Arial" w:eastAsia="Arial" w:hAnsi="Arial" w:cs="Arial"/>
                <w:sz w:val="20"/>
                <w:szCs w:val="20"/>
              </w:rPr>
              <w:t>Byly</w:t>
            </w:r>
            <w:r w:rsidR="00471DEA" w:rsidRPr="0005109D">
              <w:rPr>
                <w:rFonts w:ascii="Arial" w:eastAsia="Arial" w:hAnsi="Arial" w:cs="Arial"/>
                <w:sz w:val="20"/>
                <w:szCs w:val="20"/>
              </w:rPr>
              <w:t xml:space="preserve"> ukončeny výzvy pro integrované nástroje. </w:t>
            </w:r>
            <w:bookmarkStart w:id="2" w:name="_Hlk63179254"/>
            <w:r w:rsidR="00471DEA" w:rsidRPr="0005109D">
              <w:rPr>
                <w:rFonts w:ascii="Arial" w:eastAsia="Arial" w:hAnsi="Arial" w:cs="Arial"/>
                <w:sz w:val="20"/>
                <w:szCs w:val="20"/>
              </w:rPr>
              <w:t xml:space="preserve">Nejvíce se dařilo zejména v případě CLLD, kde objem finančních prostředků na projekty CLLD činil ke konci roku </w:t>
            </w:r>
            <w:r w:rsidR="00D9198D" w:rsidRPr="0005109D">
              <w:rPr>
                <w:rFonts w:ascii="Arial" w:hAnsi="Arial" w:cs="Arial"/>
                <w:sz w:val="20"/>
                <w:szCs w:val="20"/>
              </w:rPr>
              <w:t>74,5</w:t>
            </w:r>
            <w:r w:rsidR="00471DEA" w:rsidRPr="0005109D">
              <w:rPr>
                <w:rFonts w:ascii="Arial" w:hAnsi="Arial" w:cs="Arial"/>
                <w:sz w:val="20"/>
                <w:szCs w:val="20"/>
              </w:rPr>
              <w:t xml:space="preserve"> mil. </w:t>
            </w:r>
            <w:r w:rsidR="00D9198D" w:rsidRPr="0005109D">
              <w:rPr>
                <w:rFonts w:ascii="Arial" w:hAnsi="Arial" w:cs="Arial"/>
                <w:sz w:val="20"/>
                <w:szCs w:val="20"/>
              </w:rPr>
              <w:t>EUR</w:t>
            </w:r>
            <w:r w:rsidR="00471DEA" w:rsidRPr="0005109D">
              <w:rPr>
                <w:rFonts w:ascii="Arial" w:hAnsi="Arial" w:cs="Arial"/>
                <w:sz w:val="20"/>
                <w:szCs w:val="20"/>
              </w:rPr>
              <w:t>, což představuje 111 % celkové alokace IP2.3</w:t>
            </w:r>
            <w:r w:rsidR="00471DEA" w:rsidRPr="0005109D">
              <w:rPr>
                <w:rFonts w:ascii="Arial" w:eastAsia="Arial" w:hAnsi="Arial" w:cs="Arial"/>
                <w:sz w:val="20"/>
                <w:szCs w:val="20"/>
              </w:rPr>
              <w:t>.</w:t>
            </w:r>
            <w:bookmarkEnd w:id="2"/>
            <w:r w:rsidRPr="0005109D">
              <w:rPr>
                <w:rFonts w:ascii="Arial" w:eastAsia="Arial" w:hAnsi="Arial" w:cs="Arial"/>
                <w:sz w:val="20"/>
                <w:szCs w:val="20"/>
              </w:rPr>
              <w:t xml:space="preserve"> </w:t>
            </w:r>
            <w:r w:rsidR="00471DEA" w:rsidRPr="0005109D">
              <w:rPr>
                <w:rFonts w:ascii="Arial" w:eastAsia="Arial" w:hAnsi="Arial" w:cs="Arial"/>
                <w:sz w:val="20"/>
                <w:szCs w:val="20"/>
              </w:rPr>
              <w:t xml:space="preserve">S cílem vyčerpat stanovenou alokaci byla provedena závěrečná ověření způsobilosti u projektů ze zásobníku, z nichž některé byly dodatečně podpořeny k realizaci. </w:t>
            </w:r>
          </w:p>
          <w:p w14:paraId="1A4F10B2" w14:textId="5F7D753E" w:rsidR="00895703" w:rsidRPr="0005109D" w:rsidRDefault="00471DEA" w:rsidP="00BB3DF7">
            <w:pPr>
              <w:spacing w:after="120"/>
              <w:ind w:left="136" w:right="238"/>
              <w:rPr>
                <w:rFonts w:ascii="Arial" w:eastAsia="Arial" w:hAnsi="Arial" w:cs="Arial"/>
                <w:sz w:val="20"/>
                <w:szCs w:val="20"/>
              </w:rPr>
            </w:pPr>
            <w:r w:rsidRPr="0005109D">
              <w:rPr>
                <w:rFonts w:ascii="Arial" w:eastAsia="Arial" w:hAnsi="Arial" w:cs="Arial"/>
                <w:sz w:val="20"/>
                <w:szCs w:val="20"/>
              </w:rPr>
              <w:t xml:space="preserve">V roce 2020 byla realizace některých projektů ovlivněna situací ohledně COVID-19, která se promítla zejména do prodlužování doby trvání projektů či změny aktivit. </w:t>
            </w:r>
            <w:r w:rsidR="00895703" w:rsidRPr="0005109D">
              <w:rPr>
                <w:rFonts w:ascii="Arial" w:hAnsi="Arial" w:cs="Arial"/>
                <w:sz w:val="20"/>
                <w:szCs w:val="20"/>
              </w:rPr>
              <w:t xml:space="preserve"> </w:t>
            </w:r>
          </w:p>
        </w:tc>
      </w:tr>
      <w:tr w:rsidR="002A326C" w:rsidRPr="00096506" w14:paraId="1A4F10BA" w14:textId="77777777" w:rsidTr="001936D1">
        <w:trPr>
          <w:trHeight w:val="159"/>
        </w:trPr>
        <w:tc>
          <w:tcPr>
            <w:tcW w:w="1378" w:type="dxa"/>
            <w:vAlign w:val="center"/>
          </w:tcPr>
          <w:p w14:paraId="1A4F10B4" w14:textId="6B6D6B2C" w:rsidR="002A326C" w:rsidRPr="00096506" w:rsidRDefault="002A326C" w:rsidP="002A326C">
            <w:pPr>
              <w:ind w:left="181"/>
              <w:rPr>
                <w:rFonts w:ascii="Arial" w:hAnsi="Arial" w:cs="Arial"/>
                <w:sz w:val="20"/>
                <w:szCs w:val="20"/>
              </w:rPr>
            </w:pPr>
            <w:r w:rsidRPr="00096506">
              <w:rPr>
                <w:rFonts w:ascii="Arial" w:hAnsi="Arial" w:cs="Arial"/>
                <w:sz w:val="20"/>
                <w:szCs w:val="20"/>
              </w:rPr>
              <w:lastRenderedPageBreak/>
              <w:t>3.3</w:t>
            </w:r>
          </w:p>
        </w:tc>
        <w:tc>
          <w:tcPr>
            <w:tcW w:w="2637" w:type="dxa"/>
            <w:vAlign w:val="center"/>
          </w:tcPr>
          <w:p w14:paraId="1A4F10B5" w14:textId="77777777" w:rsidR="002A326C" w:rsidRPr="00096506" w:rsidRDefault="002A326C" w:rsidP="00AA673F">
            <w:pPr>
              <w:ind w:left="79" w:right="103"/>
              <w:jc w:val="left"/>
              <w:rPr>
                <w:rFonts w:ascii="Arial" w:hAnsi="Arial" w:cs="Arial"/>
                <w:sz w:val="20"/>
                <w:szCs w:val="20"/>
              </w:rPr>
            </w:pPr>
            <w:r w:rsidRPr="00096506">
              <w:rPr>
                <w:rFonts w:ascii="Arial" w:hAnsi="Arial" w:cs="Arial"/>
                <w:sz w:val="20"/>
                <w:szCs w:val="20"/>
              </w:rPr>
              <w:t>Sociální inovace a mezinárodní spolupráce</w:t>
            </w:r>
          </w:p>
        </w:tc>
        <w:tc>
          <w:tcPr>
            <w:tcW w:w="10154" w:type="dxa"/>
            <w:vAlign w:val="center"/>
          </w:tcPr>
          <w:p w14:paraId="07C304C0" w14:textId="48CD798F" w:rsidR="00957744" w:rsidRPr="0005109D" w:rsidRDefault="003C33C3" w:rsidP="00BB3DF7">
            <w:pPr>
              <w:spacing w:after="120"/>
              <w:ind w:left="136" w:right="238"/>
              <w:rPr>
                <w:rFonts w:ascii="Arial" w:hAnsi="Arial" w:cs="Arial"/>
                <w:sz w:val="20"/>
                <w:szCs w:val="20"/>
              </w:rPr>
            </w:pPr>
            <w:r w:rsidRPr="0005109D">
              <w:rPr>
                <w:rFonts w:ascii="Arial" w:hAnsi="Arial" w:cs="Arial"/>
                <w:b/>
                <w:sz w:val="20"/>
                <w:szCs w:val="20"/>
              </w:rPr>
              <w:t>Prioritní osa 3 „Sociální inovace a mezinárodní spolupráce“</w:t>
            </w:r>
            <w:r w:rsidRPr="0005109D">
              <w:rPr>
                <w:rFonts w:ascii="Arial" w:hAnsi="Arial" w:cs="Arial"/>
                <w:sz w:val="20"/>
                <w:szCs w:val="20"/>
              </w:rPr>
              <w:t xml:space="preserve"> (</w:t>
            </w:r>
            <w:r w:rsidR="000E070F" w:rsidRPr="0005109D">
              <w:rPr>
                <w:rFonts w:ascii="Arial" w:hAnsi="Arial" w:cs="Arial"/>
                <w:sz w:val="20"/>
                <w:szCs w:val="20"/>
              </w:rPr>
              <w:t>PO3): Objem prostředků alokovaný</w:t>
            </w:r>
            <w:r w:rsidRPr="0005109D">
              <w:rPr>
                <w:rFonts w:ascii="Arial" w:hAnsi="Arial" w:cs="Arial"/>
                <w:sz w:val="20"/>
                <w:szCs w:val="20"/>
              </w:rPr>
              <w:t xml:space="preserve">ch na PO3 představuje </w:t>
            </w:r>
            <w:r w:rsidR="00435BE9" w:rsidRPr="0005109D">
              <w:rPr>
                <w:rFonts w:ascii="Arial" w:hAnsi="Arial" w:cs="Arial"/>
                <w:sz w:val="20"/>
                <w:szCs w:val="20"/>
              </w:rPr>
              <w:t xml:space="preserve">46,6 mil. EUR, tj. </w:t>
            </w:r>
            <w:r w:rsidR="00E02FF0" w:rsidRPr="0005109D">
              <w:rPr>
                <w:rFonts w:ascii="Arial" w:hAnsi="Arial" w:cs="Arial"/>
                <w:sz w:val="20"/>
                <w:szCs w:val="20"/>
              </w:rPr>
              <w:t>2</w:t>
            </w:r>
            <w:r w:rsidRPr="0005109D">
              <w:rPr>
                <w:rFonts w:ascii="Arial" w:hAnsi="Arial" w:cs="Arial"/>
                <w:sz w:val="20"/>
                <w:szCs w:val="20"/>
              </w:rPr>
              <w:t xml:space="preserve"> % z celkového objemu finančních prostř</w:t>
            </w:r>
            <w:r w:rsidR="009743B1" w:rsidRPr="0005109D">
              <w:rPr>
                <w:rFonts w:ascii="Arial" w:hAnsi="Arial" w:cs="Arial"/>
                <w:sz w:val="20"/>
                <w:szCs w:val="20"/>
              </w:rPr>
              <w:t xml:space="preserve">edků určených na OPZ. </w:t>
            </w:r>
            <w:r w:rsidR="00E02FF0" w:rsidRPr="0005109D">
              <w:rPr>
                <w:rFonts w:ascii="Arial" w:hAnsi="Arial" w:cs="Arial"/>
                <w:sz w:val="20"/>
                <w:szCs w:val="20"/>
              </w:rPr>
              <w:t>Od začátku programového období je tak vyhlášeno celkem 8 výzev v celkovém objemu cca 60,42 mil. EUR. PO3 je jako celek zaměřena na podporu sociálních inovací a mezinárodní spoluprá</w:t>
            </w:r>
            <w:r w:rsidR="00471DEA" w:rsidRPr="0005109D">
              <w:rPr>
                <w:rFonts w:ascii="Arial" w:hAnsi="Arial" w:cs="Arial"/>
                <w:sz w:val="20"/>
                <w:szCs w:val="20"/>
              </w:rPr>
              <w:t>ci</w:t>
            </w:r>
            <w:r w:rsidR="00E02FF0" w:rsidRPr="0005109D">
              <w:rPr>
                <w:rFonts w:ascii="Arial" w:hAnsi="Arial" w:cs="Arial"/>
                <w:sz w:val="20"/>
                <w:szCs w:val="20"/>
              </w:rPr>
              <w:t>, proto je předpokládán její dílčí příspěvek k tematickému cíli č. 1 Posílení výzkumu, technologického rozvoje a inovací.</w:t>
            </w:r>
          </w:p>
          <w:p w14:paraId="738CBAB9" w14:textId="12709A10" w:rsidR="00957744" w:rsidRPr="0005109D" w:rsidRDefault="00957744" w:rsidP="00BB3DF7">
            <w:pPr>
              <w:spacing w:after="120"/>
              <w:ind w:left="136" w:right="238"/>
              <w:rPr>
                <w:rFonts w:ascii="Arial" w:hAnsi="Arial" w:cs="Arial"/>
                <w:sz w:val="20"/>
                <w:szCs w:val="20"/>
              </w:rPr>
            </w:pPr>
            <w:r w:rsidRPr="0005109D">
              <w:rPr>
                <w:rFonts w:ascii="Arial" w:hAnsi="Arial" w:cs="Arial"/>
                <w:sz w:val="20"/>
                <w:szCs w:val="20"/>
              </w:rPr>
              <w:t>V roce 2020 byly realizovány inovační projekty subjektů veřejné správy ve výzvě č.</w:t>
            </w:r>
            <w:r w:rsidR="003B51A6" w:rsidRPr="0005109D">
              <w:rPr>
                <w:rFonts w:ascii="Arial" w:hAnsi="Arial" w:cs="Arial"/>
                <w:sz w:val="20"/>
                <w:szCs w:val="20"/>
              </w:rPr>
              <w:t xml:space="preserve"> </w:t>
            </w:r>
            <w:r w:rsidRPr="0005109D">
              <w:rPr>
                <w:rFonts w:ascii="Arial" w:hAnsi="Arial" w:cs="Arial"/>
                <w:b/>
                <w:bCs/>
                <w:sz w:val="20"/>
                <w:szCs w:val="20"/>
              </w:rPr>
              <w:t>18</w:t>
            </w:r>
            <w:r w:rsidRPr="0005109D">
              <w:rPr>
                <w:rFonts w:ascii="Arial" w:hAnsi="Arial" w:cs="Arial"/>
                <w:sz w:val="20"/>
                <w:szCs w:val="20"/>
              </w:rPr>
              <w:t xml:space="preserve"> </w:t>
            </w:r>
            <w:r w:rsidR="003B51A6" w:rsidRPr="0005109D">
              <w:rPr>
                <w:rFonts w:ascii="Arial" w:eastAsia="Calibri" w:hAnsi="Arial" w:cs="Arial"/>
                <w:b/>
                <w:bCs/>
                <w:sz w:val="20"/>
                <w:szCs w:val="20"/>
              </w:rPr>
              <w:t>„</w:t>
            </w:r>
            <w:r w:rsidR="006939CB" w:rsidRPr="0005109D">
              <w:rPr>
                <w:rFonts w:ascii="Arial" w:eastAsia="Calibri" w:hAnsi="Arial" w:cs="Arial"/>
                <w:b/>
                <w:bCs/>
                <w:sz w:val="20"/>
                <w:szCs w:val="20"/>
              </w:rPr>
              <w:t>Projekty veřejné správy zaměřené na inovace v tematických oblastech OPZ</w:t>
            </w:r>
            <w:r w:rsidR="003B51A6" w:rsidRPr="0005109D">
              <w:rPr>
                <w:rFonts w:ascii="Arial" w:eastAsia="Calibri" w:hAnsi="Arial" w:cs="Arial"/>
                <w:b/>
                <w:bCs/>
                <w:sz w:val="20"/>
                <w:szCs w:val="20"/>
              </w:rPr>
              <w:t xml:space="preserve">“ </w:t>
            </w:r>
            <w:r w:rsidRPr="0005109D">
              <w:rPr>
                <w:rFonts w:ascii="Arial" w:hAnsi="Arial" w:cs="Arial"/>
                <w:sz w:val="20"/>
                <w:szCs w:val="20"/>
              </w:rPr>
              <w:t xml:space="preserve">zaměřené na testování potenciálních systémových řešení v sociální oblasti; projekty převážně neziskových subjektů nastavující nová řešení pro znevýhodněné cílové skupiny ve výzvě č. </w:t>
            </w:r>
            <w:r w:rsidRPr="0005109D">
              <w:rPr>
                <w:rFonts w:ascii="Arial" w:hAnsi="Arial" w:cs="Arial"/>
                <w:b/>
                <w:bCs/>
                <w:sz w:val="20"/>
                <w:szCs w:val="20"/>
              </w:rPr>
              <w:t>83</w:t>
            </w:r>
            <w:r w:rsidR="00313B7F" w:rsidRPr="0005109D">
              <w:rPr>
                <w:rFonts w:ascii="Arial" w:hAnsi="Arial" w:cs="Arial"/>
                <w:b/>
                <w:bCs/>
                <w:sz w:val="20"/>
                <w:szCs w:val="20"/>
              </w:rPr>
              <w:t xml:space="preserve"> „Nová řešení pro tíživé sociální problémy“</w:t>
            </w:r>
            <w:r w:rsidRPr="0005109D">
              <w:rPr>
                <w:rFonts w:ascii="Arial" w:hAnsi="Arial" w:cs="Arial"/>
                <w:sz w:val="20"/>
                <w:szCs w:val="20"/>
              </w:rPr>
              <w:t xml:space="preserve">; projekty vyhodnocující dopady přenosu úspěšných zahraničních přístupů nebo efektivnější postupy ve stávajících službách ve výzvě č. </w:t>
            </w:r>
            <w:r w:rsidRPr="0005109D">
              <w:rPr>
                <w:rFonts w:ascii="Arial" w:hAnsi="Arial" w:cs="Arial"/>
                <w:b/>
                <w:bCs/>
                <w:sz w:val="20"/>
                <w:szCs w:val="20"/>
              </w:rPr>
              <w:t>82</w:t>
            </w:r>
            <w:r w:rsidR="00313B7F" w:rsidRPr="0005109D">
              <w:rPr>
                <w:rFonts w:ascii="Arial" w:hAnsi="Arial" w:cs="Arial"/>
                <w:b/>
                <w:bCs/>
                <w:sz w:val="20"/>
                <w:szCs w:val="20"/>
              </w:rPr>
              <w:t xml:space="preserve"> „Ověřování nových řešení využitelných ve veřejné sféře“</w:t>
            </w:r>
            <w:r w:rsidRPr="0005109D">
              <w:rPr>
                <w:rFonts w:ascii="Arial" w:hAnsi="Arial" w:cs="Arial"/>
                <w:sz w:val="20"/>
                <w:szCs w:val="20"/>
              </w:rPr>
              <w:t xml:space="preserve"> a projekty výzvy č. </w:t>
            </w:r>
            <w:r w:rsidRPr="0005109D">
              <w:rPr>
                <w:rFonts w:ascii="Arial" w:hAnsi="Arial" w:cs="Arial"/>
                <w:b/>
                <w:bCs/>
                <w:sz w:val="20"/>
                <w:szCs w:val="20"/>
              </w:rPr>
              <w:t>59</w:t>
            </w:r>
            <w:r w:rsidR="00313B7F" w:rsidRPr="0005109D">
              <w:rPr>
                <w:rFonts w:ascii="Arial" w:hAnsi="Arial" w:cs="Arial"/>
                <w:sz w:val="20"/>
                <w:szCs w:val="20"/>
              </w:rPr>
              <w:t xml:space="preserve"> </w:t>
            </w:r>
            <w:r w:rsidR="00313B7F" w:rsidRPr="0005109D">
              <w:rPr>
                <w:rFonts w:ascii="Arial" w:hAnsi="Arial" w:cs="Arial"/>
                <w:b/>
                <w:bCs/>
                <w:sz w:val="20"/>
                <w:szCs w:val="20"/>
              </w:rPr>
              <w:t>„Mezinárodní mobilita a sociální začleňování znevýhodněné mládeže“</w:t>
            </w:r>
            <w:r w:rsidRPr="0005109D">
              <w:rPr>
                <w:rFonts w:ascii="Arial" w:hAnsi="Arial" w:cs="Arial"/>
                <w:sz w:val="20"/>
                <w:szCs w:val="20"/>
              </w:rPr>
              <w:t xml:space="preserve"> zaměřené na mezinárodní mobilitu. Projekty z ostatních </w:t>
            </w:r>
            <w:r w:rsidR="006939CB" w:rsidRPr="0005109D">
              <w:rPr>
                <w:rFonts w:ascii="Arial" w:hAnsi="Arial" w:cs="Arial"/>
                <w:sz w:val="20"/>
                <w:szCs w:val="20"/>
              </w:rPr>
              <w:t>výzev,</w:t>
            </w:r>
            <w:r w:rsidRPr="0005109D">
              <w:rPr>
                <w:rFonts w:ascii="Arial" w:hAnsi="Arial" w:cs="Arial"/>
                <w:sz w:val="20"/>
                <w:szCs w:val="20"/>
              </w:rPr>
              <w:t xml:space="preserve"> již </w:t>
            </w:r>
            <w:r w:rsidR="006939CB" w:rsidRPr="0005109D">
              <w:rPr>
                <w:rFonts w:ascii="Arial" w:hAnsi="Arial" w:cs="Arial"/>
                <w:sz w:val="20"/>
                <w:szCs w:val="20"/>
              </w:rPr>
              <w:t xml:space="preserve">byly </w:t>
            </w:r>
            <w:r w:rsidRPr="0005109D">
              <w:rPr>
                <w:rFonts w:ascii="Arial" w:hAnsi="Arial" w:cs="Arial"/>
                <w:sz w:val="20"/>
                <w:szCs w:val="20"/>
              </w:rPr>
              <w:t>většinou úspěšně dokončeny.</w:t>
            </w:r>
          </w:p>
          <w:p w14:paraId="69926870" w14:textId="11EF7D38" w:rsidR="00957744" w:rsidRPr="0005109D" w:rsidRDefault="006939CB" w:rsidP="00BB3DF7">
            <w:pPr>
              <w:spacing w:after="120"/>
              <w:ind w:left="136" w:right="238"/>
              <w:rPr>
                <w:rFonts w:ascii="Arial" w:eastAsia="Calibri" w:hAnsi="Arial" w:cs="Arial"/>
                <w:sz w:val="20"/>
                <w:szCs w:val="20"/>
                <w:u w:val="single"/>
              </w:rPr>
            </w:pPr>
            <w:r w:rsidRPr="0005109D">
              <w:rPr>
                <w:rFonts w:ascii="Arial" w:eastAsia="Calibri" w:hAnsi="Arial" w:cs="Arial"/>
                <w:sz w:val="20"/>
                <w:szCs w:val="20"/>
              </w:rPr>
              <w:t xml:space="preserve">Na základě dat a zkušeností z projektu </w:t>
            </w:r>
            <w:r w:rsidRPr="0005109D">
              <w:rPr>
                <w:rFonts w:ascii="Arial" w:eastAsia="Calibri" w:hAnsi="Arial" w:cs="Arial"/>
                <w:b/>
                <w:bCs/>
                <w:sz w:val="20"/>
                <w:szCs w:val="20"/>
              </w:rPr>
              <w:t xml:space="preserve">Podpora implementace a rozvoje sociálně odpovědného veřejného zadávání </w:t>
            </w:r>
            <w:r w:rsidRPr="0005109D">
              <w:rPr>
                <w:rFonts w:ascii="Arial" w:eastAsia="Calibri" w:hAnsi="Arial" w:cs="Arial"/>
                <w:sz w:val="20"/>
                <w:szCs w:val="20"/>
              </w:rPr>
              <w:t>z výzvy</w:t>
            </w:r>
            <w:r w:rsidRPr="0005109D">
              <w:rPr>
                <w:rFonts w:ascii="Arial" w:eastAsia="Calibri" w:hAnsi="Arial" w:cs="Arial"/>
                <w:b/>
                <w:bCs/>
                <w:sz w:val="20"/>
                <w:szCs w:val="20"/>
              </w:rPr>
              <w:t xml:space="preserve"> č. </w:t>
            </w:r>
            <w:r w:rsidRPr="0005109D">
              <w:rPr>
                <w:rFonts w:ascii="Arial" w:hAnsi="Arial" w:cs="Arial"/>
                <w:b/>
                <w:bCs/>
                <w:sz w:val="20"/>
                <w:szCs w:val="20"/>
              </w:rPr>
              <w:t>18</w:t>
            </w:r>
            <w:r w:rsidRPr="0005109D">
              <w:rPr>
                <w:rFonts w:ascii="Arial" w:hAnsi="Arial" w:cs="Arial"/>
                <w:sz w:val="20"/>
                <w:szCs w:val="20"/>
              </w:rPr>
              <w:t xml:space="preserve"> </w:t>
            </w:r>
            <w:r w:rsidRPr="0005109D">
              <w:rPr>
                <w:rFonts w:ascii="Arial" w:eastAsia="Calibri" w:hAnsi="Arial" w:cs="Arial"/>
                <w:b/>
                <w:bCs/>
                <w:sz w:val="20"/>
                <w:szCs w:val="20"/>
              </w:rPr>
              <w:t xml:space="preserve">„Projekty veřejné správy zaměřené na inovace v tematických oblastech OPZ“ </w:t>
            </w:r>
            <w:r w:rsidRPr="0005109D">
              <w:rPr>
                <w:rFonts w:ascii="Arial" w:eastAsia="Calibri" w:hAnsi="Arial" w:cs="Arial"/>
                <w:sz w:val="20"/>
                <w:szCs w:val="20"/>
              </w:rPr>
              <w:t>(realizace ukončena k 31.</w:t>
            </w:r>
            <w:r w:rsidR="00471DEA" w:rsidRPr="0005109D">
              <w:rPr>
                <w:rFonts w:ascii="Arial" w:eastAsia="Calibri" w:hAnsi="Arial" w:cs="Arial"/>
                <w:sz w:val="20"/>
                <w:szCs w:val="20"/>
              </w:rPr>
              <w:t xml:space="preserve"> </w:t>
            </w:r>
            <w:r w:rsidRPr="0005109D">
              <w:rPr>
                <w:rFonts w:ascii="Arial" w:eastAsia="Calibri" w:hAnsi="Arial" w:cs="Arial"/>
                <w:sz w:val="20"/>
                <w:szCs w:val="20"/>
              </w:rPr>
              <w:t>8.</w:t>
            </w:r>
            <w:r w:rsidR="00471DEA" w:rsidRPr="0005109D">
              <w:rPr>
                <w:rFonts w:ascii="Arial" w:eastAsia="Calibri" w:hAnsi="Arial" w:cs="Arial"/>
                <w:sz w:val="20"/>
                <w:szCs w:val="20"/>
              </w:rPr>
              <w:t xml:space="preserve"> </w:t>
            </w:r>
            <w:r w:rsidRPr="0005109D">
              <w:rPr>
                <w:rFonts w:ascii="Arial" w:eastAsia="Calibri" w:hAnsi="Arial" w:cs="Arial"/>
                <w:sz w:val="20"/>
                <w:szCs w:val="20"/>
              </w:rPr>
              <w:t xml:space="preserve">2020) vznikl </w:t>
            </w:r>
            <w:r w:rsidRPr="0005109D">
              <w:rPr>
                <w:rFonts w:ascii="Arial" w:eastAsia="Calibri" w:hAnsi="Arial" w:cs="Arial"/>
                <w:b/>
                <w:bCs/>
                <w:sz w:val="20"/>
                <w:szCs w:val="20"/>
              </w:rPr>
              <w:t>Institut odpovědného veřejného zadávání</w:t>
            </w:r>
            <w:r w:rsidRPr="0005109D">
              <w:rPr>
                <w:rFonts w:ascii="Arial" w:eastAsia="Calibri" w:hAnsi="Arial" w:cs="Arial"/>
                <w:sz w:val="20"/>
                <w:szCs w:val="20"/>
              </w:rPr>
              <w:t xml:space="preserve">, který poskytuje komplexní vzdělávací systém a metodickou podporu specialistům na veřejné zakázky. </w:t>
            </w:r>
            <w:r w:rsidR="00957744" w:rsidRPr="0005109D">
              <w:rPr>
                <w:rFonts w:ascii="Arial" w:hAnsi="Arial" w:cs="Arial"/>
                <w:sz w:val="20"/>
                <w:szCs w:val="20"/>
              </w:rPr>
              <w:t xml:space="preserve">V současné době je počet veřejných zadavatelů, kteří využívají aspekty </w:t>
            </w:r>
            <w:r w:rsidR="00BB5129" w:rsidRPr="0005109D">
              <w:rPr>
                <w:rFonts w:ascii="Arial" w:hAnsi="Arial" w:cs="Arial"/>
                <w:sz w:val="20"/>
                <w:szCs w:val="20"/>
              </w:rPr>
              <w:t>odpovědného veřejného zadávání (</w:t>
            </w:r>
            <w:r w:rsidR="00957744" w:rsidRPr="0005109D">
              <w:rPr>
                <w:rFonts w:ascii="Arial" w:hAnsi="Arial" w:cs="Arial"/>
                <w:sz w:val="20"/>
                <w:szCs w:val="20"/>
              </w:rPr>
              <w:t>OVZ</w:t>
            </w:r>
            <w:r w:rsidR="00BB5129" w:rsidRPr="0005109D">
              <w:rPr>
                <w:rFonts w:ascii="Arial" w:hAnsi="Arial" w:cs="Arial"/>
                <w:sz w:val="20"/>
                <w:szCs w:val="20"/>
              </w:rPr>
              <w:t>)</w:t>
            </w:r>
            <w:r w:rsidR="00957744" w:rsidRPr="0005109D">
              <w:rPr>
                <w:rFonts w:ascii="Arial" w:hAnsi="Arial" w:cs="Arial"/>
                <w:sz w:val="20"/>
                <w:szCs w:val="20"/>
              </w:rPr>
              <w:t xml:space="preserve"> ve svých veřejných zakázkách či si dokonce principy OVZ implementují do svých vnitřních předpisů či strategií, </w:t>
            </w:r>
            <w:r w:rsidR="00291C69" w:rsidRPr="0005109D">
              <w:rPr>
                <w:rFonts w:ascii="Arial" w:hAnsi="Arial" w:cs="Arial"/>
                <w:sz w:val="20"/>
                <w:szCs w:val="20"/>
              </w:rPr>
              <w:t>oproti roku 2016</w:t>
            </w:r>
            <w:r w:rsidR="00BB5129" w:rsidRPr="0005109D">
              <w:rPr>
                <w:rFonts w:ascii="Arial" w:hAnsi="Arial" w:cs="Arial"/>
                <w:sz w:val="20"/>
                <w:szCs w:val="20"/>
              </w:rPr>
              <w:t xml:space="preserve"> výrazně </w:t>
            </w:r>
            <w:r w:rsidR="00957744" w:rsidRPr="0005109D">
              <w:rPr>
                <w:rFonts w:ascii="Arial" w:hAnsi="Arial" w:cs="Arial"/>
                <w:sz w:val="20"/>
                <w:szCs w:val="20"/>
              </w:rPr>
              <w:t>vyšší – jen MPSV v rámci projektu aktivně spolupracovala s více než 40 významnými zadavateli</w:t>
            </w:r>
            <w:r w:rsidR="00BB5129" w:rsidRPr="0005109D">
              <w:rPr>
                <w:rFonts w:ascii="Arial" w:hAnsi="Arial" w:cs="Arial"/>
                <w:sz w:val="20"/>
                <w:szCs w:val="20"/>
              </w:rPr>
              <w:t xml:space="preserve">. </w:t>
            </w:r>
            <w:r w:rsidR="00957744" w:rsidRPr="0005109D">
              <w:rPr>
                <w:rFonts w:ascii="Arial" w:hAnsi="Arial" w:cs="Arial"/>
                <w:sz w:val="20"/>
                <w:szCs w:val="20"/>
              </w:rPr>
              <w:t xml:space="preserve">Aktuálně je Institut a další aktivity spojené s OVZ podporován v navazujícím projektu výzvy č. </w:t>
            </w:r>
            <w:r w:rsidR="00957744" w:rsidRPr="0005109D">
              <w:rPr>
                <w:rFonts w:ascii="Arial" w:hAnsi="Arial" w:cs="Arial"/>
                <w:b/>
                <w:bCs/>
                <w:sz w:val="20"/>
                <w:szCs w:val="20"/>
              </w:rPr>
              <w:t>25 „Projekty organizačních složek státu zaměřené na podporu efektivní veřejné správy</w:t>
            </w:r>
            <w:r w:rsidR="00313B7F" w:rsidRPr="0005109D">
              <w:rPr>
                <w:rFonts w:ascii="Arial" w:hAnsi="Arial" w:cs="Arial"/>
                <w:b/>
                <w:bCs/>
                <w:sz w:val="20"/>
                <w:szCs w:val="20"/>
              </w:rPr>
              <w:t>“</w:t>
            </w:r>
            <w:r w:rsidR="00957744" w:rsidRPr="0005109D">
              <w:rPr>
                <w:rFonts w:ascii="Arial" w:hAnsi="Arial" w:cs="Arial"/>
                <w:sz w:val="20"/>
                <w:szCs w:val="20"/>
              </w:rPr>
              <w:t xml:space="preserve"> </w:t>
            </w:r>
            <w:r w:rsidR="00313B7F" w:rsidRPr="0005109D">
              <w:rPr>
                <w:rFonts w:ascii="Arial" w:hAnsi="Arial" w:cs="Arial"/>
                <w:sz w:val="20"/>
                <w:szCs w:val="20"/>
              </w:rPr>
              <w:t xml:space="preserve">v </w:t>
            </w:r>
            <w:r w:rsidR="00957744" w:rsidRPr="0005109D">
              <w:rPr>
                <w:rFonts w:ascii="Arial" w:hAnsi="Arial" w:cs="Arial"/>
                <w:sz w:val="20"/>
                <w:szCs w:val="20"/>
              </w:rPr>
              <w:t xml:space="preserve">PO4. Od 1. 1. 2021 platí </w:t>
            </w:r>
            <w:r w:rsidR="00957744" w:rsidRPr="0005109D">
              <w:rPr>
                <w:rFonts w:ascii="Arial" w:hAnsi="Arial" w:cs="Arial"/>
                <w:sz w:val="20"/>
                <w:szCs w:val="20"/>
              </w:rPr>
              <w:lastRenderedPageBreak/>
              <w:t>novela zákona o veřejných zakázkách, kterou se de facto zavádí povinnost zadávat odpovědně a systémový dopad podpory ze strany MPSV tak může být ještě výrazně vyšší.</w:t>
            </w:r>
          </w:p>
          <w:p w14:paraId="30BD814E" w14:textId="12C46C6A" w:rsidR="00957744" w:rsidRPr="0005109D" w:rsidRDefault="00957744" w:rsidP="00BB3DF7">
            <w:pPr>
              <w:spacing w:after="120"/>
              <w:ind w:left="136" w:right="238"/>
              <w:rPr>
                <w:rFonts w:ascii="Arial" w:hAnsi="Arial" w:cs="Arial"/>
                <w:sz w:val="20"/>
                <w:szCs w:val="20"/>
              </w:rPr>
            </w:pPr>
            <w:r w:rsidRPr="0005109D">
              <w:rPr>
                <w:rFonts w:ascii="Arial" w:hAnsi="Arial" w:cs="Arial"/>
                <w:sz w:val="20"/>
                <w:szCs w:val="20"/>
              </w:rPr>
              <w:t>Ke konci roku 2019 byl ukončen příjem žádostí do průběžné výzvy č.</w:t>
            </w:r>
            <w:r w:rsidRPr="0005109D">
              <w:rPr>
                <w:rFonts w:ascii="Arial" w:hAnsi="Arial" w:cs="Arial"/>
                <w:b/>
                <w:bCs/>
                <w:sz w:val="20"/>
                <w:szCs w:val="20"/>
              </w:rPr>
              <w:t xml:space="preserve"> 82 </w:t>
            </w:r>
            <w:r w:rsidR="000C6743" w:rsidRPr="0005109D">
              <w:rPr>
                <w:rFonts w:ascii="Arial" w:hAnsi="Arial" w:cs="Arial"/>
                <w:b/>
                <w:bCs/>
                <w:sz w:val="20"/>
                <w:szCs w:val="20"/>
              </w:rPr>
              <w:t>„</w:t>
            </w:r>
            <w:r w:rsidRPr="0005109D">
              <w:rPr>
                <w:rFonts w:ascii="Arial" w:hAnsi="Arial" w:cs="Arial"/>
                <w:b/>
                <w:bCs/>
                <w:sz w:val="20"/>
                <w:szCs w:val="20"/>
              </w:rPr>
              <w:t>Ověřování nových řešení využitelných ve veřejné sféře"</w:t>
            </w:r>
            <w:r w:rsidRPr="0005109D">
              <w:rPr>
                <w:rFonts w:ascii="Arial" w:hAnsi="Arial" w:cs="Arial"/>
                <w:sz w:val="20"/>
                <w:szCs w:val="20"/>
              </w:rPr>
              <w:t xml:space="preserve">. Projekty se v roce 2020 nacházely v přípravných fázích, kdy finálně dokončovaly zamýšlené intervence, prohlubovaly práci se stakeholdery, připravovaly advokační a evaluační plány či probíhal nábor cílové skupiny pro testování. Pandemie </w:t>
            </w:r>
            <w:r w:rsidR="006939CB" w:rsidRPr="0005109D">
              <w:rPr>
                <w:rFonts w:ascii="Arial" w:hAnsi="Arial" w:cs="Arial"/>
                <w:sz w:val="20"/>
                <w:szCs w:val="20"/>
              </w:rPr>
              <w:t>COVID</w:t>
            </w:r>
            <w:r w:rsidRPr="0005109D">
              <w:rPr>
                <w:rFonts w:ascii="Arial" w:hAnsi="Arial" w:cs="Arial"/>
                <w:sz w:val="20"/>
                <w:szCs w:val="20"/>
              </w:rPr>
              <w:t>-19 způsobila zdržení vzhledem omezeným možnostem přímé práce s cílovou skupinou, nicméně většina realizátorů mohla využít online komunikace a v aktivitách pokračovat.</w:t>
            </w:r>
          </w:p>
          <w:p w14:paraId="03899AA3" w14:textId="16724E23" w:rsidR="00957744" w:rsidRPr="0005109D" w:rsidRDefault="00957744" w:rsidP="00BB3DF7">
            <w:pPr>
              <w:spacing w:after="120"/>
              <w:ind w:left="136" w:right="238"/>
              <w:rPr>
                <w:rFonts w:ascii="Arial" w:hAnsi="Arial" w:cs="Arial"/>
                <w:sz w:val="20"/>
                <w:szCs w:val="20"/>
              </w:rPr>
            </w:pPr>
            <w:r w:rsidRPr="0005109D">
              <w:rPr>
                <w:rFonts w:ascii="Arial" w:hAnsi="Arial" w:cs="Arial"/>
                <w:sz w:val="20"/>
                <w:szCs w:val="20"/>
              </w:rPr>
              <w:t>Zatěžující podmínky spojené s opatřeními proti zhoršené epidemiologické situaci mají ve velké míře dopad na realizaci aktivit projektů zaměřených na mezinárodní mobilitu a sociální začleňování znevýhodněné mládeže výzvy č.</w:t>
            </w:r>
            <w:r w:rsidR="006939CB" w:rsidRPr="0005109D">
              <w:rPr>
                <w:rFonts w:ascii="Arial" w:hAnsi="Arial" w:cs="Arial"/>
                <w:b/>
                <w:bCs/>
                <w:sz w:val="20"/>
                <w:szCs w:val="20"/>
              </w:rPr>
              <w:t xml:space="preserve"> </w:t>
            </w:r>
            <w:r w:rsidRPr="0005109D">
              <w:rPr>
                <w:rFonts w:ascii="Arial" w:hAnsi="Arial" w:cs="Arial"/>
                <w:b/>
                <w:bCs/>
                <w:sz w:val="20"/>
                <w:szCs w:val="20"/>
              </w:rPr>
              <w:t>59</w:t>
            </w:r>
            <w:r w:rsidRPr="0005109D">
              <w:rPr>
                <w:rFonts w:ascii="Arial" w:hAnsi="Arial" w:cs="Arial"/>
                <w:sz w:val="20"/>
                <w:szCs w:val="20"/>
              </w:rPr>
              <w:t>. V rámci zahraničních stáží dochází ke komplikacím např. s ohledem na povinnou karanténu po příletu na území daného státu, či se jedná o vážné komplikace s návraty účastníků ze zahraničí – Španělska, Velké Británie a dalších evropských zemí. Projekty to řeší dočasným pozastavením realizace aktivit, zásadními úpravami aktivit, posuny data ukončení realizace projektu či v krajních případech předčasným ukončením realizace. Odd. 833 pořádá on-line setkání s příjemci, jejichž hlavním účelem je dát příjemcům možnost podělit se o své zkušenosti a vyslechnout náměty ostatních. S řešením těchto problémů pomáhají projektoví manažeři průběžně.</w:t>
            </w:r>
          </w:p>
          <w:p w14:paraId="1A4F10B9" w14:textId="01D788B0" w:rsidR="002C722A" w:rsidRPr="0005109D" w:rsidRDefault="00291C69" w:rsidP="00BB3DF7">
            <w:pPr>
              <w:spacing w:after="120"/>
              <w:ind w:left="136" w:right="238"/>
              <w:rPr>
                <w:rFonts w:ascii="Arial" w:hAnsi="Arial" w:cs="Arial"/>
                <w:sz w:val="20"/>
                <w:szCs w:val="20"/>
              </w:rPr>
            </w:pPr>
            <w:r w:rsidRPr="0005109D">
              <w:rPr>
                <w:rFonts w:ascii="Arial" w:hAnsi="Arial" w:cs="Arial"/>
                <w:sz w:val="20"/>
                <w:szCs w:val="20"/>
              </w:rPr>
              <w:t xml:space="preserve">Každoročně je 15 výjimečným projektům udílena cena pro sociální inovace </w:t>
            </w:r>
            <w:r w:rsidR="00471DEA" w:rsidRPr="0005109D">
              <w:rPr>
                <w:rFonts w:ascii="Arial" w:hAnsi="Arial" w:cs="Arial"/>
                <w:sz w:val="20"/>
                <w:szCs w:val="20"/>
              </w:rPr>
              <w:t xml:space="preserve">tzv. </w:t>
            </w:r>
            <w:r w:rsidRPr="0005109D">
              <w:rPr>
                <w:rFonts w:ascii="Arial" w:hAnsi="Arial" w:cs="Arial"/>
                <w:sz w:val="20"/>
                <w:szCs w:val="20"/>
              </w:rPr>
              <w:t xml:space="preserve">SozialMarie. Mezi oceněnými projekty pro rok 2020 byl i projekt </w:t>
            </w:r>
            <w:r w:rsidR="00957744" w:rsidRPr="0005109D">
              <w:rPr>
                <w:rFonts w:ascii="Arial" w:hAnsi="Arial" w:cs="Arial"/>
                <w:b/>
                <w:bCs/>
                <w:sz w:val="20"/>
                <w:szCs w:val="20"/>
              </w:rPr>
              <w:t>Navštěvy POTMĚ</w:t>
            </w:r>
            <w:r w:rsidR="00957744" w:rsidRPr="0005109D">
              <w:rPr>
                <w:rFonts w:ascii="Arial" w:hAnsi="Arial" w:cs="Arial"/>
                <w:sz w:val="20"/>
                <w:szCs w:val="20"/>
              </w:rPr>
              <w:t xml:space="preserve"> z výzvy č. </w:t>
            </w:r>
            <w:r w:rsidR="00957744" w:rsidRPr="0005109D">
              <w:rPr>
                <w:rFonts w:ascii="Arial" w:hAnsi="Arial" w:cs="Arial"/>
                <w:b/>
                <w:bCs/>
                <w:sz w:val="20"/>
                <w:szCs w:val="20"/>
              </w:rPr>
              <w:t>24 „Sociální inovace v oblasti soc. začleňování a přístupu na trh práce pro nejohroženější skupiny“</w:t>
            </w:r>
            <w:r w:rsidR="00957744" w:rsidRPr="0005109D">
              <w:rPr>
                <w:rFonts w:ascii="Arial" w:hAnsi="Arial" w:cs="Arial"/>
                <w:sz w:val="20"/>
                <w:szCs w:val="20"/>
              </w:rPr>
              <w:t xml:space="preserve"> realizovaný Nadačním fondem Českého rozhlasu. Projekt propojuje svět nevidomých a seniorů, lidé se zrakovým postižením seniorům návštěvami přímo u nich v bytě zpříjemňují volný čas. Lidé se zrakovým postižením, kteří se stále potýkají s potížemi při uplatnění na trhu práce, tak naleznou plnohodnotné zaměstnání a osamocení důchodci mají možnost alespoň chvíli užít si příjemnou společnost. Více informací lze nalézt na webových stránkách </w:t>
            </w:r>
            <w:hyperlink r:id="rId11" w:history="1">
              <w:r w:rsidR="0005109D" w:rsidRPr="00BB324A">
                <w:rPr>
                  <w:rStyle w:val="Hypertextovodkaz"/>
                  <w:rFonts w:ascii="Arial" w:hAnsi="Arial" w:cs="Arial"/>
                  <w:sz w:val="20"/>
                  <w:szCs w:val="20"/>
                </w:rPr>
                <w:t>https://www.navstevypotme.cz/</w:t>
              </w:r>
            </w:hyperlink>
            <w:r w:rsidR="0005109D">
              <w:rPr>
                <w:rFonts w:ascii="Arial" w:hAnsi="Arial" w:cs="Arial"/>
                <w:sz w:val="20"/>
                <w:szCs w:val="20"/>
              </w:rPr>
              <w:t xml:space="preserve">. </w:t>
            </w:r>
          </w:p>
        </w:tc>
      </w:tr>
      <w:tr w:rsidR="002A326C" w:rsidRPr="00096506" w14:paraId="1A4F10C1" w14:textId="77777777" w:rsidTr="001936D1">
        <w:trPr>
          <w:trHeight w:val="159"/>
        </w:trPr>
        <w:tc>
          <w:tcPr>
            <w:tcW w:w="1378" w:type="dxa"/>
            <w:vAlign w:val="center"/>
          </w:tcPr>
          <w:p w14:paraId="1A4F10BB" w14:textId="3E2146AD" w:rsidR="002A326C" w:rsidRPr="00096506" w:rsidRDefault="002A326C" w:rsidP="002A326C">
            <w:pPr>
              <w:ind w:left="181"/>
              <w:rPr>
                <w:rFonts w:ascii="Arial" w:hAnsi="Arial" w:cs="Arial"/>
                <w:sz w:val="20"/>
                <w:szCs w:val="20"/>
              </w:rPr>
            </w:pPr>
            <w:r w:rsidRPr="00096506">
              <w:rPr>
                <w:rFonts w:ascii="Arial" w:hAnsi="Arial" w:cs="Arial"/>
                <w:sz w:val="20"/>
                <w:szCs w:val="20"/>
              </w:rPr>
              <w:lastRenderedPageBreak/>
              <w:t>3.4</w:t>
            </w:r>
          </w:p>
        </w:tc>
        <w:tc>
          <w:tcPr>
            <w:tcW w:w="2637" w:type="dxa"/>
            <w:vAlign w:val="center"/>
          </w:tcPr>
          <w:p w14:paraId="1A4F10BC" w14:textId="77777777" w:rsidR="002A326C" w:rsidRPr="00096506" w:rsidRDefault="002A326C" w:rsidP="002A326C">
            <w:pPr>
              <w:ind w:left="79" w:right="103"/>
              <w:rPr>
                <w:rFonts w:ascii="Arial" w:hAnsi="Arial" w:cs="Arial"/>
                <w:sz w:val="20"/>
                <w:szCs w:val="20"/>
              </w:rPr>
            </w:pPr>
            <w:r w:rsidRPr="00096506">
              <w:rPr>
                <w:rFonts w:ascii="Arial" w:hAnsi="Arial" w:cs="Arial"/>
                <w:sz w:val="20"/>
                <w:szCs w:val="20"/>
              </w:rPr>
              <w:t>Efektivní veřejná správa</w:t>
            </w:r>
          </w:p>
        </w:tc>
        <w:tc>
          <w:tcPr>
            <w:tcW w:w="10154" w:type="dxa"/>
            <w:vAlign w:val="center"/>
          </w:tcPr>
          <w:p w14:paraId="648D3102" w14:textId="53428E1E" w:rsidR="001F408D" w:rsidRDefault="00E70758" w:rsidP="00BB3DF7">
            <w:pPr>
              <w:spacing w:after="120"/>
              <w:ind w:left="136" w:right="238"/>
              <w:rPr>
                <w:rFonts w:ascii="Arial" w:hAnsi="Arial" w:cs="Arial"/>
                <w:b/>
                <w:sz w:val="20"/>
                <w:szCs w:val="20"/>
              </w:rPr>
            </w:pPr>
            <w:r w:rsidRPr="0005109D">
              <w:rPr>
                <w:rFonts w:ascii="Arial" w:hAnsi="Arial" w:cs="Arial"/>
                <w:b/>
                <w:sz w:val="20"/>
                <w:szCs w:val="20"/>
              </w:rPr>
              <w:t xml:space="preserve">Prioritní osa 4 „Efektivní veřejná správa“ </w:t>
            </w:r>
            <w:r w:rsidRPr="0005109D">
              <w:rPr>
                <w:rFonts w:ascii="Arial" w:hAnsi="Arial" w:cs="Arial"/>
                <w:sz w:val="20"/>
                <w:szCs w:val="20"/>
              </w:rPr>
              <w:t xml:space="preserve">(PO4): </w:t>
            </w:r>
            <w:r w:rsidR="002A326C" w:rsidRPr="0005109D">
              <w:rPr>
                <w:rFonts w:ascii="Arial" w:hAnsi="Arial" w:cs="Arial"/>
                <w:sz w:val="20"/>
                <w:szCs w:val="20"/>
              </w:rPr>
              <w:t>Objem prostředků alokovaných na PO4</w:t>
            </w:r>
            <w:r w:rsidR="002A326C" w:rsidRPr="0005109D">
              <w:rPr>
                <w:rFonts w:ascii="Arial" w:hAnsi="Arial" w:cs="Arial"/>
                <w:b/>
                <w:sz w:val="20"/>
                <w:szCs w:val="20"/>
              </w:rPr>
              <w:t xml:space="preserve"> </w:t>
            </w:r>
            <w:r w:rsidR="002A326C" w:rsidRPr="0005109D">
              <w:rPr>
                <w:rFonts w:ascii="Arial" w:hAnsi="Arial" w:cs="Arial"/>
                <w:sz w:val="20"/>
                <w:szCs w:val="20"/>
              </w:rPr>
              <w:t xml:space="preserve">představuje </w:t>
            </w:r>
            <w:r w:rsidR="00435BE9" w:rsidRPr="0005109D">
              <w:rPr>
                <w:rFonts w:ascii="Arial" w:hAnsi="Arial" w:cs="Arial"/>
                <w:sz w:val="20"/>
                <w:szCs w:val="20"/>
              </w:rPr>
              <w:t xml:space="preserve">155 mil. EUR, tj. </w:t>
            </w:r>
            <w:r w:rsidR="002A326C" w:rsidRPr="0005109D">
              <w:rPr>
                <w:rFonts w:ascii="Arial" w:hAnsi="Arial" w:cs="Arial"/>
                <w:sz w:val="20"/>
                <w:szCs w:val="20"/>
              </w:rPr>
              <w:t xml:space="preserve">přibližně </w:t>
            </w:r>
            <w:r w:rsidR="00E02FF0" w:rsidRPr="0005109D">
              <w:rPr>
                <w:rFonts w:ascii="Arial" w:hAnsi="Arial" w:cs="Arial"/>
                <w:sz w:val="20"/>
                <w:szCs w:val="20"/>
              </w:rPr>
              <w:t>5</w:t>
            </w:r>
            <w:r w:rsidR="002A326C" w:rsidRPr="0005109D">
              <w:rPr>
                <w:rFonts w:ascii="Arial" w:hAnsi="Arial" w:cs="Arial"/>
                <w:sz w:val="20"/>
                <w:szCs w:val="20"/>
              </w:rPr>
              <w:t> % z celkového objemu finančních prostředků určených na OPZ.</w:t>
            </w:r>
            <w:r w:rsidR="002A326C" w:rsidRPr="0005109D">
              <w:rPr>
                <w:rFonts w:ascii="Arial" w:hAnsi="Arial" w:cs="Arial"/>
                <w:b/>
                <w:sz w:val="20"/>
                <w:szCs w:val="20"/>
              </w:rPr>
              <w:t xml:space="preserve"> </w:t>
            </w:r>
          </w:p>
          <w:p w14:paraId="3B53073E" w14:textId="084E0F36" w:rsidR="00DF02DC" w:rsidRPr="00DF02DC" w:rsidRDefault="00DF02DC" w:rsidP="00BB3DF7">
            <w:pPr>
              <w:spacing w:after="120"/>
              <w:ind w:left="136" w:right="238"/>
              <w:rPr>
                <w:rFonts w:ascii="Arial" w:hAnsi="Arial" w:cs="Arial"/>
                <w:bCs/>
                <w:sz w:val="20"/>
                <w:szCs w:val="20"/>
              </w:rPr>
            </w:pPr>
            <w:r w:rsidRPr="00DF02DC">
              <w:rPr>
                <w:rFonts w:ascii="Arial" w:hAnsi="Arial" w:cs="Arial"/>
                <w:bCs/>
                <w:sz w:val="20"/>
                <w:szCs w:val="20"/>
              </w:rPr>
              <w:t>C</w:t>
            </w:r>
            <w:r>
              <w:rPr>
                <w:rFonts w:ascii="Arial" w:hAnsi="Arial" w:cs="Arial"/>
                <w:bCs/>
                <w:sz w:val="20"/>
                <w:szCs w:val="20"/>
              </w:rPr>
              <w:t>elkem bylo v PO4 vyhlášeno 12 výzev v celkovém objemu 198 mil. EUR. Uzavřeno bylo 4</w:t>
            </w:r>
            <w:r w:rsidR="00CC5A03">
              <w:rPr>
                <w:rFonts w:ascii="Arial" w:hAnsi="Arial" w:cs="Arial"/>
                <w:bCs/>
                <w:sz w:val="20"/>
                <w:szCs w:val="20"/>
              </w:rPr>
              <w:t>46</w:t>
            </w:r>
            <w:r>
              <w:rPr>
                <w:rFonts w:ascii="Arial" w:hAnsi="Arial" w:cs="Arial"/>
                <w:bCs/>
                <w:sz w:val="20"/>
                <w:szCs w:val="20"/>
              </w:rPr>
              <w:t xml:space="preserve"> právních aktů v objemu 17</w:t>
            </w:r>
            <w:r w:rsidR="00CC5A03">
              <w:rPr>
                <w:rFonts w:ascii="Arial" w:hAnsi="Arial" w:cs="Arial"/>
                <w:bCs/>
                <w:sz w:val="20"/>
                <w:szCs w:val="20"/>
              </w:rPr>
              <w:t>5</w:t>
            </w:r>
            <w:r>
              <w:rPr>
                <w:rFonts w:ascii="Arial" w:hAnsi="Arial" w:cs="Arial"/>
                <w:bCs/>
                <w:sz w:val="20"/>
                <w:szCs w:val="20"/>
              </w:rPr>
              <w:t xml:space="preserve"> mil. EUR.</w:t>
            </w:r>
          </w:p>
          <w:p w14:paraId="1CAEA2BA" w14:textId="777730BF" w:rsidR="00471DEA" w:rsidRPr="0005109D" w:rsidRDefault="00471DEA" w:rsidP="00BB3DF7">
            <w:pPr>
              <w:spacing w:after="160"/>
              <w:ind w:left="136" w:right="238"/>
              <w:rPr>
                <w:rFonts w:ascii="Arial" w:eastAsia="Calibri" w:hAnsi="Arial" w:cs="Arial"/>
                <w:sz w:val="20"/>
                <w:szCs w:val="20"/>
              </w:rPr>
            </w:pPr>
            <w:r w:rsidRPr="0005109D">
              <w:rPr>
                <w:rFonts w:ascii="Arial" w:eastAsia="Calibri" w:hAnsi="Arial" w:cs="Arial"/>
                <w:sz w:val="20"/>
                <w:szCs w:val="20"/>
              </w:rPr>
              <w:t xml:space="preserve">Průběžná uzavřená výzva č. </w:t>
            </w:r>
            <w:r w:rsidRPr="0005109D">
              <w:rPr>
                <w:rFonts w:ascii="Arial" w:eastAsia="Calibri" w:hAnsi="Arial" w:cs="Arial"/>
                <w:b/>
                <w:bCs/>
                <w:sz w:val="20"/>
                <w:szCs w:val="20"/>
              </w:rPr>
              <w:t>19</w:t>
            </w:r>
            <w:r w:rsidRPr="0005109D">
              <w:rPr>
                <w:rFonts w:ascii="Arial" w:eastAsia="Calibri" w:hAnsi="Arial" w:cs="Arial"/>
                <w:sz w:val="20"/>
                <w:szCs w:val="20"/>
              </w:rPr>
              <w:t xml:space="preserve"> </w:t>
            </w:r>
            <w:r w:rsidRPr="0005109D">
              <w:rPr>
                <w:rFonts w:ascii="Arial" w:eastAsia="Calibri" w:hAnsi="Arial" w:cs="Arial"/>
                <w:b/>
                <w:bCs/>
                <w:sz w:val="20"/>
                <w:szCs w:val="20"/>
              </w:rPr>
              <w:t xml:space="preserve">„Výzva pro projekty podporující implementaci Strategického rámce rozvoje veřejné správy ČR pro období </w:t>
            </w:r>
            <w:r w:rsidR="005155DF" w:rsidRPr="0005109D">
              <w:rPr>
                <w:rFonts w:ascii="Arial" w:eastAsia="Calibri" w:hAnsi="Arial" w:cs="Arial"/>
                <w:b/>
                <w:bCs/>
                <w:sz w:val="20"/>
                <w:szCs w:val="20"/>
              </w:rPr>
              <w:t>2014–2020</w:t>
            </w:r>
            <w:r w:rsidRPr="0005109D">
              <w:rPr>
                <w:rFonts w:ascii="Arial" w:eastAsia="Calibri" w:hAnsi="Arial" w:cs="Arial"/>
                <w:b/>
                <w:bCs/>
                <w:sz w:val="20"/>
                <w:szCs w:val="20"/>
              </w:rPr>
              <w:t>“</w:t>
            </w:r>
            <w:r w:rsidRPr="0005109D">
              <w:rPr>
                <w:rFonts w:ascii="Arial" w:eastAsia="Calibri" w:hAnsi="Arial" w:cs="Arial"/>
                <w:sz w:val="20"/>
                <w:szCs w:val="20"/>
              </w:rPr>
              <w:t xml:space="preserve"> byla ukončena pro příjem žádostí k 31. 12. 2019. V roce 2020 byly vydány poslední 3 právní akty z celkových 23 s finančním objemem 76 mil. EUR. Od realizace odstoupil 1 projekt.</w:t>
            </w:r>
          </w:p>
          <w:p w14:paraId="72A58A7E" w14:textId="73ED29FC" w:rsidR="00471DEA" w:rsidRPr="0005109D" w:rsidRDefault="00471DEA" w:rsidP="00BB3DF7">
            <w:pPr>
              <w:spacing w:after="160"/>
              <w:ind w:left="136" w:right="238"/>
              <w:rPr>
                <w:rFonts w:ascii="Arial" w:eastAsia="Calibri" w:hAnsi="Arial" w:cs="Arial"/>
                <w:sz w:val="20"/>
                <w:szCs w:val="20"/>
              </w:rPr>
            </w:pPr>
            <w:r w:rsidRPr="0005109D">
              <w:rPr>
                <w:rFonts w:ascii="Arial" w:eastAsia="Calibri" w:hAnsi="Arial" w:cs="Arial"/>
                <w:sz w:val="20"/>
                <w:szCs w:val="20"/>
              </w:rPr>
              <w:t xml:space="preserve">Byl ukončen příjem žádostí do výzvy č. </w:t>
            </w:r>
            <w:r w:rsidRPr="0005109D">
              <w:rPr>
                <w:rFonts w:ascii="Arial" w:eastAsia="Calibri" w:hAnsi="Arial" w:cs="Arial"/>
                <w:b/>
                <w:bCs/>
                <w:sz w:val="20"/>
                <w:szCs w:val="20"/>
              </w:rPr>
              <w:t>25 „Projekty organizačních složek státu zaměřené na podporu efektivní veřejné správy“</w:t>
            </w:r>
            <w:r w:rsidRPr="0005109D">
              <w:rPr>
                <w:rFonts w:ascii="Arial" w:eastAsia="Calibri" w:hAnsi="Arial" w:cs="Arial"/>
                <w:sz w:val="20"/>
                <w:szCs w:val="20"/>
              </w:rPr>
              <w:t xml:space="preserve">. Z důvodu velkého množství žádostí o podporu, které byly podány na konci lhůty pro </w:t>
            </w:r>
            <w:r w:rsidRPr="0005109D">
              <w:rPr>
                <w:rFonts w:ascii="Arial" w:eastAsia="Calibri" w:hAnsi="Arial" w:cs="Arial"/>
                <w:sz w:val="20"/>
                <w:szCs w:val="20"/>
              </w:rPr>
              <w:lastRenderedPageBreak/>
              <w:t xml:space="preserve">podání žádostí a které byly hodnotící komisí vyhodnoceny jako kvalitní a doporučeny ke schválení byla výzva navýšena na 46,6 mil. EUR. Ve výzvě č. </w:t>
            </w:r>
            <w:r w:rsidRPr="005155DF">
              <w:rPr>
                <w:rFonts w:ascii="Arial" w:eastAsia="Calibri" w:hAnsi="Arial" w:cs="Arial"/>
                <w:b/>
                <w:bCs/>
                <w:sz w:val="20"/>
                <w:szCs w:val="20"/>
              </w:rPr>
              <w:t>25</w:t>
            </w:r>
            <w:r w:rsidRPr="0005109D">
              <w:rPr>
                <w:rFonts w:ascii="Arial" w:eastAsia="Calibri" w:hAnsi="Arial" w:cs="Arial"/>
                <w:sz w:val="20"/>
                <w:szCs w:val="20"/>
              </w:rPr>
              <w:t xml:space="preserve"> bylo konzultováno cca 150 projektových záměrů s 57 organizacemi veřejné správy (OSS, SPO, případně asociace a sdružení obcí a krajů po revizi výzvy v r. 2020). Celkově bylo podáno 92 žádostí o podporu. Do konce roku bylo vydáno všech 55 právních aktů s finančním objeme</w:t>
            </w:r>
            <w:r w:rsidR="005155DF">
              <w:rPr>
                <w:rFonts w:ascii="Arial" w:eastAsia="Calibri" w:hAnsi="Arial" w:cs="Arial"/>
                <w:sz w:val="20"/>
                <w:szCs w:val="20"/>
              </w:rPr>
              <w:t>m</w:t>
            </w:r>
            <w:r w:rsidRPr="0005109D">
              <w:rPr>
                <w:rFonts w:ascii="Arial" w:eastAsia="Calibri" w:hAnsi="Arial" w:cs="Arial"/>
                <w:sz w:val="20"/>
                <w:szCs w:val="20"/>
              </w:rPr>
              <w:t xml:space="preserve"> 44,2 mil. EUR. Od realizace odstoupily celkem 4 projekty. </w:t>
            </w:r>
          </w:p>
          <w:p w14:paraId="53BEFB35" w14:textId="6C7093EB" w:rsidR="00471DEA" w:rsidRPr="0005109D" w:rsidRDefault="00471DEA" w:rsidP="00BB3DF7">
            <w:pPr>
              <w:spacing w:after="160"/>
              <w:ind w:left="136" w:right="238"/>
              <w:rPr>
                <w:rFonts w:ascii="Arial" w:eastAsia="Times New Roman" w:hAnsi="Arial" w:cs="Arial"/>
                <w:noProof/>
                <w:sz w:val="20"/>
                <w:szCs w:val="20"/>
                <w:lang w:eastAsia="cs-CZ"/>
              </w:rPr>
            </w:pPr>
            <w:r w:rsidRPr="0005109D">
              <w:rPr>
                <w:rFonts w:ascii="Arial" w:eastAsia="Calibri" w:hAnsi="Arial" w:cs="Arial"/>
                <w:sz w:val="20"/>
                <w:szCs w:val="20"/>
              </w:rPr>
              <w:t xml:space="preserve">Realizace projektů ve výzvách č. </w:t>
            </w:r>
            <w:r w:rsidRPr="0005109D">
              <w:rPr>
                <w:rFonts w:ascii="Arial" w:eastAsia="Calibri" w:hAnsi="Arial" w:cs="Arial"/>
                <w:b/>
                <w:bCs/>
                <w:sz w:val="20"/>
                <w:szCs w:val="20"/>
              </w:rPr>
              <w:t>19</w:t>
            </w:r>
            <w:r w:rsidRPr="0005109D">
              <w:rPr>
                <w:rFonts w:ascii="Arial" w:eastAsia="Calibri" w:hAnsi="Arial" w:cs="Arial"/>
                <w:sz w:val="20"/>
                <w:szCs w:val="20"/>
              </w:rPr>
              <w:t xml:space="preserve"> a </w:t>
            </w:r>
            <w:r w:rsidRPr="0005109D">
              <w:rPr>
                <w:rFonts w:ascii="Arial" w:eastAsia="Calibri" w:hAnsi="Arial" w:cs="Arial"/>
                <w:b/>
                <w:bCs/>
                <w:sz w:val="20"/>
                <w:szCs w:val="20"/>
              </w:rPr>
              <w:t>25</w:t>
            </w:r>
            <w:r w:rsidRPr="0005109D">
              <w:rPr>
                <w:rFonts w:ascii="Arial" w:eastAsia="Calibri" w:hAnsi="Arial" w:cs="Arial"/>
                <w:sz w:val="20"/>
                <w:szCs w:val="20"/>
              </w:rPr>
              <w:t xml:space="preserve"> byla v roce 2020 do velké míry ovlivněna pandemickou situací a souvisejícími vládními opatřeními, přičemž největší dopad protiepidemických opatření byl zaznamenám u vzdělávacích projektů. U mnoha projektů tak došlo dočasně k přerušení vzdělávacích aktivit, které jsou nyní alespoň v minimální míře realizovány zejména elektronickou formou. V těchto výzvách bylo v roce 2020 vydáno celkem 9 změnových právních aktů </w:t>
            </w:r>
            <w:r w:rsidRPr="0005109D">
              <w:rPr>
                <w:rFonts w:ascii="Arial" w:eastAsia="Times New Roman" w:hAnsi="Arial" w:cs="Arial"/>
                <w:noProof/>
                <w:sz w:val="20"/>
                <w:szCs w:val="20"/>
                <w:lang w:eastAsia="cs-CZ"/>
              </w:rPr>
              <w:t>s cílem prodloužit realizaci těchto projektu a o prodloužení dalších projektů se začalo jednat (změny budou provedeny až v roce 2021).</w:t>
            </w:r>
          </w:p>
          <w:p w14:paraId="1A4F10C0" w14:textId="5A7AA95F" w:rsidR="00536191" w:rsidRPr="0005109D" w:rsidRDefault="00471DEA" w:rsidP="00BB3DF7">
            <w:pPr>
              <w:spacing w:after="120"/>
              <w:ind w:left="136" w:right="238"/>
              <w:rPr>
                <w:rFonts w:ascii="Arial" w:eastAsiaTheme="minorEastAsia" w:hAnsi="Arial" w:cs="Arial"/>
                <w:sz w:val="20"/>
                <w:szCs w:val="20"/>
                <w:lang w:val="en-US" w:eastAsia="ja-JP"/>
              </w:rPr>
            </w:pPr>
            <w:r w:rsidRPr="0005109D">
              <w:rPr>
                <w:rFonts w:ascii="Arial" w:hAnsi="Arial" w:cs="Arial"/>
                <w:sz w:val="20"/>
                <w:szCs w:val="20"/>
              </w:rPr>
              <w:t xml:space="preserve">V březnu 2020 byly vyhlášeny 2 výzvy pro územní samosprávné celky (ÚSC) a ÚSC – hl. m. Prahu, </w:t>
            </w:r>
            <w:r w:rsidRPr="0005109D">
              <w:rPr>
                <w:rFonts w:ascii="Arial" w:hAnsi="Arial" w:cs="Arial"/>
                <w:bCs/>
                <w:sz w:val="20"/>
                <w:szCs w:val="20"/>
              </w:rPr>
              <w:t>výzva</w:t>
            </w:r>
            <w:r w:rsidRPr="0005109D">
              <w:rPr>
                <w:rFonts w:ascii="Arial" w:hAnsi="Arial" w:cs="Arial"/>
                <w:b/>
                <w:sz w:val="20"/>
                <w:szCs w:val="20"/>
              </w:rPr>
              <w:t xml:space="preserve"> č.</w:t>
            </w:r>
            <w:r w:rsidRPr="0005109D">
              <w:rPr>
                <w:rFonts w:ascii="Arial" w:hAnsi="Arial" w:cs="Arial"/>
                <w:sz w:val="20"/>
                <w:szCs w:val="20"/>
              </w:rPr>
              <w:t xml:space="preserve"> </w:t>
            </w:r>
            <w:r w:rsidRPr="0005109D">
              <w:rPr>
                <w:rFonts w:ascii="Arial" w:hAnsi="Arial" w:cs="Arial"/>
                <w:b/>
                <w:bCs/>
                <w:sz w:val="20"/>
                <w:szCs w:val="20"/>
              </w:rPr>
              <w:t xml:space="preserve">109 </w:t>
            </w:r>
            <w:r w:rsidRPr="0005109D">
              <w:rPr>
                <w:rFonts w:ascii="Arial" w:hAnsi="Arial" w:cs="Arial"/>
                <w:b/>
                <w:sz w:val="20"/>
                <w:szCs w:val="20"/>
              </w:rPr>
              <w:t>„Výzva pro územní samosprávné celky (obce, kraje a sdružení a asociace ÚSC)“</w:t>
            </w:r>
            <w:r w:rsidRPr="0005109D">
              <w:rPr>
                <w:rFonts w:ascii="Arial" w:hAnsi="Arial" w:cs="Arial"/>
                <w:sz w:val="20"/>
                <w:szCs w:val="20"/>
              </w:rPr>
              <w:t xml:space="preserve"> a výzva </w:t>
            </w:r>
            <w:r w:rsidRPr="0005109D">
              <w:rPr>
                <w:rFonts w:ascii="Arial" w:hAnsi="Arial" w:cs="Arial"/>
                <w:b/>
                <w:sz w:val="20"/>
                <w:szCs w:val="20"/>
              </w:rPr>
              <w:t>č. 120 „Výzva pro územní samosprávné celky – hl. m. Praha“</w:t>
            </w:r>
            <w:r w:rsidRPr="0005109D">
              <w:rPr>
                <w:rFonts w:ascii="Arial" w:hAnsi="Arial" w:cs="Arial"/>
                <w:bCs/>
                <w:sz w:val="20"/>
                <w:szCs w:val="20"/>
              </w:rPr>
              <w:t>.</w:t>
            </w:r>
            <w:r w:rsidR="005155DF">
              <w:rPr>
                <w:rFonts w:ascii="Arial" w:hAnsi="Arial" w:cs="Arial"/>
                <w:bCs/>
                <w:sz w:val="20"/>
                <w:szCs w:val="20"/>
              </w:rPr>
              <w:t xml:space="preserve"> </w:t>
            </w:r>
            <w:r w:rsidRPr="0005109D">
              <w:rPr>
                <w:rFonts w:ascii="Arial" w:eastAsia="Calibri" w:hAnsi="Arial" w:cs="Arial"/>
                <w:sz w:val="20"/>
                <w:szCs w:val="20"/>
              </w:rPr>
              <w:t xml:space="preserve">Alokace výzvy č. </w:t>
            </w:r>
            <w:r w:rsidRPr="0005109D">
              <w:rPr>
                <w:rFonts w:ascii="Arial" w:eastAsia="Calibri" w:hAnsi="Arial" w:cs="Arial"/>
                <w:b/>
                <w:bCs/>
                <w:sz w:val="20"/>
                <w:szCs w:val="20"/>
              </w:rPr>
              <w:t>109</w:t>
            </w:r>
            <w:r w:rsidRPr="0005109D">
              <w:rPr>
                <w:rFonts w:ascii="Arial" w:eastAsia="Calibri" w:hAnsi="Arial" w:cs="Arial"/>
                <w:sz w:val="20"/>
                <w:szCs w:val="20"/>
              </w:rPr>
              <w:t xml:space="preserve"> byla navýšena na 14,3 mil. EUR Důvodem pro navýšení alokace výzvy jsou výsledky věcného hodnocení, kdy tímto kolem hodnocení úspěšně prošlo 198 projektových žádostí z 210, a zároveň snaha podpořit větší počet kvalitních projektů. Alokace výzvy č. </w:t>
            </w:r>
            <w:r w:rsidRPr="0005109D">
              <w:rPr>
                <w:rFonts w:ascii="Arial" w:eastAsia="Calibri" w:hAnsi="Arial" w:cs="Arial"/>
                <w:b/>
                <w:bCs/>
                <w:sz w:val="20"/>
                <w:szCs w:val="20"/>
              </w:rPr>
              <w:t>120</w:t>
            </w:r>
            <w:r w:rsidRPr="0005109D">
              <w:rPr>
                <w:rFonts w:ascii="Arial" w:eastAsia="Calibri" w:hAnsi="Arial" w:cs="Arial"/>
                <w:sz w:val="20"/>
                <w:szCs w:val="20"/>
              </w:rPr>
              <w:t xml:space="preserve"> je 572 tis. EUR. Výběrovou komisí bylo k realizaci doporučeno 97 projektových žádostí. Právní akty budou vydány v roce 2021.</w:t>
            </w:r>
          </w:p>
        </w:tc>
      </w:tr>
      <w:tr w:rsidR="002A326C" w:rsidRPr="00096506" w14:paraId="1A4F10D2" w14:textId="77777777" w:rsidTr="001936D1">
        <w:trPr>
          <w:trHeight w:val="159"/>
        </w:trPr>
        <w:tc>
          <w:tcPr>
            <w:tcW w:w="1378" w:type="dxa"/>
            <w:vAlign w:val="center"/>
          </w:tcPr>
          <w:p w14:paraId="1A4F10C2" w14:textId="77777777" w:rsidR="002A326C" w:rsidRPr="00096506" w:rsidRDefault="002A326C" w:rsidP="002A326C">
            <w:pPr>
              <w:ind w:left="181"/>
              <w:rPr>
                <w:rFonts w:ascii="Arial" w:hAnsi="Arial" w:cs="Arial"/>
                <w:sz w:val="20"/>
                <w:szCs w:val="20"/>
              </w:rPr>
            </w:pPr>
            <w:r w:rsidRPr="00096506">
              <w:rPr>
                <w:rFonts w:ascii="Arial" w:hAnsi="Arial" w:cs="Arial"/>
                <w:sz w:val="20"/>
                <w:szCs w:val="20"/>
              </w:rPr>
              <w:lastRenderedPageBreak/>
              <w:t>3.5</w:t>
            </w:r>
          </w:p>
        </w:tc>
        <w:tc>
          <w:tcPr>
            <w:tcW w:w="2637" w:type="dxa"/>
            <w:vAlign w:val="center"/>
          </w:tcPr>
          <w:p w14:paraId="1A4F10C3" w14:textId="77777777" w:rsidR="002A326C" w:rsidRPr="00096506" w:rsidRDefault="002A326C" w:rsidP="002A326C">
            <w:pPr>
              <w:ind w:left="79" w:right="103"/>
              <w:rPr>
                <w:rFonts w:ascii="Arial" w:hAnsi="Arial" w:cs="Arial"/>
                <w:sz w:val="20"/>
                <w:szCs w:val="20"/>
              </w:rPr>
            </w:pPr>
            <w:r w:rsidRPr="00096506">
              <w:rPr>
                <w:rFonts w:ascii="Arial" w:hAnsi="Arial" w:cs="Arial"/>
                <w:sz w:val="20"/>
                <w:szCs w:val="20"/>
              </w:rPr>
              <w:t>Technická pomoc</w:t>
            </w:r>
          </w:p>
        </w:tc>
        <w:tc>
          <w:tcPr>
            <w:tcW w:w="10154" w:type="dxa"/>
            <w:vAlign w:val="center"/>
          </w:tcPr>
          <w:p w14:paraId="294EBD1C" w14:textId="0A1494C4" w:rsidR="00BB3DF7" w:rsidRDefault="00BB3DF7" w:rsidP="00BB3DF7">
            <w:pPr>
              <w:spacing w:after="120"/>
              <w:ind w:left="136" w:right="238"/>
              <w:rPr>
                <w:rFonts w:ascii="Arial" w:eastAsia="Arial" w:hAnsi="Arial" w:cs="Arial"/>
                <w:sz w:val="20"/>
                <w:szCs w:val="20"/>
              </w:rPr>
            </w:pPr>
            <w:r w:rsidRPr="00832BBF">
              <w:rPr>
                <w:rFonts w:ascii="Arial" w:eastAsia="Arial" w:hAnsi="Arial" w:cs="Arial"/>
                <w:b/>
                <w:sz w:val="20"/>
                <w:szCs w:val="20"/>
              </w:rPr>
              <w:t xml:space="preserve">Prioritní osa 5 „Technická pomoc“ (PO5): </w:t>
            </w:r>
            <w:r w:rsidRPr="00832BBF">
              <w:rPr>
                <w:rFonts w:ascii="Arial" w:eastAsia="Arial" w:hAnsi="Arial" w:cs="Arial"/>
                <w:sz w:val="20"/>
                <w:szCs w:val="20"/>
              </w:rPr>
              <w:t>Poskytování technické pomoci je v souladu s článkem 59 obecného nařízení zaměřeno na podporu řízení a implementace OPZ a představuje 113 mil. EUR, tj. 4 % z celkového finančního objemu OPZ.</w:t>
            </w:r>
          </w:p>
          <w:p w14:paraId="619FCD5B" w14:textId="2EC07B81" w:rsidR="007F6686" w:rsidRPr="0005109D" w:rsidRDefault="007F6686" w:rsidP="00BB3DF7">
            <w:pPr>
              <w:spacing w:after="120"/>
              <w:ind w:left="136" w:right="238"/>
              <w:rPr>
                <w:rFonts w:ascii="Arial" w:eastAsia="Arial" w:hAnsi="Arial" w:cs="Arial"/>
                <w:sz w:val="20"/>
                <w:szCs w:val="20"/>
              </w:rPr>
            </w:pPr>
            <w:r w:rsidRPr="0005109D">
              <w:rPr>
                <w:rFonts w:ascii="Arial" w:eastAsia="Arial" w:hAnsi="Arial" w:cs="Arial"/>
                <w:sz w:val="20"/>
                <w:szCs w:val="20"/>
              </w:rPr>
              <w:t xml:space="preserve">Během roku 2020 došlo k navýšení alokace na TP OPZ, a to z důvodu celkového navýšení alokace OPZ převodem finančních prostředků z OP PIK. V rámci TP OPZ pokračovala realizace 6 projektů, schválených v roce 2016, v celkovém objemu 113 mil. EUR. Vzhledem k tomu, že přidělená alokace na PO5 je již alokována ve stávajících schválených projektech v rámci průběžné výzvy č. </w:t>
            </w:r>
            <w:r w:rsidRPr="0005109D">
              <w:rPr>
                <w:rFonts w:ascii="Arial" w:eastAsia="Arial" w:hAnsi="Arial" w:cs="Arial"/>
                <w:b/>
                <w:bCs/>
                <w:sz w:val="20"/>
                <w:szCs w:val="20"/>
              </w:rPr>
              <w:t>12</w:t>
            </w:r>
            <w:r w:rsidRPr="0005109D">
              <w:rPr>
                <w:rFonts w:ascii="Arial" w:eastAsia="Arial" w:hAnsi="Arial" w:cs="Arial"/>
                <w:sz w:val="20"/>
                <w:szCs w:val="20"/>
              </w:rPr>
              <w:t xml:space="preserve"> </w:t>
            </w:r>
            <w:r w:rsidRPr="0005109D">
              <w:rPr>
                <w:rFonts w:ascii="Arial" w:eastAsia="Arial" w:hAnsi="Arial" w:cs="Arial"/>
                <w:b/>
                <w:bCs/>
                <w:sz w:val="20"/>
                <w:szCs w:val="20"/>
              </w:rPr>
              <w:t>„Projekty technické pomoci“</w:t>
            </w:r>
            <w:r w:rsidRPr="0005109D">
              <w:rPr>
                <w:rFonts w:ascii="Arial" w:eastAsia="Arial" w:hAnsi="Arial" w:cs="Arial"/>
                <w:sz w:val="20"/>
                <w:szCs w:val="20"/>
              </w:rPr>
              <w:t>, nebyl v roce 2020 předložen další projekt.</w:t>
            </w:r>
          </w:p>
          <w:p w14:paraId="1A4F10D1" w14:textId="4A960B67" w:rsidR="00893A58" w:rsidRPr="0005109D" w:rsidRDefault="007F6686" w:rsidP="00BB3DF7">
            <w:pPr>
              <w:shd w:val="clear" w:color="auto" w:fill="FFFFFF" w:themeFill="background1"/>
              <w:spacing w:after="120"/>
              <w:ind w:left="136" w:right="238"/>
              <w:rPr>
                <w:rFonts w:ascii="Arial" w:eastAsia="Arial" w:hAnsi="Arial" w:cs="Arial"/>
                <w:sz w:val="20"/>
                <w:szCs w:val="20"/>
              </w:rPr>
            </w:pPr>
            <w:r w:rsidRPr="0005109D">
              <w:rPr>
                <w:rFonts w:ascii="Arial" w:eastAsia="Arial" w:hAnsi="Arial" w:cs="Arial"/>
                <w:sz w:val="20"/>
                <w:szCs w:val="20"/>
              </w:rPr>
              <w:t>Realizované projekty jsou zaměřeny především na tyto aktivity: úhradu osobních nákladů zaměstnanců, kteří realizují úkoly spojené s implementací OPZ; zajištění věcného hodnocení a výběr projektů OPZ; organizační zajištění monitorovacích výborů OPZ, financování provozních nákladů spojených s implementací OPZ; zajištění odborného rozvoje zaměstnanců řídicího orgánu OPZ; financování publicitních a komunikačních aktivit; zpracování evaluací, analýz a odborných studií pro OPZ.</w:t>
            </w:r>
          </w:p>
        </w:tc>
      </w:tr>
    </w:tbl>
    <w:p w14:paraId="1A4F10D3" w14:textId="2BB07C2B" w:rsidR="00F16783" w:rsidRPr="00830A79" w:rsidRDefault="00F16783" w:rsidP="001A568F"/>
    <w:sectPr w:rsidR="00F16783" w:rsidRPr="00830A79" w:rsidSect="002A326C">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1418" w:right="1418" w:bottom="1418" w:left="1418" w:header="567"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F10D6" w14:textId="77777777" w:rsidR="00043098" w:rsidRDefault="00043098" w:rsidP="00744469">
      <w:pPr>
        <w:spacing w:after="0"/>
      </w:pPr>
      <w:r>
        <w:separator/>
      </w:r>
    </w:p>
  </w:endnote>
  <w:endnote w:type="continuationSeparator" w:id="0">
    <w:p w14:paraId="1A4F10D7" w14:textId="77777777" w:rsidR="00043098" w:rsidRDefault="00043098" w:rsidP="007444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2DD7C" w14:textId="77777777" w:rsidR="00111C57" w:rsidRDefault="00111C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4669"/>
      <w:gridCol w:w="4668"/>
      <w:gridCol w:w="4665"/>
    </w:tblGrid>
    <w:tr w:rsidR="00043098" w14:paraId="1A4F10DB" w14:textId="77777777" w:rsidTr="00830A79">
      <w:tc>
        <w:tcPr>
          <w:tcW w:w="5000" w:type="pct"/>
          <w:gridSpan w:val="3"/>
          <w:shd w:val="clear" w:color="auto" w:fill="auto"/>
          <w:vAlign w:val="center"/>
        </w:tcPr>
        <w:p w14:paraId="1A4F10DA" w14:textId="77777777" w:rsidR="00043098" w:rsidRDefault="00043098" w:rsidP="00F543E8">
          <w:pPr>
            <w:pStyle w:val="Tabulkazhlav"/>
          </w:pPr>
        </w:p>
      </w:tc>
    </w:tr>
    <w:tr w:rsidR="00043098" w14:paraId="1A4F10DF" w14:textId="77777777" w:rsidTr="00830A79">
      <w:tc>
        <w:tcPr>
          <w:tcW w:w="1667" w:type="pct"/>
          <w:shd w:val="clear" w:color="auto" w:fill="auto"/>
          <w:vAlign w:val="center"/>
        </w:tcPr>
        <w:p w14:paraId="1A4F10DC" w14:textId="77777777" w:rsidR="00043098" w:rsidRDefault="00043098" w:rsidP="00E073EC">
          <w:pPr>
            <w:pStyle w:val="Tabulkatext"/>
          </w:pPr>
        </w:p>
      </w:tc>
      <w:tc>
        <w:tcPr>
          <w:tcW w:w="1667" w:type="pct"/>
          <w:shd w:val="clear" w:color="auto" w:fill="auto"/>
          <w:vAlign w:val="center"/>
        </w:tcPr>
        <w:p w14:paraId="1A4F10DD" w14:textId="5297D097" w:rsidR="00043098" w:rsidRDefault="003A7C65" w:rsidP="00F16783">
          <w:pPr>
            <w:pStyle w:val="Tabulkatext"/>
            <w:ind w:left="0"/>
          </w:pPr>
          <w:r>
            <w:t>Příloha č. 1 VZ OPZ za rok 20</w:t>
          </w:r>
          <w:r w:rsidR="00EB4254">
            <w:t>20</w:t>
          </w:r>
        </w:p>
      </w:tc>
      <w:tc>
        <w:tcPr>
          <w:tcW w:w="1667" w:type="pct"/>
          <w:shd w:val="clear" w:color="auto" w:fill="auto"/>
          <w:vAlign w:val="center"/>
        </w:tcPr>
        <w:p w14:paraId="1A4F10DE" w14:textId="1DE71670" w:rsidR="00043098" w:rsidRDefault="00043098" w:rsidP="00E073EC">
          <w:pPr>
            <w:pStyle w:val="Tabulkatext"/>
            <w:jc w:val="right"/>
          </w:pPr>
          <w:r>
            <w:t xml:space="preserve">Strana: </w:t>
          </w:r>
          <w:r>
            <w:fldChar w:fldCharType="begin"/>
          </w:r>
          <w:r>
            <w:instrText xml:space="preserve"> PAGE   \* MERGEFORMAT </w:instrText>
          </w:r>
          <w:r>
            <w:fldChar w:fldCharType="separate"/>
          </w:r>
          <w:r w:rsidR="001A4739">
            <w:rPr>
              <w:noProof/>
            </w:rPr>
            <w:t>2</w:t>
          </w:r>
          <w:r>
            <w:fldChar w:fldCharType="end"/>
          </w:r>
          <w:r>
            <w:t xml:space="preserve"> z </w:t>
          </w:r>
          <w:r w:rsidR="00906542">
            <w:rPr>
              <w:noProof/>
            </w:rPr>
            <w:fldChar w:fldCharType="begin"/>
          </w:r>
          <w:r w:rsidR="00906542">
            <w:rPr>
              <w:noProof/>
            </w:rPr>
            <w:instrText xml:space="preserve"> NUMPAGES   \* MERGEFORMAT </w:instrText>
          </w:r>
          <w:r w:rsidR="00906542">
            <w:rPr>
              <w:noProof/>
            </w:rPr>
            <w:fldChar w:fldCharType="separate"/>
          </w:r>
          <w:r w:rsidR="001A4739">
            <w:rPr>
              <w:noProof/>
            </w:rPr>
            <w:t>8</w:t>
          </w:r>
          <w:r w:rsidR="00906542">
            <w:rPr>
              <w:noProof/>
            </w:rPr>
            <w:fldChar w:fldCharType="end"/>
          </w:r>
        </w:p>
      </w:tc>
    </w:tr>
  </w:tbl>
  <w:p w14:paraId="1A4F10E0" w14:textId="77777777" w:rsidR="00043098" w:rsidRDefault="0004309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4669"/>
      <w:gridCol w:w="4668"/>
      <w:gridCol w:w="4665"/>
    </w:tblGrid>
    <w:tr w:rsidR="00043098" w:rsidRPr="007B628A" w14:paraId="1A4F10E4" w14:textId="77777777" w:rsidTr="00A34F9E">
      <w:tc>
        <w:tcPr>
          <w:tcW w:w="5000" w:type="pct"/>
          <w:gridSpan w:val="3"/>
          <w:shd w:val="clear" w:color="auto" w:fill="auto"/>
          <w:vAlign w:val="center"/>
        </w:tcPr>
        <w:p w14:paraId="1A4F10E3" w14:textId="77777777" w:rsidR="00043098" w:rsidRPr="00A34F9E" w:rsidRDefault="00043098" w:rsidP="00A34F9E">
          <w:pPr>
            <w:pStyle w:val="Tabulkazhlav"/>
            <w:rPr>
              <w:b w:val="0"/>
            </w:rPr>
          </w:pPr>
        </w:p>
      </w:tc>
    </w:tr>
    <w:tr w:rsidR="00043098" w14:paraId="1A4F10E8" w14:textId="77777777" w:rsidTr="00A34F9E">
      <w:tc>
        <w:tcPr>
          <w:tcW w:w="1667" w:type="pct"/>
          <w:shd w:val="clear" w:color="auto" w:fill="auto"/>
          <w:vAlign w:val="center"/>
        </w:tcPr>
        <w:p w14:paraId="1A4F10E5" w14:textId="77777777" w:rsidR="00043098" w:rsidRDefault="00043098" w:rsidP="00043098">
          <w:pPr>
            <w:pStyle w:val="Tabulkatext"/>
          </w:pPr>
        </w:p>
      </w:tc>
      <w:tc>
        <w:tcPr>
          <w:tcW w:w="1667" w:type="pct"/>
          <w:shd w:val="clear" w:color="auto" w:fill="auto"/>
          <w:vAlign w:val="center"/>
        </w:tcPr>
        <w:p w14:paraId="1A4F10E6" w14:textId="77777777" w:rsidR="00043098" w:rsidRDefault="00043098" w:rsidP="00043098">
          <w:pPr>
            <w:pStyle w:val="Tabulkatext"/>
            <w:jc w:val="center"/>
          </w:pPr>
        </w:p>
      </w:tc>
      <w:tc>
        <w:tcPr>
          <w:tcW w:w="1666" w:type="pct"/>
          <w:shd w:val="clear" w:color="auto" w:fill="auto"/>
          <w:vAlign w:val="center"/>
        </w:tcPr>
        <w:p w14:paraId="1A4F10E7" w14:textId="77777777" w:rsidR="00043098" w:rsidRDefault="00043098" w:rsidP="00043098">
          <w:pPr>
            <w:pStyle w:val="Tabulkatext"/>
            <w:jc w:val="right"/>
          </w:pPr>
          <w:r>
            <w:t xml:space="preserve">Strana: </w:t>
          </w:r>
          <w:r>
            <w:fldChar w:fldCharType="begin"/>
          </w:r>
          <w:r>
            <w:instrText xml:space="preserve"> PAGE   \* MERGEFORMAT </w:instrText>
          </w:r>
          <w:r>
            <w:fldChar w:fldCharType="separate"/>
          </w:r>
          <w:r>
            <w:rPr>
              <w:noProof/>
            </w:rPr>
            <w:t>1</w:t>
          </w:r>
          <w:r>
            <w:fldChar w:fldCharType="end"/>
          </w:r>
          <w:r>
            <w:t xml:space="preserve"> z </w:t>
          </w:r>
          <w:r w:rsidR="00906542">
            <w:rPr>
              <w:noProof/>
            </w:rPr>
            <w:fldChar w:fldCharType="begin"/>
          </w:r>
          <w:r w:rsidR="00906542">
            <w:rPr>
              <w:noProof/>
            </w:rPr>
            <w:instrText xml:space="preserve"> NUMPAGES   \* MERGEFORMAT </w:instrText>
          </w:r>
          <w:r w:rsidR="00906542">
            <w:rPr>
              <w:noProof/>
            </w:rPr>
            <w:fldChar w:fldCharType="separate"/>
          </w:r>
          <w:r>
            <w:rPr>
              <w:noProof/>
            </w:rPr>
            <w:t>11</w:t>
          </w:r>
          <w:r w:rsidR="00906542">
            <w:rPr>
              <w:noProof/>
            </w:rPr>
            <w:fldChar w:fldCharType="end"/>
          </w:r>
        </w:p>
      </w:tc>
    </w:tr>
  </w:tbl>
  <w:p w14:paraId="1A4F10E9" w14:textId="77777777" w:rsidR="00043098" w:rsidRDefault="000430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F10D4" w14:textId="77777777" w:rsidR="00043098" w:rsidRDefault="00043098" w:rsidP="00744469">
      <w:pPr>
        <w:spacing w:after="0"/>
      </w:pPr>
      <w:r>
        <w:separator/>
      </w:r>
    </w:p>
  </w:footnote>
  <w:footnote w:type="continuationSeparator" w:id="0">
    <w:p w14:paraId="1A4F10D5" w14:textId="77777777" w:rsidR="00043098" w:rsidRDefault="00043098" w:rsidP="007444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71F31" w14:textId="77777777" w:rsidR="00111C57" w:rsidRDefault="00111C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F10D8" w14:textId="77777777" w:rsidR="00043098" w:rsidRDefault="00043098">
    <w:pPr>
      <w:pStyle w:val="Zhlav"/>
    </w:pPr>
    <w:r>
      <w:rPr>
        <w:noProof/>
        <w:lang w:eastAsia="cs-CZ"/>
      </w:rPr>
      <w:drawing>
        <wp:inline distT="0" distB="0" distL="0" distR="0" wp14:anchorId="1A4F10EA" wp14:editId="1A4F10EB">
          <wp:extent cx="2867025" cy="591193"/>
          <wp:effectExtent l="0" t="0" r="0" b="0"/>
          <wp:docPr id="7"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93"/>
                  </a:xfrm>
                  <a:prstGeom prst="rect">
                    <a:avLst/>
                  </a:prstGeom>
                  <a:noFill/>
                  <a:ln>
                    <a:noFill/>
                  </a:ln>
                </pic:spPr>
              </pic:pic>
            </a:graphicData>
          </a:graphic>
        </wp:inline>
      </w:drawing>
    </w:r>
  </w:p>
  <w:p w14:paraId="1A4F10D9" w14:textId="77777777" w:rsidR="00043098" w:rsidRDefault="0004309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F10E1" w14:textId="77777777" w:rsidR="00043098" w:rsidRDefault="00043098">
    <w:pPr>
      <w:pStyle w:val="Zhlav"/>
    </w:pPr>
    <w:r>
      <w:rPr>
        <w:noProof/>
        <w:lang w:eastAsia="cs-CZ"/>
      </w:rPr>
      <w:drawing>
        <wp:inline distT="0" distB="0" distL="0" distR="0" wp14:anchorId="1A4F10EC" wp14:editId="1A4F10ED">
          <wp:extent cx="2867025" cy="591193"/>
          <wp:effectExtent l="0" t="0" r="0" b="0"/>
          <wp:docPr id="6" name="Obrázek 6"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93"/>
                  </a:xfrm>
                  <a:prstGeom prst="rect">
                    <a:avLst/>
                  </a:prstGeom>
                  <a:noFill/>
                  <a:ln>
                    <a:noFill/>
                  </a:ln>
                </pic:spPr>
              </pic:pic>
            </a:graphicData>
          </a:graphic>
        </wp:inline>
      </w:drawing>
    </w:r>
  </w:p>
  <w:p w14:paraId="1A4F10E2" w14:textId="77777777" w:rsidR="00043098" w:rsidRDefault="000430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75pt;height:6.75pt" o:bullet="t">
        <v:imagedata r:id="rId1" o:title="ul"/>
      </v:shape>
    </w:pict>
  </w:numPicBullet>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 w15:restartNumberingAfterBreak="0">
    <w:nsid w:val="0A2C6E2D"/>
    <w:multiLevelType w:val="hybridMultilevel"/>
    <w:tmpl w:val="F0FA33DC"/>
    <w:lvl w:ilvl="0" w:tplc="04050001">
      <w:start w:val="1"/>
      <w:numFmt w:val="bullet"/>
      <w:lvlText w:val=""/>
      <w:lvlJc w:val="left"/>
      <w:pPr>
        <w:ind w:left="856" w:hanging="360"/>
      </w:pPr>
      <w:rPr>
        <w:rFonts w:ascii="Symbol" w:hAnsi="Symbol" w:hint="default"/>
      </w:rPr>
    </w:lvl>
    <w:lvl w:ilvl="1" w:tplc="04050003" w:tentative="1">
      <w:start w:val="1"/>
      <w:numFmt w:val="bullet"/>
      <w:lvlText w:val="o"/>
      <w:lvlJc w:val="left"/>
      <w:pPr>
        <w:ind w:left="1576" w:hanging="360"/>
      </w:pPr>
      <w:rPr>
        <w:rFonts w:ascii="Courier New" w:hAnsi="Courier New" w:cs="Courier New" w:hint="default"/>
      </w:rPr>
    </w:lvl>
    <w:lvl w:ilvl="2" w:tplc="04050005" w:tentative="1">
      <w:start w:val="1"/>
      <w:numFmt w:val="bullet"/>
      <w:lvlText w:val=""/>
      <w:lvlJc w:val="left"/>
      <w:pPr>
        <w:ind w:left="2296" w:hanging="360"/>
      </w:pPr>
      <w:rPr>
        <w:rFonts w:ascii="Wingdings" w:hAnsi="Wingdings" w:hint="default"/>
      </w:rPr>
    </w:lvl>
    <w:lvl w:ilvl="3" w:tplc="04050001" w:tentative="1">
      <w:start w:val="1"/>
      <w:numFmt w:val="bullet"/>
      <w:lvlText w:val=""/>
      <w:lvlJc w:val="left"/>
      <w:pPr>
        <w:ind w:left="3016" w:hanging="360"/>
      </w:pPr>
      <w:rPr>
        <w:rFonts w:ascii="Symbol" w:hAnsi="Symbol" w:hint="default"/>
      </w:rPr>
    </w:lvl>
    <w:lvl w:ilvl="4" w:tplc="04050003" w:tentative="1">
      <w:start w:val="1"/>
      <w:numFmt w:val="bullet"/>
      <w:lvlText w:val="o"/>
      <w:lvlJc w:val="left"/>
      <w:pPr>
        <w:ind w:left="3736" w:hanging="360"/>
      </w:pPr>
      <w:rPr>
        <w:rFonts w:ascii="Courier New" w:hAnsi="Courier New" w:cs="Courier New" w:hint="default"/>
      </w:rPr>
    </w:lvl>
    <w:lvl w:ilvl="5" w:tplc="04050005" w:tentative="1">
      <w:start w:val="1"/>
      <w:numFmt w:val="bullet"/>
      <w:lvlText w:val=""/>
      <w:lvlJc w:val="left"/>
      <w:pPr>
        <w:ind w:left="4456" w:hanging="360"/>
      </w:pPr>
      <w:rPr>
        <w:rFonts w:ascii="Wingdings" w:hAnsi="Wingdings" w:hint="default"/>
      </w:rPr>
    </w:lvl>
    <w:lvl w:ilvl="6" w:tplc="04050001" w:tentative="1">
      <w:start w:val="1"/>
      <w:numFmt w:val="bullet"/>
      <w:lvlText w:val=""/>
      <w:lvlJc w:val="left"/>
      <w:pPr>
        <w:ind w:left="5176" w:hanging="360"/>
      </w:pPr>
      <w:rPr>
        <w:rFonts w:ascii="Symbol" w:hAnsi="Symbol" w:hint="default"/>
      </w:rPr>
    </w:lvl>
    <w:lvl w:ilvl="7" w:tplc="04050003" w:tentative="1">
      <w:start w:val="1"/>
      <w:numFmt w:val="bullet"/>
      <w:lvlText w:val="o"/>
      <w:lvlJc w:val="left"/>
      <w:pPr>
        <w:ind w:left="5896" w:hanging="360"/>
      </w:pPr>
      <w:rPr>
        <w:rFonts w:ascii="Courier New" w:hAnsi="Courier New" w:cs="Courier New" w:hint="default"/>
      </w:rPr>
    </w:lvl>
    <w:lvl w:ilvl="8" w:tplc="04050005" w:tentative="1">
      <w:start w:val="1"/>
      <w:numFmt w:val="bullet"/>
      <w:lvlText w:val=""/>
      <w:lvlJc w:val="left"/>
      <w:pPr>
        <w:ind w:left="6616" w:hanging="360"/>
      </w:pPr>
      <w:rPr>
        <w:rFonts w:ascii="Wingdings" w:hAnsi="Wingdings" w:hint="default"/>
      </w:rPr>
    </w:lvl>
  </w:abstractNum>
  <w:abstractNum w:abstractNumId="2" w15:restartNumberingAfterBreak="0">
    <w:nsid w:val="0BF27CB5"/>
    <w:multiLevelType w:val="multilevel"/>
    <w:tmpl w:val="500ADE1C"/>
    <w:lvl w:ilvl="0">
      <w:start w:val="1"/>
      <w:numFmt w:val="bullet"/>
      <w:pStyle w:val="Odrky1"/>
      <w:lvlText w:val=""/>
      <w:lvlJc w:val="left"/>
      <w:pPr>
        <w:tabs>
          <w:tab w:val="num" w:pos="397"/>
        </w:tabs>
        <w:ind w:left="397" w:hanging="397"/>
      </w:pPr>
      <w:rPr>
        <w:rFonts w:ascii="Wingdings 2" w:hAnsi="Wingdings 2" w:hint="default"/>
        <w:color w:val="505050" w:themeColor="accent1"/>
        <w:sz w:val="22"/>
        <w:szCs w:val="22"/>
      </w:rPr>
    </w:lvl>
    <w:lvl w:ilvl="1">
      <w:start w:val="1"/>
      <w:numFmt w:val="bullet"/>
      <w:pStyle w:val="Odrky2"/>
      <w:lvlText w:val=""/>
      <w:lvlJc w:val="left"/>
      <w:pPr>
        <w:tabs>
          <w:tab w:val="num" w:pos="794"/>
        </w:tabs>
        <w:ind w:left="794" w:hanging="397"/>
      </w:pPr>
      <w:rPr>
        <w:rFonts w:ascii="Wingdings 2" w:hAnsi="Wingdings 2" w:hint="default"/>
        <w:color w:val="505050" w:themeColor="accent1"/>
        <w:sz w:val="22"/>
      </w:rPr>
    </w:lvl>
    <w:lvl w:ilvl="2">
      <w:start w:val="1"/>
      <w:numFmt w:val="bullet"/>
      <w:pStyle w:val="Odrky3"/>
      <w:lvlText w:val=""/>
      <w:lvlJc w:val="left"/>
      <w:pPr>
        <w:tabs>
          <w:tab w:val="num" w:pos="1191"/>
        </w:tabs>
        <w:ind w:left="1191" w:hanging="397"/>
      </w:pPr>
      <w:rPr>
        <w:rFonts w:ascii="Wingdings 2" w:hAnsi="Wingdings 2" w:hint="default"/>
        <w:color w:val="505050" w:themeColor="accent1"/>
      </w:rPr>
    </w:lvl>
    <w:lvl w:ilvl="3">
      <w:start w:val="1"/>
      <w:numFmt w:val="bullet"/>
      <w:pStyle w:val="Odrky4"/>
      <w:lvlText w:val=""/>
      <w:lvlJc w:val="left"/>
      <w:pPr>
        <w:tabs>
          <w:tab w:val="num" w:pos="1588"/>
        </w:tabs>
        <w:ind w:left="1588" w:hanging="397"/>
      </w:pPr>
      <w:rPr>
        <w:rFonts w:ascii="Wingdings 2" w:hAnsi="Wingdings 2" w:hint="default"/>
        <w:color w:val="505050" w:themeColor="accent1"/>
      </w:rPr>
    </w:lvl>
    <w:lvl w:ilvl="4">
      <w:start w:val="1"/>
      <w:numFmt w:val="bullet"/>
      <w:pStyle w:val="Odrky5"/>
      <w:lvlText w:val=""/>
      <w:lvlJc w:val="left"/>
      <w:pPr>
        <w:tabs>
          <w:tab w:val="num" w:pos="1985"/>
        </w:tabs>
        <w:ind w:left="1985" w:hanging="397"/>
      </w:pPr>
      <w:rPr>
        <w:rFonts w:ascii="Wingdings 2" w:hAnsi="Wingdings 2" w:hint="default"/>
        <w:color w:val="505050"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D564DAD"/>
    <w:multiLevelType w:val="hybridMultilevel"/>
    <w:tmpl w:val="68A283DE"/>
    <w:lvl w:ilvl="0" w:tplc="45089C26">
      <w:start w:val="1"/>
      <w:numFmt w:val="bullet"/>
      <w:lvlText w:val="-"/>
      <w:lvlJc w:val="left"/>
      <w:pPr>
        <w:tabs>
          <w:tab w:val="num" w:pos="720"/>
        </w:tabs>
        <w:ind w:left="720" w:hanging="360"/>
      </w:pPr>
      <w:rPr>
        <w:rFonts w:ascii="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98FA3AFA" w:tentative="1">
      <w:start w:val="1"/>
      <w:numFmt w:val="bullet"/>
      <w:lvlText w:val="-"/>
      <w:lvlJc w:val="left"/>
      <w:pPr>
        <w:tabs>
          <w:tab w:val="num" w:pos="2160"/>
        </w:tabs>
        <w:ind w:left="2160" w:hanging="360"/>
      </w:pPr>
      <w:rPr>
        <w:rFonts w:ascii="Times New Roman" w:hAnsi="Times New Roman" w:hint="default"/>
      </w:rPr>
    </w:lvl>
    <w:lvl w:ilvl="3" w:tplc="1C5C4258" w:tentative="1">
      <w:start w:val="1"/>
      <w:numFmt w:val="bullet"/>
      <w:lvlText w:val="-"/>
      <w:lvlJc w:val="left"/>
      <w:pPr>
        <w:tabs>
          <w:tab w:val="num" w:pos="2880"/>
        </w:tabs>
        <w:ind w:left="2880" w:hanging="360"/>
      </w:pPr>
      <w:rPr>
        <w:rFonts w:ascii="Times New Roman" w:hAnsi="Times New Roman" w:hint="default"/>
      </w:rPr>
    </w:lvl>
    <w:lvl w:ilvl="4" w:tplc="A89A8994" w:tentative="1">
      <w:start w:val="1"/>
      <w:numFmt w:val="bullet"/>
      <w:lvlText w:val="-"/>
      <w:lvlJc w:val="left"/>
      <w:pPr>
        <w:tabs>
          <w:tab w:val="num" w:pos="3600"/>
        </w:tabs>
        <w:ind w:left="3600" w:hanging="360"/>
      </w:pPr>
      <w:rPr>
        <w:rFonts w:ascii="Times New Roman" w:hAnsi="Times New Roman" w:hint="default"/>
      </w:rPr>
    </w:lvl>
    <w:lvl w:ilvl="5" w:tplc="60564EE8" w:tentative="1">
      <w:start w:val="1"/>
      <w:numFmt w:val="bullet"/>
      <w:lvlText w:val="-"/>
      <w:lvlJc w:val="left"/>
      <w:pPr>
        <w:tabs>
          <w:tab w:val="num" w:pos="4320"/>
        </w:tabs>
        <w:ind w:left="4320" w:hanging="360"/>
      </w:pPr>
      <w:rPr>
        <w:rFonts w:ascii="Times New Roman" w:hAnsi="Times New Roman" w:hint="default"/>
      </w:rPr>
    </w:lvl>
    <w:lvl w:ilvl="6" w:tplc="6CDEF000" w:tentative="1">
      <w:start w:val="1"/>
      <w:numFmt w:val="bullet"/>
      <w:lvlText w:val="-"/>
      <w:lvlJc w:val="left"/>
      <w:pPr>
        <w:tabs>
          <w:tab w:val="num" w:pos="5040"/>
        </w:tabs>
        <w:ind w:left="5040" w:hanging="360"/>
      </w:pPr>
      <w:rPr>
        <w:rFonts w:ascii="Times New Roman" w:hAnsi="Times New Roman" w:hint="default"/>
      </w:rPr>
    </w:lvl>
    <w:lvl w:ilvl="7" w:tplc="CD5CB786" w:tentative="1">
      <w:start w:val="1"/>
      <w:numFmt w:val="bullet"/>
      <w:lvlText w:val="-"/>
      <w:lvlJc w:val="left"/>
      <w:pPr>
        <w:tabs>
          <w:tab w:val="num" w:pos="5760"/>
        </w:tabs>
        <w:ind w:left="5760" w:hanging="360"/>
      </w:pPr>
      <w:rPr>
        <w:rFonts w:ascii="Times New Roman" w:hAnsi="Times New Roman" w:hint="default"/>
      </w:rPr>
    </w:lvl>
    <w:lvl w:ilvl="8" w:tplc="363ACAC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23065D3"/>
    <w:multiLevelType w:val="hybridMultilevel"/>
    <w:tmpl w:val="ABA088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817D25"/>
    <w:multiLevelType w:val="hybridMultilevel"/>
    <w:tmpl w:val="8892F072"/>
    <w:lvl w:ilvl="0" w:tplc="04050001">
      <w:start w:val="1"/>
      <w:numFmt w:val="bullet"/>
      <w:lvlText w:val=""/>
      <w:lvlJc w:val="left"/>
      <w:pPr>
        <w:ind w:left="855" w:hanging="360"/>
      </w:pPr>
      <w:rPr>
        <w:rFonts w:ascii="Symbol" w:hAnsi="Symbol" w:hint="default"/>
      </w:rPr>
    </w:lvl>
    <w:lvl w:ilvl="1" w:tplc="04050003" w:tentative="1">
      <w:start w:val="1"/>
      <w:numFmt w:val="bullet"/>
      <w:lvlText w:val="o"/>
      <w:lvlJc w:val="left"/>
      <w:pPr>
        <w:ind w:left="1575" w:hanging="360"/>
      </w:pPr>
      <w:rPr>
        <w:rFonts w:ascii="Courier New" w:hAnsi="Courier New" w:cs="Courier New" w:hint="default"/>
      </w:rPr>
    </w:lvl>
    <w:lvl w:ilvl="2" w:tplc="04050005" w:tentative="1">
      <w:start w:val="1"/>
      <w:numFmt w:val="bullet"/>
      <w:lvlText w:val=""/>
      <w:lvlJc w:val="left"/>
      <w:pPr>
        <w:ind w:left="2295" w:hanging="360"/>
      </w:pPr>
      <w:rPr>
        <w:rFonts w:ascii="Wingdings" w:hAnsi="Wingdings" w:hint="default"/>
      </w:rPr>
    </w:lvl>
    <w:lvl w:ilvl="3" w:tplc="04050001" w:tentative="1">
      <w:start w:val="1"/>
      <w:numFmt w:val="bullet"/>
      <w:lvlText w:val=""/>
      <w:lvlJc w:val="left"/>
      <w:pPr>
        <w:ind w:left="3015" w:hanging="360"/>
      </w:pPr>
      <w:rPr>
        <w:rFonts w:ascii="Symbol" w:hAnsi="Symbol" w:hint="default"/>
      </w:rPr>
    </w:lvl>
    <w:lvl w:ilvl="4" w:tplc="04050003" w:tentative="1">
      <w:start w:val="1"/>
      <w:numFmt w:val="bullet"/>
      <w:lvlText w:val="o"/>
      <w:lvlJc w:val="left"/>
      <w:pPr>
        <w:ind w:left="3735" w:hanging="360"/>
      </w:pPr>
      <w:rPr>
        <w:rFonts w:ascii="Courier New" w:hAnsi="Courier New" w:cs="Courier New" w:hint="default"/>
      </w:rPr>
    </w:lvl>
    <w:lvl w:ilvl="5" w:tplc="04050005" w:tentative="1">
      <w:start w:val="1"/>
      <w:numFmt w:val="bullet"/>
      <w:lvlText w:val=""/>
      <w:lvlJc w:val="left"/>
      <w:pPr>
        <w:ind w:left="4455" w:hanging="360"/>
      </w:pPr>
      <w:rPr>
        <w:rFonts w:ascii="Wingdings" w:hAnsi="Wingdings" w:hint="default"/>
      </w:rPr>
    </w:lvl>
    <w:lvl w:ilvl="6" w:tplc="04050001" w:tentative="1">
      <w:start w:val="1"/>
      <w:numFmt w:val="bullet"/>
      <w:lvlText w:val=""/>
      <w:lvlJc w:val="left"/>
      <w:pPr>
        <w:ind w:left="5175" w:hanging="360"/>
      </w:pPr>
      <w:rPr>
        <w:rFonts w:ascii="Symbol" w:hAnsi="Symbol" w:hint="default"/>
      </w:rPr>
    </w:lvl>
    <w:lvl w:ilvl="7" w:tplc="04050003" w:tentative="1">
      <w:start w:val="1"/>
      <w:numFmt w:val="bullet"/>
      <w:lvlText w:val="o"/>
      <w:lvlJc w:val="left"/>
      <w:pPr>
        <w:ind w:left="5895" w:hanging="360"/>
      </w:pPr>
      <w:rPr>
        <w:rFonts w:ascii="Courier New" w:hAnsi="Courier New" w:cs="Courier New" w:hint="default"/>
      </w:rPr>
    </w:lvl>
    <w:lvl w:ilvl="8" w:tplc="04050005" w:tentative="1">
      <w:start w:val="1"/>
      <w:numFmt w:val="bullet"/>
      <w:lvlText w:val=""/>
      <w:lvlJc w:val="left"/>
      <w:pPr>
        <w:ind w:left="6615" w:hanging="360"/>
      </w:pPr>
      <w:rPr>
        <w:rFonts w:ascii="Wingdings" w:hAnsi="Wingdings" w:hint="default"/>
      </w:rPr>
    </w:lvl>
  </w:abstractNum>
  <w:abstractNum w:abstractNumId="6" w15:restartNumberingAfterBreak="0">
    <w:nsid w:val="29554D5B"/>
    <w:multiLevelType w:val="multilevel"/>
    <w:tmpl w:val="D384F8A8"/>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7" w15:restartNumberingAfterBreak="0">
    <w:nsid w:val="2D153F39"/>
    <w:multiLevelType w:val="multilevel"/>
    <w:tmpl w:val="DBFE3B36"/>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1588"/>
        </w:tabs>
        <w:ind w:left="1588" w:hanging="39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985"/>
        </w:tabs>
        <w:ind w:left="1985" w:hanging="39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E871BD9"/>
    <w:multiLevelType w:val="multilevel"/>
    <w:tmpl w:val="732E4906"/>
    <w:lvl w:ilvl="0">
      <w:start w:val="1"/>
      <w:numFmt w:val="decimal"/>
      <w:pStyle w:val="slovn1"/>
      <w:lvlText w:val="%1."/>
      <w:lvlJc w:val="left"/>
      <w:pPr>
        <w:tabs>
          <w:tab w:val="num" w:pos="397"/>
        </w:tabs>
        <w:ind w:left="397" w:hanging="397"/>
      </w:pPr>
      <w:rPr>
        <w:rFonts w:hint="default"/>
      </w:rPr>
    </w:lvl>
    <w:lvl w:ilvl="1">
      <w:start w:val="1"/>
      <w:numFmt w:val="lowerLetter"/>
      <w:pStyle w:val="slovn2"/>
      <w:lvlText w:val="%2."/>
      <w:lvlJc w:val="left"/>
      <w:pPr>
        <w:tabs>
          <w:tab w:val="num" w:pos="794"/>
        </w:tabs>
        <w:ind w:left="794" w:hanging="397"/>
      </w:pPr>
      <w:rPr>
        <w:rFonts w:hint="default"/>
      </w:rPr>
    </w:lvl>
    <w:lvl w:ilvl="2">
      <w:start w:val="1"/>
      <w:numFmt w:val="lowerRoman"/>
      <w:pStyle w:val="slovn3"/>
      <w:lvlText w:val="%3."/>
      <w:lvlJc w:val="left"/>
      <w:pPr>
        <w:tabs>
          <w:tab w:val="num" w:pos="1191"/>
        </w:tabs>
        <w:ind w:left="1191" w:hanging="397"/>
      </w:pPr>
      <w:rPr>
        <w:rFonts w:hint="default"/>
      </w:rPr>
    </w:lvl>
    <w:lvl w:ilvl="3">
      <w:start w:val="1"/>
      <w:numFmt w:val="decimal"/>
      <w:pStyle w:val="slovn4"/>
      <w:lvlText w:val="%4)"/>
      <w:lvlJc w:val="left"/>
      <w:pPr>
        <w:tabs>
          <w:tab w:val="num" w:pos="1588"/>
        </w:tabs>
        <w:ind w:left="1588" w:hanging="397"/>
      </w:pPr>
      <w:rPr>
        <w:rFonts w:hint="default"/>
      </w:rPr>
    </w:lvl>
    <w:lvl w:ilvl="4">
      <w:start w:val="1"/>
      <w:numFmt w:val="lowerLetter"/>
      <w:pStyle w:val="slovn5"/>
      <w:lvlText w:val="%5)"/>
      <w:lvlJc w:val="left"/>
      <w:pPr>
        <w:tabs>
          <w:tab w:val="num" w:pos="1985"/>
        </w:tabs>
        <w:ind w:left="1985" w:hanging="39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0AD1F5A"/>
    <w:multiLevelType w:val="hybridMultilevel"/>
    <w:tmpl w:val="B49EA588"/>
    <w:lvl w:ilvl="0" w:tplc="04050001">
      <w:start w:val="1"/>
      <w:numFmt w:val="bullet"/>
      <w:lvlText w:val=""/>
      <w:lvlJc w:val="left"/>
      <w:pPr>
        <w:ind w:left="855" w:hanging="360"/>
      </w:pPr>
      <w:rPr>
        <w:rFonts w:ascii="Symbol" w:hAnsi="Symbol" w:hint="default"/>
      </w:rPr>
    </w:lvl>
    <w:lvl w:ilvl="1" w:tplc="04050003" w:tentative="1">
      <w:start w:val="1"/>
      <w:numFmt w:val="bullet"/>
      <w:lvlText w:val="o"/>
      <w:lvlJc w:val="left"/>
      <w:pPr>
        <w:ind w:left="1575" w:hanging="360"/>
      </w:pPr>
      <w:rPr>
        <w:rFonts w:ascii="Courier New" w:hAnsi="Courier New" w:cs="Courier New" w:hint="default"/>
      </w:rPr>
    </w:lvl>
    <w:lvl w:ilvl="2" w:tplc="04050005" w:tentative="1">
      <w:start w:val="1"/>
      <w:numFmt w:val="bullet"/>
      <w:lvlText w:val=""/>
      <w:lvlJc w:val="left"/>
      <w:pPr>
        <w:ind w:left="2295" w:hanging="360"/>
      </w:pPr>
      <w:rPr>
        <w:rFonts w:ascii="Wingdings" w:hAnsi="Wingdings" w:hint="default"/>
      </w:rPr>
    </w:lvl>
    <w:lvl w:ilvl="3" w:tplc="04050001" w:tentative="1">
      <w:start w:val="1"/>
      <w:numFmt w:val="bullet"/>
      <w:lvlText w:val=""/>
      <w:lvlJc w:val="left"/>
      <w:pPr>
        <w:ind w:left="3015" w:hanging="360"/>
      </w:pPr>
      <w:rPr>
        <w:rFonts w:ascii="Symbol" w:hAnsi="Symbol" w:hint="default"/>
      </w:rPr>
    </w:lvl>
    <w:lvl w:ilvl="4" w:tplc="04050003" w:tentative="1">
      <w:start w:val="1"/>
      <w:numFmt w:val="bullet"/>
      <w:lvlText w:val="o"/>
      <w:lvlJc w:val="left"/>
      <w:pPr>
        <w:ind w:left="3735" w:hanging="360"/>
      </w:pPr>
      <w:rPr>
        <w:rFonts w:ascii="Courier New" w:hAnsi="Courier New" w:cs="Courier New" w:hint="default"/>
      </w:rPr>
    </w:lvl>
    <w:lvl w:ilvl="5" w:tplc="04050005" w:tentative="1">
      <w:start w:val="1"/>
      <w:numFmt w:val="bullet"/>
      <w:lvlText w:val=""/>
      <w:lvlJc w:val="left"/>
      <w:pPr>
        <w:ind w:left="4455" w:hanging="360"/>
      </w:pPr>
      <w:rPr>
        <w:rFonts w:ascii="Wingdings" w:hAnsi="Wingdings" w:hint="default"/>
      </w:rPr>
    </w:lvl>
    <w:lvl w:ilvl="6" w:tplc="04050001" w:tentative="1">
      <w:start w:val="1"/>
      <w:numFmt w:val="bullet"/>
      <w:lvlText w:val=""/>
      <w:lvlJc w:val="left"/>
      <w:pPr>
        <w:ind w:left="5175" w:hanging="360"/>
      </w:pPr>
      <w:rPr>
        <w:rFonts w:ascii="Symbol" w:hAnsi="Symbol" w:hint="default"/>
      </w:rPr>
    </w:lvl>
    <w:lvl w:ilvl="7" w:tplc="04050003" w:tentative="1">
      <w:start w:val="1"/>
      <w:numFmt w:val="bullet"/>
      <w:lvlText w:val="o"/>
      <w:lvlJc w:val="left"/>
      <w:pPr>
        <w:ind w:left="5895" w:hanging="360"/>
      </w:pPr>
      <w:rPr>
        <w:rFonts w:ascii="Courier New" w:hAnsi="Courier New" w:cs="Courier New" w:hint="default"/>
      </w:rPr>
    </w:lvl>
    <w:lvl w:ilvl="8" w:tplc="04050005" w:tentative="1">
      <w:start w:val="1"/>
      <w:numFmt w:val="bullet"/>
      <w:lvlText w:val=""/>
      <w:lvlJc w:val="left"/>
      <w:pPr>
        <w:ind w:left="6615" w:hanging="360"/>
      </w:pPr>
      <w:rPr>
        <w:rFonts w:ascii="Wingdings" w:hAnsi="Wingdings" w:hint="default"/>
      </w:rPr>
    </w:lvl>
  </w:abstractNum>
  <w:abstractNum w:abstractNumId="10" w15:restartNumberingAfterBreak="0">
    <w:nsid w:val="31FA0B22"/>
    <w:multiLevelType w:val="hybridMultilevel"/>
    <w:tmpl w:val="AD94B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9CA3350"/>
    <w:multiLevelType w:val="hybridMultilevel"/>
    <w:tmpl w:val="D29E717E"/>
    <w:lvl w:ilvl="0" w:tplc="DC5C2FA2">
      <w:start w:val="1"/>
      <w:numFmt w:val="decimal"/>
      <w:pStyle w:val="Pouitzdroje"/>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F572F0"/>
    <w:multiLevelType w:val="hybridMultilevel"/>
    <w:tmpl w:val="88DE3E08"/>
    <w:lvl w:ilvl="0" w:tplc="04050001">
      <w:start w:val="1"/>
      <w:numFmt w:val="bullet"/>
      <w:lvlText w:val=""/>
      <w:lvlJc w:val="left"/>
      <w:pPr>
        <w:ind w:left="856" w:hanging="360"/>
      </w:pPr>
      <w:rPr>
        <w:rFonts w:ascii="Symbol" w:hAnsi="Symbol" w:hint="default"/>
      </w:rPr>
    </w:lvl>
    <w:lvl w:ilvl="1" w:tplc="04050003" w:tentative="1">
      <w:start w:val="1"/>
      <w:numFmt w:val="bullet"/>
      <w:lvlText w:val="o"/>
      <w:lvlJc w:val="left"/>
      <w:pPr>
        <w:ind w:left="1576" w:hanging="360"/>
      </w:pPr>
      <w:rPr>
        <w:rFonts w:ascii="Courier New" w:hAnsi="Courier New" w:cs="Courier New" w:hint="default"/>
      </w:rPr>
    </w:lvl>
    <w:lvl w:ilvl="2" w:tplc="04050005" w:tentative="1">
      <w:start w:val="1"/>
      <w:numFmt w:val="bullet"/>
      <w:lvlText w:val=""/>
      <w:lvlJc w:val="left"/>
      <w:pPr>
        <w:ind w:left="2296" w:hanging="360"/>
      </w:pPr>
      <w:rPr>
        <w:rFonts w:ascii="Wingdings" w:hAnsi="Wingdings" w:hint="default"/>
      </w:rPr>
    </w:lvl>
    <w:lvl w:ilvl="3" w:tplc="04050001" w:tentative="1">
      <w:start w:val="1"/>
      <w:numFmt w:val="bullet"/>
      <w:lvlText w:val=""/>
      <w:lvlJc w:val="left"/>
      <w:pPr>
        <w:ind w:left="3016" w:hanging="360"/>
      </w:pPr>
      <w:rPr>
        <w:rFonts w:ascii="Symbol" w:hAnsi="Symbol" w:hint="default"/>
      </w:rPr>
    </w:lvl>
    <w:lvl w:ilvl="4" w:tplc="04050003" w:tentative="1">
      <w:start w:val="1"/>
      <w:numFmt w:val="bullet"/>
      <w:lvlText w:val="o"/>
      <w:lvlJc w:val="left"/>
      <w:pPr>
        <w:ind w:left="3736" w:hanging="360"/>
      </w:pPr>
      <w:rPr>
        <w:rFonts w:ascii="Courier New" w:hAnsi="Courier New" w:cs="Courier New" w:hint="default"/>
      </w:rPr>
    </w:lvl>
    <w:lvl w:ilvl="5" w:tplc="04050005" w:tentative="1">
      <w:start w:val="1"/>
      <w:numFmt w:val="bullet"/>
      <w:lvlText w:val=""/>
      <w:lvlJc w:val="left"/>
      <w:pPr>
        <w:ind w:left="4456" w:hanging="360"/>
      </w:pPr>
      <w:rPr>
        <w:rFonts w:ascii="Wingdings" w:hAnsi="Wingdings" w:hint="default"/>
      </w:rPr>
    </w:lvl>
    <w:lvl w:ilvl="6" w:tplc="04050001" w:tentative="1">
      <w:start w:val="1"/>
      <w:numFmt w:val="bullet"/>
      <w:lvlText w:val=""/>
      <w:lvlJc w:val="left"/>
      <w:pPr>
        <w:ind w:left="5176" w:hanging="360"/>
      </w:pPr>
      <w:rPr>
        <w:rFonts w:ascii="Symbol" w:hAnsi="Symbol" w:hint="default"/>
      </w:rPr>
    </w:lvl>
    <w:lvl w:ilvl="7" w:tplc="04050003" w:tentative="1">
      <w:start w:val="1"/>
      <w:numFmt w:val="bullet"/>
      <w:lvlText w:val="o"/>
      <w:lvlJc w:val="left"/>
      <w:pPr>
        <w:ind w:left="5896" w:hanging="360"/>
      </w:pPr>
      <w:rPr>
        <w:rFonts w:ascii="Courier New" w:hAnsi="Courier New" w:cs="Courier New" w:hint="default"/>
      </w:rPr>
    </w:lvl>
    <w:lvl w:ilvl="8" w:tplc="04050005" w:tentative="1">
      <w:start w:val="1"/>
      <w:numFmt w:val="bullet"/>
      <w:lvlText w:val=""/>
      <w:lvlJc w:val="left"/>
      <w:pPr>
        <w:ind w:left="6616" w:hanging="360"/>
      </w:pPr>
      <w:rPr>
        <w:rFonts w:ascii="Wingdings" w:hAnsi="Wingdings" w:hint="default"/>
      </w:rPr>
    </w:lvl>
  </w:abstractNum>
  <w:abstractNum w:abstractNumId="13" w15:restartNumberingAfterBreak="0">
    <w:nsid w:val="419B1710"/>
    <w:multiLevelType w:val="multilevel"/>
    <w:tmpl w:val="8868724C"/>
    <w:lvl w:ilvl="0">
      <w:start w:val="1"/>
      <w:numFmt w:val="bullet"/>
      <w:lvlText w:val=""/>
      <w:lvlJc w:val="left"/>
      <w:pPr>
        <w:tabs>
          <w:tab w:val="num" w:pos="284"/>
        </w:tabs>
        <w:ind w:left="284" w:hanging="284"/>
      </w:pPr>
      <w:rPr>
        <w:rFonts w:ascii="Wingdings" w:hAnsi="Wingdings" w:hint="default"/>
        <w:color w:val="505050" w:themeColor="accent1"/>
        <w:sz w:val="22"/>
        <w:szCs w:val="22"/>
      </w:rPr>
    </w:lvl>
    <w:lvl w:ilvl="1">
      <w:start w:val="1"/>
      <w:numFmt w:val="bullet"/>
      <w:lvlText w:val=""/>
      <w:lvlJc w:val="left"/>
      <w:pPr>
        <w:tabs>
          <w:tab w:val="num" w:pos="567"/>
        </w:tabs>
        <w:ind w:left="567" w:hanging="283"/>
      </w:pPr>
      <w:rPr>
        <w:rFonts w:ascii="Symbol" w:hAnsi="Symbol" w:hint="default"/>
        <w:color w:val="505050" w:themeColor="accent1"/>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2697A7F"/>
    <w:multiLevelType w:val="hybridMultilevel"/>
    <w:tmpl w:val="A6F46C38"/>
    <w:lvl w:ilvl="0" w:tplc="D5827C6C">
      <w:start w:val="1"/>
      <w:numFmt w:val="decimal"/>
      <w:lvlText w:val="%1)"/>
      <w:lvlJc w:val="left"/>
      <w:pPr>
        <w:ind w:left="495" w:hanging="360"/>
      </w:pPr>
    </w:lvl>
    <w:lvl w:ilvl="1" w:tplc="04050019">
      <w:start w:val="1"/>
      <w:numFmt w:val="lowerLetter"/>
      <w:lvlText w:val="%2."/>
      <w:lvlJc w:val="left"/>
      <w:pPr>
        <w:ind w:left="1215" w:hanging="360"/>
      </w:pPr>
    </w:lvl>
    <w:lvl w:ilvl="2" w:tplc="0405001B">
      <w:start w:val="1"/>
      <w:numFmt w:val="lowerRoman"/>
      <w:lvlText w:val="%3."/>
      <w:lvlJc w:val="right"/>
      <w:pPr>
        <w:ind w:left="1935" w:hanging="180"/>
      </w:pPr>
    </w:lvl>
    <w:lvl w:ilvl="3" w:tplc="0405000F">
      <w:start w:val="1"/>
      <w:numFmt w:val="decimal"/>
      <w:lvlText w:val="%4."/>
      <w:lvlJc w:val="left"/>
      <w:pPr>
        <w:ind w:left="2655" w:hanging="360"/>
      </w:pPr>
    </w:lvl>
    <w:lvl w:ilvl="4" w:tplc="04050019">
      <w:start w:val="1"/>
      <w:numFmt w:val="lowerLetter"/>
      <w:lvlText w:val="%5."/>
      <w:lvlJc w:val="left"/>
      <w:pPr>
        <w:ind w:left="3375" w:hanging="360"/>
      </w:pPr>
    </w:lvl>
    <w:lvl w:ilvl="5" w:tplc="0405001B">
      <w:start w:val="1"/>
      <w:numFmt w:val="lowerRoman"/>
      <w:lvlText w:val="%6."/>
      <w:lvlJc w:val="right"/>
      <w:pPr>
        <w:ind w:left="4095" w:hanging="180"/>
      </w:pPr>
    </w:lvl>
    <w:lvl w:ilvl="6" w:tplc="0405000F">
      <w:start w:val="1"/>
      <w:numFmt w:val="decimal"/>
      <w:lvlText w:val="%7."/>
      <w:lvlJc w:val="left"/>
      <w:pPr>
        <w:ind w:left="4815" w:hanging="360"/>
      </w:pPr>
    </w:lvl>
    <w:lvl w:ilvl="7" w:tplc="04050019">
      <w:start w:val="1"/>
      <w:numFmt w:val="lowerLetter"/>
      <w:lvlText w:val="%8."/>
      <w:lvlJc w:val="left"/>
      <w:pPr>
        <w:ind w:left="5535" w:hanging="360"/>
      </w:pPr>
    </w:lvl>
    <w:lvl w:ilvl="8" w:tplc="0405001B">
      <w:start w:val="1"/>
      <w:numFmt w:val="lowerRoman"/>
      <w:lvlText w:val="%9."/>
      <w:lvlJc w:val="right"/>
      <w:pPr>
        <w:ind w:left="6255" w:hanging="180"/>
      </w:pPr>
    </w:lvl>
  </w:abstractNum>
  <w:abstractNum w:abstractNumId="15" w15:restartNumberingAfterBreak="0">
    <w:nsid w:val="44011D2C"/>
    <w:multiLevelType w:val="hybridMultilevel"/>
    <w:tmpl w:val="8A7679F8"/>
    <w:lvl w:ilvl="0" w:tplc="04050001">
      <w:start w:val="1"/>
      <w:numFmt w:val="bullet"/>
      <w:lvlText w:val=""/>
      <w:lvlJc w:val="left"/>
      <w:pPr>
        <w:ind w:left="496" w:hanging="360"/>
      </w:pPr>
      <w:rPr>
        <w:rFonts w:ascii="Symbol" w:hAnsi="Symbol" w:hint="default"/>
      </w:rPr>
    </w:lvl>
    <w:lvl w:ilvl="1" w:tplc="04050003" w:tentative="1">
      <w:start w:val="1"/>
      <w:numFmt w:val="bullet"/>
      <w:lvlText w:val="o"/>
      <w:lvlJc w:val="left"/>
      <w:pPr>
        <w:ind w:left="1216" w:hanging="360"/>
      </w:pPr>
      <w:rPr>
        <w:rFonts w:ascii="Courier New" w:hAnsi="Courier New" w:cs="Courier New" w:hint="default"/>
      </w:rPr>
    </w:lvl>
    <w:lvl w:ilvl="2" w:tplc="04050005" w:tentative="1">
      <w:start w:val="1"/>
      <w:numFmt w:val="bullet"/>
      <w:lvlText w:val=""/>
      <w:lvlJc w:val="left"/>
      <w:pPr>
        <w:ind w:left="1936" w:hanging="360"/>
      </w:pPr>
      <w:rPr>
        <w:rFonts w:ascii="Wingdings" w:hAnsi="Wingdings" w:hint="default"/>
      </w:rPr>
    </w:lvl>
    <w:lvl w:ilvl="3" w:tplc="04050001" w:tentative="1">
      <w:start w:val="1"/>
      <w:numFmt w:val="bullet"/>
      <w:lvlText w:val=""/>
      <w:lvlJc w:val="left"/>
      <w:pPr>
        <w:ind w:left="2656" w:hanging="360"/>
      </w:pPr>
      <w:rPr>
        <w:rFonts w:ascii="Symbol" w:hAnsi="Symbol" w:hint="default"/>
      </w:rPr>
    </w:lvl>
    <w:lvl w:ilvl="4" w:tplc="04050003" w:tentative="1">
      <w:start w:val="1"/>
      <w:numFmt w:val="bullet"/>
      <w:lvlText w:val="o"/>
      <w:lvlJc w:val="left"/>
      <w:pPr>
        <w:ind w:left="3376" w:hanging="360"/>
      </w:pPr>
      <w:rPr>
        <w:rFonts w:ascii="Courier New" w:hAnsi="Courier New" w:cs="Courier New" w:hint="default"/>
      </w:rPr>
    </w:lvl>
    <w:lvl w:ilvl="5" w:tplc="04050005" w:tentative="1">
      <w:start w:val="1"/>
      <w:numFmt w:val="bullet"/>
      <w:lvlText w:val=""/>
      <w:lvlJc w:val="left"/>
      <w:pPr>
        <w:ind w:left="4096" w:hanging="360"/>
      </w:pPr>
      <w:rPr>
        <w:rFonts w:ascii="Wingdings" w:hAnsi="Wingdings" w:hint="default"/>
      </w:rPr>
    </w:lvl>
    <w:lvl w:ilvl="6" w:tplc="04050001" w:tentative="1">
      <w:start w:val="1"/>
      <w:numFmt w:val="bullet"/>
      <w:lvlText w:val=""/>
      <w:lvlJc w:val="left"/>
      <w:pPr>
        <w:ind w:left="4816" w:hanging="360"/>
      </w:pPr>
      <w:rPr>
        <w:rFonts w:ascii="Symbol" w:hAnsi="Symbol" w:hint="default"/>
      </w:rPr>
    </w:lvl>
    <w:lvl w:ilvl="7" w:tplc="04050003" w:tentative="1">
      <w:start w:val="1"/>
      <w:numFmt w:val="bullet"/>
      <w:lvlText w:val="o"/>
      <w:lvlJc w:val="left"/>
      <w:pPr>
        <w:ind w:left="5536" w:hanging="360"/>
      </w:pPr>
      <w:rPr>
        <w:rFonts w:ascii="Courier New" w:hAnsi="Courier New" w:cs="Courier New" w:hint="default"/>
      </w:rPr>
    </w:lvl>
    <w:lvl w:ilvl="8" w:tplc="04050005" w:tentative="1">
      <w:start w:val="1"/>
      <w:numFmt w:val="bullet"/>
      <w:lvlText w:val=""/>
      <w:lvlJc w:val="left"/>
      <w:pPr>
        <w:ind w:left="6256" w:hanging="360"/>
      </w:pPr>
      <w:rPr>
        <w:rFonts w:ascii="Wingdings" w:hAnsi="Wingdings" w:hint="default"/>
      </w:rPr>
    </w:lvl>
  </w:abstractNum>
  <w:abstractNum w:abstractNumId="16" w15:restartNumberingAfterBreak="0">
    <w:nsid w:val="44982E4D"/>
    <w:multiLevelType w:val="hybridMultilevel"/>
    <w:tmpl w:val="AEAC763C"/>
    <w:lvl w:ilvl="0" w:tplc="04050001">
      <w:start w:val="1"/>
      <w:numFmt w:val="bullet"/>
      <w:lvlText w:val=""/>
      <w:lvlJc w:val="left"/>
      <w:pPr>
        <w:ind w:left="856" w:hanging="360"/>
      </w:pPr>
      <w:rPr>
        <w:rFonts w:ascii="Symbol" w:hAnsi="Symbol" w:hint="default"/>
      </w:rPr>
    </w:lvl>
    <w:lvl w:ilvl="1" w:tplc="04050003">
      <w:start w:val="1"/>
      <w:numFmt w:val="bullet"/>
      <w:lvlText w:val="o"/>
      <w:lvlJc w:val="left"/>
      <w:pPr>
        <w:ind w:left="1576" w:hanging="360"/>
      </w:pPr>
      <w:rPr>
        <w:rFonts w:ascii="Courier New" w:hAnsi="Courier New" w:cs="Courier New" w:hint="default"/>
      </w:rPr>
    </w:lvl>
    <w:lvl w:ilvl="2" w:tplc="72769F4C">
      <w:numFmt w:val="bullet"/>
      <w:lvlText w:val="-"/>
      <w:lvlJc w:val="left"/>
      <w:pPr>
        <w:ind w:left="2512" w:hanging="576"/>
      </w:pPr>
      <w:rPr>
        <w:rFonts w:ascii="Arial" w:eastAsiaTheme="minorHAnsi" w:hAnsi="Arial" w:cs="Arial" w:hint="default"/>
        <w:b/>
      </w:rPr>
    </w:lvl>
    <w:lvl w:ilvl="3" w:tplc="04050001" w:tentative="1">
      <w:start w:val="1"/>
      <w:numFmt w:val="bullet"/>
      <w:lvlText w:val=""/>
      <w:lvlJc w:val="left"/>
      <w:pPr>
        <w:ind w:left="3016" w:hanging="360"/>
      </w:pPr>
      <w:rPr>
        <w:rFonts w:ascii="Symbol" w:hAnsi="Symbol" w:hint="default"/>
      </w:rPr>
    </w:lvl>
    <w:lvl w:ilvl="4" w:tplc="04050003" w:tentative="1">
      <w:start w:val="1"/>
      <w:numFmt w:val="bullet"/>
      <w:lvlText w:val="o"/>
      <w:lvlJc w:val="left"/>
      <w:pPr>
        <w:ind w:left="3736" w:hanging="360"/>
      </w:pPr>
      <w:rPr>
        <w:rFonts w:ascii="Courier New" w:hAnsi="Courier New" w:cs="Courier New" w:hint="default"/>
      </w:rPr>
    </w:lvl>
    <w:lvl w:ilvl="5" w:tplc="04050005" w:tentative="1">
      <w:start w:val="1"/>
      <w:numFmt w:val="bullet"/>
      <w:lvlText w:val=""/>
      <w:lvlJc w:val="left"/>
      <w:pPr>
        <w:ind w:left="4456" w:hanging="360"/>
      </w:pPr>
      <w:rPr>
        <w:rFonts w:ascii="Wingdings" w:hAnsi="Wingdings" w:hint="default"/>
      </w:rPr>
    </w:lvl>
    <w:lvl w:ilvl="6" w:tplc="04050001" w:tentative="1">
      <w:start w:val="1"/>
      <w:numFmt w:val="bullet"/>
      <w:lvlText w:val=""/>
      <w:lvlJc w:val="left"/>
      <w:pPr>
        <w:ind w:left="5176" w:hanging="360"/>
      </w:pPr>
      <w:rPr>
        <w:rFonts w:ascii="Symbol" w:hAnsi="Symbol" w:hint="default"/>
      </w:rPr>
    </w:lvl>
    <w:lvl w:ilvl="7" w:tplc="04050003" w:tentative="1">
      <w:start w:val="1"/>
      <w:numFmt w:val="bullet"/>
      <w:lvlText w:val="o"/>
      <w:lvlJc w:val="left"/>
      <w:pPr>
        <w:ind w:left="5896" w:hanging="360"/>
      </w:pPr>
      <w:rPr>
        <w:rFonts w:ascii="Courier New" w:hAnsi="Courier New" w:cs="Courier New" w:hint="default"/>
      </w:rPr>
    </w:lvl>
    <w:lvl w:ilvl="8" w:tplc="04050005" w:tentative="1">
      <w:start w:val="1"/>
      <w:numFmt w:val="bullet"/>
      <w:lvlText w:val=""/>
      <w:lvlJc w:val="left"/>
      <w:pPr>
        <w:ind w:left="6616" w:hanging="360"/>
      </w:pPr>
      <w:rPr>
        <w:rFonts w:ascii="Wingdings" w:hAnsi="Wingdings" w:hint="default"/>
      </w:rPr>
    </w:lvl>
  </w:abstractNum>
  <w:abstractNum w:abstractNumId="17" w15:restartNumberingAfterBreak="0">
    <w:nsid w:val="4B1D4D56"/>
    <w:multiLevelType w:val="multilevel"/>
    <w:tmpl w:val="DB865014"/>
    <w:lvl w:ilvl="0">
      <w:start w:val="1"/>
      <w:numFmt w:val="upperLetter"/>
      <w:pStyle w:val="Plohy"/>
      <w:lvlText w:val="Příloha %1"/>
      <w:lvlJc w:val="left"/>
      <w:pPr>
        <w:tabs>
          <w:tab w:val="num" w:pos="284"/>
        </w:tabs>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FDF6ACC"/>
    <w:multiLevelType w:val="hybridMultilevel"/>
    <w:tmpl w:val="AD3A13D2"/>
    <w:lvl w:ilvl="0" w:tplc="04050001">
      <w:start w:val="1"/>
      <w:numFmt w:val="bullet"/>
      <w:lvlText w:val=""/>
      <w:lvlJc w:val="left"/>
      <w:pPr>
        <w:ind w:left="496" w:hanging="360"/>
      </w:pPr>
      <w:rPr>
        <w:rFonts w:ascii="Symbol" w:hAnsi="Symbol" w:hint="default"/>
      </w:rPr>
    </w:lvl>
    <w:lvl w:ilvl="1" w:tplc="04050003" w:tentative="1">
      <w:start w:val="1"/>
      <w:numFmt w:val="bullet"/>
      <w:lvlText w:val="o"/>
      <w:lvlJc w:val="left"/>
      <w:pPr>
        <w:ind w:left="1216" w:hanging="360"/>
      </w:pPr>
      <w:rPr>
        <w:rFonts w:ascii="Courier New" w:hAnsi="Courier New" w:cs="Courier New" w:hint="default"/>
      </w:rPr>
    </w:lvl>
    <w:lvl w:ilvl="2" w:tplc="04050005" w:tentative="1">
      <w:start w:val="1"/>
      <w:numFmt w:val="bullet"/>
      <w:lvlText w:val=""/>
      <w:lvlJc w:val="left"/>
      <w:pPr>
        <w:ind w:left="1936" w:hanging="360"/>
      </w:pPr>
      <w:rPr>
        <w:rFonts w:ascii="Wingdings" w:hAnsi="Wingdings" w:hint="default"/>
      </w:rPr>
    </w:lvl>
    <w:lvl w:ilvl="3" w:tplc="04050001" w:tentative="1">
      <w:start w:val="1"/>
      <w:numFmt w:val="bullet"/>
      <w:lvlText w:val=""/>
      <w:lvlJc w:val="left"/>
      <w:pPr>
        <w:ind w:left="2656" w:hanging="360"/>
      </w:pPr>
      <w:rPr>
        <w:rFonts w:ascii="Symbol" w:hAnsi="Symbol" w:hint="default"/>
      </w:rPr>
    </w:lvl>
    <w:lvl w:ilvl="4" w:tplc="04050003" w:tentative="1">
      <w:start w:val="1"/>
      <w:numFmt w:val="bullet"/>
      <w:lvlText w:val="o"/>
      <w:lvlJc w:val="left"/>
      <w:pPr>
        <w:ind w:left="3376" w:hanging="360"/>
      </w:pPr>
      <w:rPr>
        <w:rFonts w:ascii="Courier New" w:hAnsi="Courier New" w:cs="Courier New" w:hint="default"/>
      </w:rPr>
    </w:lvl>
    <w:lvl w:ilvl="5" w:tplc="04050005" w:tentative="1">
      <w:start w:val="1"/>
      <w:numFmt w:val="bullet"/>
      <w:lvlText w:val=""/>
      <w:lvlJc w:val="left"/>
      <w:pPr>
        <w:ind w:left="4096" w:hanging="360"/>
      </w:pPr>
      <w:rPr>
        <w:rFonts w:ascii="Wingdings" w:hAnsi="Wingdings" w:hint="default"/>
      </w:rPr>
    </w:lvl>
    <w:lvl w:ilvl="6" w:tplc="04050001" w:tentative="1">
      <w:start w:val="1"/>
      <w:numFmt w:val="bullet"/>
      <w:lvlText w:val=""/>
      <w:lvlJc w:val="left"/>
      <w:pPr>
        <w:ind w:left="4816" w:hanging="360"/>
      </w:pPr>
      <w:rPr>
        <w:rFonts w:ascii="Symbol" w:hAnsi="Symbol" w:hint="default"/>
      </w:rPr>
    </w:lvl>
    <w:lvl w:ilvl="7" w:tplc="04050003" w:tentative="1">
      <w:start w:val="1"/>
      <w:numFmt w:val="bullet"/>
      <w:lvlText w:val="o"/>
      <w:lvlJc w:val="left"/>
      <w:pPr>
        <w:ind w:left="5536" w:hanging="360"/>
      </w:pPr>
      <w:rPr>
        <w:rFonts w:ascii="Courier New" w:hAnsi="Courier New" w:cs="Courier New" w:hint="default"/>
      </w:rPr>
    </w:lvl>
    <w:lvl w:ilvl="8" w:tplc="04050005" w:tentative="1">
      <w:start w:val="1"/>
      <w:numFmt w:val="bullet"/>
      <w:lvlText w:val=""/>
      <w:lvlJc w:val="left"/>
      <w:pPr>
        <w:ind w:left="6256" w:hanging="360"/>
      </w:pPr>
      <w:rPr>
        <w:rFonts w:ascii="Wingdings" w:hAnsi="Wingdings" w:hint="default"/>
      </w:rPr>
    </w:lvl>
  </w:abstractNum>
  <w:abstractNum w:abstractNumId="19" w15:restartNumberingAfterBreak="0">
    <w:nsid w:val="54626EEC"/>
    <w:multiLevelType w:val="multilevel"/>
    <w:tmpl w:val="33A0DCFC"/>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1191"/>
        </w:tabs>
        <w:ind w:left="1191" w:hanging="397"/>
      </w:pPr>
      <w:rPr>
        <w:rFonts w:hint="default"/>
      </w:rPr>
    </w:lvl>
    <w:lvl w:ilvl="3">
      <w:start w:val="1"/>
      <w:numFmt w:val="decimal"/>
      <w:lvlText w:val="%4."/>
      <w:lvlJc w:val="left"/>
      <w:pPr>
        <w:tabs>
          <w:tab w:val="num" w:pos="1588"/>
        </w:tabs>
        <w:ind w:left="1588" w:hanging="397"/>
      </w:pPr>
      <w:rPr>
        <w:rFonts w:hint="default"/>
      </w:rPr>
    </w:lvl>
    <w:lvl w:ilvl="4">
      <w:start w:val="1"/>
      <w:numFmt w:val="lowerLetter"/>
      <w:lvlText w:val="%5."/>
      <w:lvlJc w:val="left"/>
      <w:pPr>
        <w:tabs>
          <w:tab w:val="num" w:pos="1985"/>
        </w:tabs>
        <w:ind w:left="1985" w:hanging="39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825543C"/>
    <w:multiLevelType w:val="hybridMultilevel"/>
    <w:tmpl w:val="F66659B8"/>
    <w:lvl w:ilvl="0" w:tplc="04050001">
      <w:start w:val="1"/>
      <w:numFmt w:val="bullet"/>
      <w:lvlText w:val=""/>
      <w:lvlJc w:val="left"/>
      <w:pPr>
        <w:ind w:left="496" w:hanging="360"/>
      </w:pPr>
      <w:rPr>
        <w:rFonts w:ascii="Symbol" w:hAnsi="Symbol" w:hint="default"/>
      </w:rPr>
    </w:lvl>
    <w:lvl w:ilvl="1" w:tplc="04050003" w:tentative="1">
      <w:start w:val="1"/>
      <w:numFmt w:val="bullet"/>
      <w:lvlText w:val="o"/>
      <w:lvlJc w:val="left"/>
      <w:pPr>
        <w:ind w:left="1216" w:hanging="360"/>
      </w:pPr>
      <w:rPr>
        <w:rFonts w:ascii="Courier New" w:hAnsi="Courier New" w:cs="Courier New" w:hint="default"/>
      </w:rPr>
    </w:lvl>
    <w:lvl w:ilvl="2" w:tplc="04050005" w:tentative="1">
      <w:start w:val="1"/>
      <w:numFmt w:val="bullet"/>
      <w:lvlText w:val=""/>
      <w:lvlJc w:val="left"/>
      <w:pPr>
        <w:ind w:left="1936" w:hanging="360"/>
      </w:pPr>
      <w:rPr>
        <w:rFonts w:ascii="Wingdings" w:hAnsi="Wingdings" w:hint="default"/>
      </w:rPr>
    </w:lvl>
    <w:lvl w:ilvl="3" w:tplc="04050001" w:tentative="1">
      <w:start w:val="1"/>
      <w:numFmt w:val="bullet"/>
      <w:lvlText w:val=""/>
      <w:lvlJc w:val="left"/>
      <w:pPr>
        <w:ind w:left="2656" w:hanging="360"/>
      </w:pPr>
      <w:rPr>
        <w:rFonts w:ascii="Symbol" w:hAnsi="Symbol" w:hint="default"/>
      </w:rPr>
    </w:lvl>
    <w:lvl w:ilvl="4" w:tplc="04050003" w:tentative="1">
      <w:start w:val="1"/>
      <w:numFmt w:val="bullet"/>
      <w:lvlText w:val="o"/>
      <w:lvlJc w:val="left"/>
      <w:pPr>
        <w:ind w:left="3376" w:hanging="360"/>
      </w:pPr>
      <w:rPr>
        <w:rFonts w:ascii="Courier New" w:hAnsi="Courier New" w:cs="Courier New" w:hint="default"/>
      </w:rPr>
    </w:lvl>
    <w:lvl w:ilvl="5" w:tplc="04050005" w:tentative="1">
      <w:start w:val="1"/>
      <w:numFmt w:val="bullet"/>
      <w:lvlText w:val=""/>
      <w:lvlJc w:val="left"/>
      <w:pPr>
        <w:ind w:left="4096" w:hanging="360"/>
      </w:pPr>
      <w:rPr>
        <w:rFonts w:ascii="Wingdings" w:hAnsi="Wingdings" w:hint="default"/>
      </w:rPr>
    </w:lvl>
    <w:lvl w:ilvl="6" w:tplc="04050001" w:tentative="1">
      <w:start w:val="1"/>
      <w:numFmt w:val="bullet"/>
      <w:lvlText w:val=""/>
      <w:lvlJc w:val="left"/>
      <w:pPr>
        <w:ind w:left="4816" w:hanging="360"/>
      </w:pPr>
      <w:rPr>
        <w:rFonts w:ascii="Symbol" w:hAnsi="Symbol" w:hint="default"/>
      </w:rPr>
    </w:lvl>
    <w:lvl w:ilvl="7" w:tplc="04050003" w:tentative="1">
      <w:start w:val="1"/>
      <w:numFmt w:val="bullet"/>
      <w:lvlText w:val="o"/>
      <w:lvlJc w:val="left"/>
      <w:pPr>
        <w:ind w:left="5536" w:hanging="360"/>
      </w:pPr>
      <w:rPr>
        <w:rFonts w:ascii="Courier New" w:hAnsi="Courier New" w:cs="Courier New" w:hint="default"/>
      </w:rPr>
    </w:lvl>
    <w:lvl w:ilvl="8" w:tplc="04050005" w:tentative="1">
      <w:start w:val="1"/>
      <w:numFmt w:val="bullet"/>
      <w:lvlText w:val=""/>
      <w:lvlJc w:val="left"/>
      <w:pPr>
        <w:ind w:left="6256" w:hanging="360"/>
      </w:pPr>
      <w:rPr>
        <w:rFonts w:ascii="Wingdings" w:hAnsi="Wingdings" w:hint="default"/>
      </w:rPr>
    </w:lvl>
  </w:abstractNum>
  <w:abstractNum w:abstractNumId="21" w15:restartNumberingAfterBreak="0">
    <w:nsid w:val="5C1A1594"/>
    <w:multiLevelType w:val="hybridMultilevel"/>
    <w:tmpl w:val="072A2BE0"/>
    <w:lvl w:ilvl="0" w:tplc="04050001">
      <w:start w:val="1"/>
      <w:numFmt w:val="bullet"/>
      <w:lvlText w:val=""/>
      <w:lvlJc w:val="left"/>
      <w:pPr>
        <w:ind w:left="496" w:hanging="360"/>
      </w:pPr>
      <w:rPr>
        <w:rFonts w:ascii="Symbol" w:hAnsi="Symbol" w:hint="default"/>
      </w:rPr>
    </w:lvl>
    <w:lvl w:ilvl="1" w:tplc="04050003" w:tentative="1">
      <w:start w:val="1"/>
      <w:numFmt w:val="bullet"/>
      <w:lvlText w:val="o"/>
      <w:lvlJc w:val="left"/>
      <w:pPr>
        <w:ind w:left="1216" w:hanging="360"/>
      </w:pPr>
      <w:rPr>
        <w:rFonts w:ascii="Courier New" w:hAnsi="Courier New" w:cs="Courier New" w:hint="default"/>
      </w:rPr>
    </w:lvl>
    <w:lvl w:ilvl="2" w:tplc="04050005" w:tentative="1">
      <w:start w:val="1"/>
      <w:numFmt w:val="bullet"/>
      <w:lvlText w:val=""/>
      <w:lvlJc w:val="left"/>
      <w:pPr>
        <w:ind w:left="1936" w:hanging="360"/>
      </w:pPr>
      <w:rPr>
        <w:rFonts w:ascii="Wingdings" w:hAnsi="Wingdings" w:hint="default"/>
      </w:rPr>
    </w:lvl>
    <w:lvl w:ilvl="3" w:tplc="04050001" w:tentative="1">
      <w:start w:val="1"/>
      <w:numFmt w:val="bullet"/>
      <w:lvlText w:val=""/>
      <w:lvlJc w:val="left"/>
      <w:pPr>
        <w:ind w:left="2656" w:hanging="360"/>
      </w:pPr>
      <w:rPr>
        <w:rFonts w:ascii="Symbol" w:hAnsi="Symbol" w:hint="default"/>
      </w:rPr>
    </w:lvl>
    <w:lvl w:ilvl="4" w:tplc="04050003" w:tentative="1">
      <w:start w:val="1"/>
      <w:numFmt w:val="bullet"/>
      <w:lvlText w:val="o"/>
      <w:lvlJc w:val="left"/>
      <w:pPr>
        <w:ind w:left="3376" w:hanging="360"/>
      </w:pPr>
      <w:rPr>
        <w:rFonts w:ascii="Courier New" w:hAnsi="Courier New" w:cs="Courier New" w:hint="default"/>
      </w:rPr>
    </w:lvl>
    <w:lvl w:ilvl="5" w:tplc="04050005" w:tentative="1">
      <w:start w:val="1"/>
      <w:numFmt w:val="bullet"/>
      <w:lvlText w:val=""/>
      <w:lvlJc w:val="left"/>
      <w:pPr>
        <w:ind w:left="4096" w:hanging="360"/>
      </w:pPr>
      <w:rPr>
        <w:rFonts w:ascii="Wingdings" w:hAnsi="Wingdings" w:hint="default"/>
      </w:rPr>
    </w:lvl>
    <w:lvl w:ilvl="6" w:tplc="04050001" w:tentative="1">
      <w:start w:val="1"/>
      <w:numFmt w:val="bullet"/>
      <w:lvlText w:val=""/>
      <w:lvlJc w:val="left"/>
      <w:pPr>
        <w:ind w:left="4816" w:hanging="360"/>
      </w:pPr>
      <w:rPr>
        <w:rFonts w:ascii="Symbol" w:hAnsi="Symbol" w:hint="default"/>
      </w:rPr>
    </w:lvl>
    <w:lvl w:ilvl="7" w:tplc="04050003" w:tentative="1">
      <w:start w:val="1"/>
      <w:numFmt w:val="bullet"/>
      <w:lvlText w:val="o"/>
      <w:lvlJc w:val="left"/>
      <w:pPr>
        <w:ind w:left="5536" w:hanging="360"/>
      </w:pPr>
      <w:rPr>
        <w:rFonts w:ascii="Courier New" w:hAnsi="Courier New" w:cs="Courier New" w:hint="default"/>
      </w:rPr>
    </w:lvl>
    <w:lvl w:ilvl="8" w:tplc="04050005" w:tentative="1">
      <w:start w:val="1"/>
      <w:numFmt w:val="bullet"/>
      <w:lvlText w:val=""/>
      <w:lvlJc w:val="left"/>
      <w:pPr>
        <w:ind w:left="6256" w:hanging="360"/>
      </w:pPr>
      <w:rPr>
        <w:rFonts w:ascii="Wingdings" w:hAnsi="Wingdings" w:hint="default"/>
      </w:rPr>
    </w:lvl>
  </w:abstractNum>
  <w:abstractNum w:abstractNumId="22" w15:restartNumberingAfterBreak="0">
    <w:nsid w:val="5FB44EE3"/>
    <w:multiLevelType w:val="hybridMultilevel"/>
    <w:tmpl w:val="304425A8"/>
    <w:lvl w:ilvl="0" w:tplc="04050001">
      <w:start w:val="1"/>
      <w:numFmt w:val="bullet"/>
      <w:lvlText w:val=""/>
      <w:lvlJc w:val="left"/>
      <w:pPr>
        <w:ind w:left="910" w:hanging="360"/>
      </w:pPr>
      <w:rPr>
        <w:rFonts w:ascii="Symbol" w:hAnsi="Symbol" w:hint="default"/>
      </w:rPr>
    </w:lvl>
    <w:lvl w:ilvl="1" w:tplc="04050003" w:tentative="1">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23" w15:restartNumberingAfterBreak="0">
    <w:nsid w:val="64295657"/>
    <w:multiLevelType w:val="hybridMultilevel"/>
    <w:tmpl w:val="F94EADF8"/>
    <w:lvl w:ilvl="0" w:tplc="04050001">
      <w:start w:val="1"/>
      <w:numFmt w:val="bullet"/>
      <w:lvlText w:val=""/>
      <w:lvlJc w:val="left"/>
      <w:pPr>
        <w:ind w:left="495" w:hanging="360"/>
      </w:pPr>
      <w:rPr>
        <w:rFonts w:ascii="Symbol" w:hAnsi="Symbol" w:hint="default"/>
      </w:rPr>
    </w:lvl>
    <w:lvl w:ilvl="1" w:tplc="04050003">
      <w:start w:val="1"/>
      <w:numFmt w:val="bullet"/>
      <w:lvlText w:val="o"/>
      <w:lvlJc w:val="left"/>
      <w:pPr>
        <w:ind w:left="1215" w:hanging="360"/>
      </w:pPr>
      <w:rPr>
        <w:rFonts w:ascii="Courier New" w:hAnsi="Courier New" w:cs="Courier New" w:hint="default"/>
      </w:rPr>
    </w:lvl>
    <w:lvl w:ilvl="2" w:tplc="04050005">
      <w:start w:val="1"/>
      <w:numFmt w:val="bullet"/>
      <w:lvlText w:val=""/>
      <w:lvlJc w:val="left"/>
      <w:pPr>
        <w:ind w:left="1935" w:hanging="360"/>
      </w:pPr>
      <w:rPr>
        <w:rFonts w:ascii="Wingdings" w:hAnsi="Wingdings" w:hint="default"/>
      </w:rPr>
    </w:lvl>
    <w:lvl w:ilvl="3" w:tplc="04050001" w:tentative="1">
      <w:start w:val="1"/>
      <w:numFmt w:val="bullet"/>
      <w:lvlText w:val=""/>
      <w:lvlJc w:val="left"/>
      <w:pPr>
        <w:ind w:left="2655" w:hanging="360"/>
      </w:pPr>
      <w:rPr>
        <w:rFonts w:ascii="Symbol" w:hAnsi="Symbol" w:hint="default"/>
      </w:rPr>
    </w:lvl>
    <w:lvl w:ilvl="4" w:tplc="04050003" w:tentative="1">
      <w:start w:val="1"/>
      <w:numFmt w:val="bullet"/>
      <w:lvlText w:val="o"/>
      <w:lvlJc w:val="left"/>
      <w:pPr>
        <w:ind w:left="3375" w:hanging="360"/>
      </w:pPr>
      <w:rPr>
        <w:rFonts w:ascii="Courier New" w:hAnsi="Courier New" w:cs="Courier New" w:hint="default"/>
      </w:rPr>
    </w:lvl>
    <w:lvl w:ilvl="5" w:tplc="04050005" w:tentative="1">
      <w:start w:val="1"/>
      <w:numFmt w:val="bullet"/>
      <w:lvlText w:val=""/>
      <w:lvlJc w:val="left"/>
      <w:pPr>
        <w:ind w:left="4095" w:hanging="360"/>
      </w:pPr>
      <w:rPr>
        <w:rFonts w:ascii="Wingdings" w:hAnsi="Wingdings" w:hint="default"/>
      </w:rPr>
    </w:lvl>
    <w:lvl w:ilvl="6" w:tplc="04050001" w:tentative="1">
      <w:start w:val="1"/>
      <w:numFmt w:val="bullet"/>
      <w:lvlText w:val=""/>
      <w:lvlJc w:val="left"/>
      <w:pPr>
        <w:ind w:left="4815" w:hanging="360"/>
      </w:pPr>
      <w:rPr>
        <w:rFonts w:ascii="Symbol" w:hAnsi="Symbol" w:hint="default"/>
      </w:rPr>
    </w:lvl>
    <w:lvl w:ilvl="7" w:tplc="04050003" w:tentative="1">
      <w:start w:val="1"/>
      <w:numFmt w:val="bullet"/>
      <w:lvlText w:val="o"/>
      <w:lvlJc w:val="left"/>
      <w:pPr>
        <w:ind w:left="5535" w:hanging="360"/>
      </w:pPr>
      <w:rPr>
        <w:rFonts w:ascii="Courier New" w:hAnsi="Courier New" w:cs="Courier New" w:hint="default"/>
      </w:rPr>
    </w:lvl>
    <w:lvl w:ilvl="8" w:tplc="04050005" w:tentative="1">
      <w:start w:val="1"/>
      <w:numFmt w:val="bullet"/>
      <w:lvlText w:val=""/>
      <w:lvlJc w:val="left"/>
      <w:pPr>
        <w:ind w:left="6255" w:hanging="360"/>
      </w:pPr>
      <w:rPr>
        <w:rFonts w:ascii="Wingdings" w:hAnsi="Wingdings" w:hint="default"/>
      </w:rPr>
    </w:lvl>
  </w:abstractNum>
  <w:abstractNum w:abstractNumId="24" w15:restartNumberingAfterBreak="0">
    <w:nsid w:val="776D5A7C"/>
    <w:multiLevelType w:val="hybridMultilevel"/>
    <w:tmpl w:val="21D40752"/>
    <w:lvl w:ilvl="0" w:tplc="92B6D086">
      <w:start w:val="1"/>
      <w:numFmt w:val="decimal"/>
      <w:lvlText w:val="%1."/>
      <w:lvlJc w:val="left"/>
      <w:pPr>
        <w:tabs>
          <w:tab w:val="num" w:pos="454"/>
        </w:tabs>
        <w:ind w:left="454" w:hanging="397"/>
      </w:pPr>
      <w:rPr>
        <w:rFonts w:hint="default"/>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25" w15:restartNumberingAfterBreak="0">
    <w:nsid w:val="78F63EAB"/>
    <w:multiLevelType w:val="hybridMultilevel"/>
    <w:tmpl w:val="F960836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17"/>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 w:ilvl="0">
        <w:start w:val="1"/>
        <w:numFmt w:val="bullet"/>
        <w:pStyle w:val="Odrky1"/>
        <w:lvlText w:val=""/>
        <w:lvlJc w:val="left"/>
        <w:pPr>
          <w:tabs>
            <w:tab w:val="num" w:pos="284"/>
          </w:tabs>
          <w:ind w:left="284" w:hanging="284"/>
        </w:pPr>
        <w:rPr>
          <w:rFonts w:ascii="Wingdings" w:hAnsi="Wingdings" w:hint="default"/>
          <w:color w:val="505050" w:themeColor="accent1"/>
          <w:sz w:val="22"/>
        </w:rPr>
      </w:lvl>
    </w:lvlOverride>
    <w:lvlOverride w:ilvl="1">
      <w:lvl w:ilvl="1">
        <w:start w:val="1"/>
        <w:numFmt w:val="bullet"/>
        <w:pStyle w:val="Odrky2"/>
        <w:lvlText w:val=""/>
        <w:lvlJc w:val="left"/>
        <w:pPr>
          <w:tabs>
            <w:tab w:val="num" w:pos="567"/>
          </w:tabs>
          <w:ind w:left="567" w:hanging="283"/>
        </w:pPr>
        <w:rPr>
          <w:rFonts w:ascii="Symbol" w:hAnsi="Symbol" w:hint="default"/>
          <w:color w:val="505050" w:themeColor="accent1"/>
        </w:rPr>
      </w:lvl>
    </w:lvlOverride>
    <w:lvlOverride w:ilvl="2">
      <w:lvl w:ilvl="2">
        <w:start w:val="1"/>
        <w:numFmt w:val="bullet"/>
        <w:pStyle w:val="Odrky3"/>
        <w:lvlText w:val=""/>
        <w:lvlJc w:val="left"/>
        <w:pPr>
          <w:tabs>
            <w:tab w:val="num" w:pos="851"/>
          </w:tabs>
          <w:ind w:left="851" w:hanging="284"/>
        </w:pPr>
        <w:rPr>
          <w:rFonts w:ascii="Wingdings 2" w:hAnsi="Wingdings 2" w:hint="default"/>
          <w:color w:val="505050" w:themeColor="accent1"/>
        </w:rPr>
      </w:lvl>
    </w:lvlOverride>
    <w:lvlOverride w:ilvl="3">
      <w:lvl w:ilvl="3">
        <w:start w:val="1"/>
        <w:numFmt w:val="bullet"/>
        <w:pStyle w:val="Odrky4"/>
        <w:lvlText w:val=""/>
        <w:lvlJc w:val="left"/>
        <w:pPr>
          <w:ind w:left="2880" w:hanging="360"/>
        </w:pPr>
        <w:rPr>
          <w:rFonts w:ascii="Symbol" w:hAnsi="Symbol" w:hint="default"/>
        </w:rPr>
      </w:lvl>
    </w:lvlOverride>
    <w:lvlOverride w:ilvl="4">
      <w:lvl w:ilvl="4">
        <w:start w:val="1"/>
        <w:numFmt w:val="bullet"/>
        <w:pStyle w:val="Odrky5"/>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9">
    <w:abstractNumId w:val="13"/>
  </w:num>
  <w:num w:numId="10">
    <w:abstractNumId w:val="7"/>
  </w:num>
  <w:num w:numId="11">
    <w:abstractNumId w:val="7"/>
    <w:lvlOverride w:ilvl="0">
      <w:lvl w:ilvl="0">
        <w:start w:val="1"/>
        <w:numFmt w:val="decimal"/>
        <w:lvlText w:val="%1."/>
        <w:lvlJc w:val="left"/>
        <w:pPr>
          <w:tabs>
            <w:tab w:val="num" w:pos="397"/>
          </w:tabs>
          <w:ind w:left="397" w:hanging="397"/>
        </w:pPr>
        <w:rPr>
          <w:rFonts w:hint="default"/>
        </w:rPr>
      </w:lvl>
    </w:lvlOverride>
    <w:lvlOverride w:ilvl="1">
      <w:lvl w:ilvl="1">
        <w:start w:val="1"/>
        <w:numFmt w:val="lowerLetter"/>
        <w:lvlText w:val="%2)"/>
        <w:lvlJc w:val="left"/>
        <w:pPr>
          <w:tabs>
            <w:tab w:val="num" w:pos="794"/>
          </w:tabs>
          <w:ind w:left="794" w:hanging="397"/>
        </w:pPr>
        <w:rPr>
          <w:rFonts w:hint="default"/>
        </w:rPr>
      </w:lvl>
    </w:lvlOverride>
    <w:lvlOverride w:ilvl="2">
      <w:lvl w:ilvl="2">
        <w:start w:val="1"/>
        <w:numFmt w:val="lowerRoman"/>
        <w:lvlText w:val="%3)"/>
        <w:lvlJc w:val="left"/>
        <w:pPr>
          <w:tabs>
            <w:tab w:val="num" w:pos="1191"/>
          </w:tabs>
          <w:ind w:left="1191" w:hanging="397"/>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lvlOverride w:ilvl="0">
      <w:lvl w:ilvl="0">
        <w:start w:val="1"/>
        <w:numFmt w:val="decimal"/>
        <w:lvlText w:val="%1."/>
        <w:lvlJc w:val="left"/>
        <w:pPr>
          <w:tabs>
            <w:tab w:val="num" w:pos="397"/>
          </w:tabs>
          <w:ind w:left="397" w:hanging="397"/>
        </w:pPr>
        <w:rPr>
          <w:rFonts w:hint="default"/>
        </w:rPr>
      </w:lvl>
    </w:lvlOverride>
    <w:lvlOverride w:ilvl="1">
      <w:lvl w:ilvl="1">
        <w:start w:val="1"/>
        <w:numFmt w:val="lowerLetter"/>
        <w:lvlText w:val="%2)"/>
        <w:lvlJc w:val="left"/>
        <w:pPr>
          <w:tabs>
            <w:tab w:val="num" w:pos="794"/>
          </w:tabs>
          <w:ind w:left="794" w:hanging="397"/>
        </w:pPr>
        <w:rPr>
          <w:rFonts w:hint="default"/>
        </w:rPr>
      </w:lvl>
    </w:lvlOverride>
    <w:lvlOverride w:ilvl="2">
      <w:lvl w:ilvl="2">
        <w:start w:val="1"/>
        <w:numFmt w:val="lowerRoman"/>
        <w:lvlText w:val="%3)"/>
        <w:lvlJc w:val="left"/>
        <w:pPr>
          <w:tabs>
            <w:tab w:val="num" w:pos="1191"/>
          </w:tabs>
          <w:ind w:left="1191" w:hanging="397"/>
        </w:pPr>
        <w:rPr>
          <w:rFonts w:hint="default"/>
        </w:rPr>
      </w:lvl>
    </w:lvlOverride>
    <w:lvlOverride w:ilvl="3">
      <w:lvl w:ilvl="3">
        <w:start w:val="1"/>
        <w:numFmt w:val="decimal"/>
        <w:lvlText w:val="%4)"/>
        <w:lvlJc w:val="left"/>
        <w:pPr>
          <w:tabs>
            <w:tab w:val="num" w:pos="1588"/>
          </w:tabs>
          <w:ind w:left="1588" w:hanging="39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num>
  <w:num w:numId="14">
    <w:abstractNumId w:val="7"/>
    <w:lvlOverride w:ilvl="0">
      <w:lvl w:ilvl="0">
        <w:start w:val="1"/>
        <w:numFmt w:val="decimal"/>
        <w:lvlText w:val="%1."/>
        <w:lvlJc w:val="left"/>
        <w:pPr>
          <w:tabs>
            <w:tab w:val="num" w:pos="397"/>
          </w:tabs>
          <w:ind w:left="397" w:hanging="397"/>
        </w:pPr>
        <w:rPr>
          <w:rFonts w:hint="default"/>
        </w:rPr>
      </w:lvl>
    </w:lvlOverride>
    <w:lvlOverride w:ilvl="1">
      <w:lvl w:ilvl="1">
        <w:start w:val="1"/>
        <w:numFmt w:val="lowerLetter"/>
        <w:lvlText w:val="%2."/>
        <w:lvlJc w:val="left"/>
        <w:pPr>
          <w:tabs>
            <w:tab w:val="num" w:pos="794"/>
          </w:tabs>
          <w:ind w:left="794" w:hanging="397"/>
        </w:pPr>
        <w:rPr>
          <w:rFonts w:hint="default"/>
        </w:rPr>
      </w:lvl>
    </w:lvlOverride>
    <w:lvlOverride w:ilvl="2">
      <w:lvl w:ilvl="2">
        <w:start w:val="1"/>
        <w:numFmt w:val="lowerRoman"/>
        <w:lvlText w:val="%3."/>
        <w:lvlJc w:val="left"/>
        <w:pPr>
          <w:tabs>
            <w:tab w:val="num" w:pos="1191"/>
          </w:tabs>
          <w:ind w:left="1191" w:hanging="397"/>
        </w:pPr>
        <w:rPr>
          <w:rFonts w:hint="default"/>
        </w:rPr>
      </w:lvl>
    </w:lvlOverride>
    <w:lvlOverride w:ilvl="3">
      <w:lvl w:ilvl="3">
        <w:start w:val="1"/>
        <w:numFmt w:val="decimal"/>
        <w:lvlText w:val="%4)"/>
        <w:lvlJc w:val="left"/>
        <w:pPr>
          <w:tabs>
            <w:tab w:val="num" w:pos="1588"/>
          </w:tabs>
          <w:ind w:left="1588" w:hanging="397"/>
        </w:pPr>
        <w:rPr>
          <w:rFonts w:hint="default"/>
        </w:rPr>
      </w:lvl>
    </w:lvlOverride>
    <w:lvlOverride w:ilvl="4">
      <w:lvl w:ilvl="4">
        <w:start w:val="1"/>
        <w:numFmt w:val="lowerLetter"/>
        <w:lvlText w:val="%5)"/>
        <w:lvlJc w:val="left"/>
        <w:pPr>
          <w:tabs>
            <w:tab w:val="num" w:pos="1985"/>
          </w:tabs>
          <w:ind w:left="1985" w:hanging="39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2"/>
    <w:lvlOverride w:ilvl="0">
      <w:lvl w:ilvl="0">
        <w:start w:val="1"/>
        <w:numFmt w:val="bullet"/>
        <w:pStyle w:val="Odrky1"/>
        <w:lvlText w:val=""/>
        <w:lvlJc w:val="left"/>
        <w:pPr>
          <w:tabs>
            <w:tab w:val="num" w:pos="397"/>
          </w:tabs>
          <w:ind w:left="397" w:hanging="397"/>
        </w:pPr>
        <w:rPr>
          <w:rFonts w:ascii="Wingdings 2" w:hAnsi="Wingdings 2" w:hint="default"/>
          <w:color w:val="505050" w:themeColor="accent1"/>
          <w:sz w:val="22"/>
          <w:szCs w:val="22"/>
        </w:rPr>
      </w:lvl>
    </w:lvlOverride>
    <w:lvlOverride w:ilvl="1">
      <w:lvl w:ilvl="1">
        <w:start w:val="1"/>
        <w:numFmt w:val="bullet"/>
        <w:pStyle w:val="Odrky2"/>
        <w:lvlText w:val=""/>
        <w:lvlJc w:val="left"/>
        <w:pPr>
          <w:tabs>
            <w:tab w:val="num" w:pos="794"/>
          </w:tabs>
          <w:ind w:left="794" w:hanging="397"/>
        </w:pPr>
        <w:rPr>
          <w:rFonts w:ascii="Wingdings 2" w:hAnsi="Wingdings 2" w:hint="default"/>
          <w:color w:val="505050" w:themeColor="accent1"/>
          <w:sz w:val="22"/>
        </w:rPr>
      </w:lvl>
    </w:lvlOverride>
    <w:lvlOverride w:ilvl="2">
      <w:lvl w:ilvl="2">
        <w:start w:val="1"/>
        <w:numFmt w:val="bullet"/>
        <w:pStyle w:val="Odrky3"/>
        <w:lvlText w:val=""/>
        <w:lvlJc w:val="left"/>
        <w:pPr>
          <w:tabs>
            <w:tab w:val="num" w:pos="1191"/>
          </w:tabs>
          <w:ind w:left="1191" w:hanging="397"/>
        </w:pPr>
        <w:rPr>
          <w:rFonts w:ascii="Wingdings 2" w:hAnsi="Wingdings 2" w:hint="default"/>
          <w:color w:val="505050" w:themeColor="accent1"/>
        </w:rPr>
      </w:lvl>
    </w:lvlOverride>
    <w:lvlOverride w:ilvl="3">
      <w:lvl w:ilvl="3">
        <w:start w:val="1"/>
        <w:numFmt w:val="bullet"/>
        <w:pStyle w:val="Odrky4"/>
        <w:lvlText w:val=""/>
        <w:lvlJc w:val="left"/>
        <w:pPr>
          <w:tabs>
            <w:tab w:val="num" w:pos="1588"/>
          </w:tabs>
          <w:ind w:left="1588" w:hanging="397"/>
        </w:pPr>
        <w:rPr>
          <w:rFonts w:ascii="Wingdings 2" w:hAnsi="Wingdings 2" w:hint="default"/>
          <w:color w:val="505050" w:themeColor="accent1"/>
        </w:rPr>
      </w:lvl>
    </w:lvlOverride>
    <w:lvlOverride w:ilvl="4">
      <w:lvl w:ilvl="4">
        <w:start w:val="1"/>
        <w:numFmt w:val="bullet"/>
        <w:pStyle w:val="Odrky5"/>
        <w:lvlText w:val=""/>
        <w:lvlJc w:val="left"/>
        <w:pPr>
          <w:tabs>
            <w:tab w:val="num" w:pos="1985"/>
          </w:tabs>
          <w:ind w:left="1985" w:hanging="397"/>
        </w:pPr>
        <w:rPr>
          <w:rFonts w:ascii="Wingdings 2" w:hAnsi="Wingdings 2"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6">
    <w:abstractNumId w:val="19"/>
  </w:num>
  <w:num w:numId="17">
    <w:abstractNumId w:val="8"/>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5"/>
  </w:num>
  <w:num w:numId="22">
    <w:abstractNumId w:val="9"/>
  </w:num>
  <w:num w:numId="23">
    <w:abstractNumId w:val="16"/>
  </w:num>
  <w:num w:numId="24">
    <w:abstractNumId w:val="20"/>
  </w:num>
  <w:num w:numId="25">
    <w:abstractNumId w:val="3"/>
  </w:num>
  <w:num w:numId="26">
    <w:abstractNumId w:val="18"/>
  </w:num>
  <w:num w:numId="27">
    <w:abstractNumId w:val="15"/>
  </w:num>
  <w:num w:numId="28">
    <w:abstractNumId w:val="21"/>
  </w:num>
  <w:num w:numId="29">
    <w:abstractNumId w:val="23"/>
  </w:num>
  <w:num w:numId="30">
    <w:abstractNumId w:val="12"/>
  </w:num>
  <w:num w:numId="31">
    <w:abstractNumId w:val="1"/>
  </w:num>
  <w:num w:numId="32">
    <w:abstractNumId w:val="5"/>
  </w:num>
  <w:num w:numId="33">
    <w:abstractNumId w:val="10"/>
  </w:num>
  <w:num w:numId="34">
    <w:abstractNumId w:val="22"/>
  </w:num>
  <w:num w:numId="35">
    <w:abstractNumId w:val="6"/>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461"/>
    <w:rsid w:val="00002C80"/>
    <w:rsid w:val="00010CCD"/>
    <w:rsid w:val="0001149E"/>
    <w:rsid w:val="00011BC1"/>
    <w:rsid w:val="00012682"/>
    <w:rsid w:val="00013DB0"/>
    <w:rsid w:val="00013EE4"/>
    <w:rsid w:val="00015461"/>
    <w:rsid w:val="00017FE8"/>
    <w:rsid w:val="000217DF"/>
    <w:rsid w:val="0002322A"/>
    <w:rsid w:val="00025C78"/>
    <w:rsid w:val="00041E6D"/>
    <w:rsid w:val="00042ACF"/>
    <w:rsid w:val="00043098"/>
    <w:rsid w:val="0005109D"/>
    <w:rsid w:val="000532DA"/>
    <w:rsid w:val="00055362"/>
    <w:rsid w:val="00055D80"/>
    <w:rsid w:val="00056FF3"/>
    <w:rsid w:val="00057C9B"/>
    <w:rsid w:val="00062CCA"/>
    <w:rsid w:val="00065731"/>
    <w:rsid w:val="00066245"/>
    <w:rsid w:val="000672EA"/>
    <w:rsid w:val="00067F8E"/>
    <w:rsid w:val="0007068D"/>
    <w:rsid w:val="00073601"/>
    <w:rsid w:val="00075BFB"/>
    <w:rsid w:val="00084BF3"/>
    <w:rsid w:val="00084CE4"/>
    <w:rsid w:val="00086086"/>
    <w:rsid w:val="00091E09"/>
    <w:rsid w:val="0009548F"/>
    <w:rsid w:val="000A1FE3"/>
    <w:rsid w:val="000A2E53"/>
    <w:rsid w:val="000B25D8"/>
    <w:rsid w:val="000B58F5"/>
    <w:rsid w:val="000C6743"/>
    <w:rsid w:val="000D0DA0"/>
    <w:rsid w:val="000E0210"/>
    <w:rsid w:val="000E070F"/>
    <w:rsid w:val="000E11BF"/>
    <w:rsid w:val="000E7593"/>
    <w:rsid w:val="000F0056"/>
    <w:rsid w:val="000F5592"/>
    <w:rsid w:val="000F7853"/>
    <w:rsid w:val="00100651"/>
    <w:rsid w:val="00106D0D"/>
    <w:rsid w:val="0011065B"/>
    <w:rsid w:val="00111C57"/>
    <w:rsid w:val="00111F3D"/>
    <w:rsid w:val="0011585D"/>
    <w:rsid w:val="001163C8"/>
    <w:rsid w:val="0011753D"/>
    <w:rsid w:val="00121E84"/>
    <w:rsid w:val="00123289"/>
    <w:rsid w:val="00152FBA"/>
    <w:rsid w:val="001544BB"/>
    <w:rsid w:val="0015625D"/>
    <w:rsid w:val="0015776F"/>
    <w:rsid w:val="001608E0"/>
    <w:rsid w:val="001623AB"/>
    <w:rsid w:val="001641A3"/>
    <w:rsid w:val="001673AF"/>
    <w:rsid w:val="0016750B"/>
    <w:rsid w:val="001725AB"/>
    <w:rsid w:val="00177104"/>
    <w:rsid w:val="001776A7"/>
    <w:rsid w:val="001819EE"/>
    <w:rsid w:val="00184612"/>
    <w:rsid w:val="00184F3F"/>
    <w:rsid w:val="00185596"/>
    <w:rsid w:val="001870FB"/>
    <w:rsid w:val="00192921"/>
    <w:rsid w:val="001936D1"/>
    <w:rsid w:val="00194656"/>
    <w:rsid w:val="00195914"/>
    <w:rsid w:val="001A4739"/>
    <w:rsid w:val="001A568F"/>
    <w:rsid w:val="001B55D7"/>
    <w:rsid w:val="001B6C30"/>
    <w:rsid w:val="001B764E"/>
    <w:rsid w:val="001C00FB"/>
    <w:rsid w:val="001C08A2"/>
    <w:rsid w:val="001C116D"/>
    <w:rsid w:val="001C5D63"/>
    <w:rsid w:val="001C734E"/>
    <w:rsid w:val="001D1C8D"/>
    <w:rsid w:val="001D2148"/>
    <w:rsid w:val="001D3DFE"/>
    <w:rsid w:val="001D3EA2"/>
    <w:rsid w:val="001D5560"/>
    <w:rsid w:val="001E2E41"/>
    <w:rsid w:val="001E2F97"/>
    <w:rsid w:val="001F408D"/>
    <w:rsid w:val="002008DB"/>
    <w:rsid w:val="00202271"/>
    <w:rsid w:val="0020570D"/>
    <w:rsid w:val="00213216"/>
    <w:rsid w:val="0021360F"/>
    <w:rsid w:val="00216782"/>
    <w:rsid w:val="0021735F"/>
    <w:rsid w:val="00217E80"/>
    <w:rsid w:val="002319F2"/>
    <w:rsid w:val="00233C41"/>
    <w:rsid w:val="00235C67"/>
    <w:rsid w:val="002456A4"/>
    <w:rsid w:val="00245C85"/>
    <w:rsid w:val="00253E1A"/>
    <w:rsid w:val="00262FCE"/>
    <w:rsid w:val="00263E21"/>
    <w:rsid w:val="00265BDF"/>
    <w:rsid w:val="00266B7E"/>
    <w:rsid w:val="002671A0"/>
    <w:rsid w:val="002703A6"/>
    <w:rsid w:val="00271B56"/>
    <w:rsid w:val="00273B96"/>
    <w:rsid w:val="00275AB3"/>
    <w:rsid w:val="002824A8"/>
    <w:rsid w:val="00283A91"/>
    <w:rsid w:val="00284566"/>
    <w:rsid w:val="0028620C"/>
    <w:rsid w:val="002866E8"/>
    <w:rsid w:val="00286B78"/>
    <w:rsid w:val="00287562"/>
    <w:rsid w:val="00287DE2"/>
    <w:rsid w:val="002900AD"/>
    <w:rsid w:val="00291C69"/>
    <w:rsid w:val="002921D1"/>
    <w:rsid w:val="002A326C"/>
    <w:rsid w:val="002A4F6A"/>
    <w:rsid w:val="002B1FC8"/>
    <w:rsid w:val="002B3FC2"/>
    <w:rsid w:val="002B43D5"/>
    <w:rsid w:val="002B6E2F"/>
    <w:rsid w:val="002C0811"/>
    <w:rsid w:val="002C3D2C"/>
    <w:rsid w:val="002C4433"/>
    <w:rsid w:val="002C4D5F"/>
    <w:rsid w:val="002C722A"/>
    <w:rsid w:val="002D1787"/>
    <w:rsid w:val="002D1E7B"/>
    <w:rsid w:val="002D45BB"/>
    <w:rsid w:val="002D7766"/>
    <w:rsid w:val="002E251A"/>
    <w:rsid w:val="002E3DD6"/>
    <w:rsid w:val="00302400"/>
    <w:rsid w:val="003046B0"/>
    <w:rsid w:val="00304E57"/>
    <w:rsid w:val="00306C59"/>
    <w:rsid w:val="00310BD7"/>
    <w:rsid w:val="00313B7F"/>
    <w:rsid w:val="00320D02"/>
    <w:rsid w:val="00321EB6"/>
    <w:rsid w:val="00323B22"/>
    <w:rsid w:val="00323F2B"/>
    <w:rsid w:val="00324E67"/>
    <w:rsid w:val="00325B25"/>
    <w:rsid w:val="00326045"/>
    <w:rsid w:val="00327A89"/>
    <w:rsid w:val="00330790"/>
    <w:rsid w:val="00334D40"/>
    <w:rsid w:val="003353AE"/>
    <w:rsid w:val="00340489"/>
    <w:rsid w:val="0034069A"/>
    <w:rsid w:val="00342EB6"/>
    <w:rsid w:val="0035618B"/>
    <w:rsid w:val="00361FFC"/>
    <w:rsid w:val="003623D0"/>
    <w:rsid w:val="00363648"/>
    <w:rsid w:val="00372CC0"/>
    <w:rsid w:val="00373F94"/>
    <w:rsid w:val="00374545"/>
    <w:rsid w:val="00380078"/>
    <w:rsid w:val="003834BD"/>
    <w:rsid w:val="003835BA"/>
    <w:rsid w:val="003851E9"/>
    <w:rsid w:val="00386D5D"/>
    <w:rsid w:val="00393FC2"/>
    <w:rsid w:val="00394C90"/>
    <w:rsid w:val="00394E65"/>
    <w:rsid w:val="003975E3"/>
    <w:rsid w:val="003A5621"/>
    <w:rsid w:val="003A5981"/>
    <w:rsid w:val="003A7C65"/>
    <w:rsid w:val="003B1163"/>
    <w:rsid w:val="003B21C8"/>
    <w:rsid w:val="003B30CF"/>
    <w:rsid w:val="003B51A6"/>
    <w:rsid w:val="003B535C"/>
    <w:rsid w:val="003B54B1"/>
    <w:rsid w:val="003B6F5A"/>
    <w:rsid w:val="003B782F"/>
    <w:rsid w:val="003C2A14"/>
    <w:rsid w:val="003C33C3"/>
    <w:rsid w:val="003C3AD1"/>
    <w:rsid w:val="003C3D35"/>
    <w:rsid w:val="003C6673"/>
    <w:rsid w:val="003D3DF9"/>
    <w:rsid w:val="003D7D96"/>
    <w:rsid w:val="003E3018"/>
    <w:rsid w:val="003E5795"/>
    <w:rsid w:val="003E5B44"/>
    <w:rsid w:val="003E5B93"/>
    <w:rsid w:val="003F02C5"/>
    <w:rsid w:val="003F6152"/>
    <w:rsid w:val="00401AFE"/>
    <w:rsid w:val="00404285"/>
    <w:rsid w:val="00406152"/>
    <w:rsid w:val="00412AB7"/>
    <w:rsid w:val="004162EF"/>
    <w:rsid w:val="004178DE"/>
    <w:rsid w:val="004354DE"/>
    <w:rsid w:val="00435BE9"/>
    <w:rsid w:val="00440885"/>
    <w:rsid w:val="004415B1"/>
    <w:rsid w:val="0044506B"/>
    <w:rsid w:val="00445892"/>
    <w:rsid w:val="004461FB"/>
    <w:rsid w:val="0045118F"/>
    <w:rsid w:val="0045306E"/>
    <w:rsid w:val="004548E9"/>
    <w:rsid w:val="00455567"/>
    <w:rsid w:val="0045575E"/>
    <w:rsid w:val="00457044"/>
    <w:rsid w:val="004628A6"/>
    <w:rsid w:val="00471DEA"/>
    <w:rsid w:val="00473C5A"/>
    <w:rsid w:val="004777B7"/>
    <w:rsid w:val="00483DED"/>
    <w:rsid w:val="004852E6"/>
    <w:rsid w:val="00485CD8"/>
    <w:rsid w:val="00494211"/>
    <w:rsid w:val="00497ED7"/>
    <w:rsid w:val="004A29A6"/>
    <w:rsid w:val="004B7F1B"/>
    <w:rsid w:val="004C08FD"/>
    <w:rsid w:val="004C0FC1"/>
    <w:rsid w:val="004C3825"/>
    <w:rsid w:val="004C49E5"/>
    <w:rsid w:val="004C4E71"/>
    <w:rsid w:val="004C6737"/>
    <w:rsid w:val="004C721F"/>
    <w:rsid w:val="004D0D65"/>
    <w:rsid w:val="004D1122"/>
    <w:rsid w:val="004D3395"/>
    <w:rsid w:val="004D4EAF"/>
    <w:rsid w:val="004D73F0"/>
    <w:rsid w:val="004E02DE"/>
    <w:rsid w:val="004E440F"/>
    <w:rsid w:val="004E5D87"/>
    <w:rsid w:val="004F0B5C"/>
    <w:rsid w:val="0050196A"/>
    <w:rsid w:val="00502206"/>
    <w:rsid w:val="00502387"/>
    <w:rsid w:val="00502F24"/>
    <w:rsid w:val="00505B27"/>
    <w:rsid w:val="00505F94"/>
    <w:rsid w:val="00512C01"/>
    <w:rsid w:val="00513636"/>
    <w:rsid w:val="005155DF"/>
    <w:rsid w:val="00517735"/>
    <w:rsid w:val="005224D3"/>
    <w:rsid w:val="005233B7"/>
    <w:rsid w:val="00525AEF"/>
    <w:rsid w:val="00531460"/>
    <w:rsid w:val="00536184"/>
    <w:rsid w:val="00536191"/>
    <w:rsid w:val="00536CEE"/>
    <w:rsid w:val="005447F3"/>
    <w:rsid w:val="00550777"/>
    <w:rsid w:val="00550B56"/>
    <w:rsid w:val="00551AE6"/>
    <w:rsid w:val="0055203F"/>
    <w:rsid w:val="00553AD7"/>
    <w:rsid w:val="00556F01"/>
    <w:rsid w:val="0056386A"/>
    <w:rsid w:val="00566980"/>
    <w:rsid w:val="00566BB4"/>
    <w:rsid w:val="00567C05"/>
    <w:rsid w:val="005723A3"/>
    <w:rsid w:val="00573732"/>
    <w:rsid w:val="0058462D"/>
    <w:rsid w:val="0058493E"/>
    <w:rsid w:val="00585604"/>
    <w:rsid w:val="00585E84"/>
    <w:rsid w:val="005863FE"/>
    <w:rsid w:val="00586D26"/>
    <w:rsid w:val="0058734B"/>
    <w:rsid w:val="005970DF"/>
    <w:rsid w:val="00597E60"/>
    <w:rsid w:val="005A6ED5"/>
    <w:rsid w:val="005B0334"/>
    <w:rsid w:val="005B2178"/>
    <w:rsid w:val="005B5E04"/>
    <w:rsid w:val="005B66CA"/>
    <w:rsid w:val="005B7AFA"/>
    <w:rsid w:val="005C19CB"/>
    <w:rsid w:val="005C1FBA"/>
    <w:rsid w:val="005C28D2"/>
    <w:rsid w:val="005D3C8B"/>
    <w:rsid w:val="005D400F"/>
    <w:rsid w:val="005D600B"/>
    <w:rsid w:val="005D7987"/>
    <w:rsid w:val="005E72E4"/>
    <w:rsid w:val="005F229B"/>
    <w:rsid w:val="005F645F"/>
    <w:rsid w:val="005F7E0F"/>
    <w:rsid w:val="00605AF1"/>
    <w:rsid w:val="0060650E"/>
    <w:rsid w:val="00607833"/>
    <w:rsid w:val="0062246E"/>
    <w:rsid w:val="0062696A"/>
    <w:rsid w:val="00632077"/>
    <w:rsid w:val="00640D76"/>
    <w:rsid w:val="00641213"/>
    <w:rsid w:val="00647088"/>
    <w:rsid w:val="00651D16"/>
    <w:rsid w:val="00653116"/>
    <w:rsid w:val="00656607"/>
    <w:rsid w:val="00665AD8"/>
    <w:rsid w:val="00671782"/>
    <w:rsid w:val="006718E7"/>
    <w:rsid w:val="00671BCF"/>
    <w:rsid w:val="00680FF8"/>
    <w:rsid w:val="0068462F"/>
    <w:rsid w:val="00684FCE"/>
    <w:rsid w:val="00685750"/>
    <w:rsid w:val="00685787"/>
    <w:rsid w:val="006939CB"/>
    <w:rsid w:val="00694A19"/>
    <w:rsid w:val="006A363C"/>
    <w:rsid w:val="006B085B"/>
    <w:rsid w:val="006B3320"/>
    <w:rsid w:val="006B7AD7"/>
    <w:rsid w:val="006B7BBA"/>
    <w:rsid w:val="006C264D"/>
    <w:rsid w:val="006C2C24"/>
    <w:rsid w:val="006C7F90"/>
    <w:rsid w:val="006D008A"/>
    <w:rsid w:val="006D0528"/>
    <w:rsid w:val="006D0572"/>
    <w:rsid w:val="006D1456"/>
    <w:rsid w:val="006D2EC2"/>
    <w:rsid w:val="006D62E8"/>
    <w:rsid w:val="006D7FC5"/>
    <w:rsid w:val="006E1FB1"/>
    <w:rsid w:val="006F114E"/>
    <w:rsid w:val="006F1515"/>
    <w:rsid w:val="006F7E2F"/>
    <w:rsid w:val="007021C1"/>
    <w:rsid w:val="00702545"/>
    <w:rsid w:val="00703107"/>
    <w:rsid w:val="00706BD4"/>
    <w:rsid w:val="00707812"/>
    <w:rsid w:val="0071603B"/>
    <w:rsid w:val="0071660A"/>
    <w:rsid w:val="0072282A"/>
    <w:rsid w:val="007261A9"/>
    <w:rsid w:val="0072769B"/>
    <w:rsid w:val="00730AF0"/>
    <w:rsid w:val="00731BBC"/>
    <w:rsid w:val="00731E02"/>
    <w:rsid w:val="00732F94"/>
    <w:rsid w:val="00733763"/>
    <w:rsid w:val="00737635"/>
    <w:rsid w:val="00737B35"/>
    <w:rsid w:val="00744469"/>
    <w:rsid w:val="0074527D"/>
    <w:rsid w:val="0074689F"/>
    <w:rsid w:val="00747312"/>
    <w:rsid w:val="007566EB"/>
    <w:rsid w:val="00761726"/>
    <w:rsid w:val="0076379F"/>
    <w:rsid w:val="007721B7"/>
    <w:rsid w:val="00773D72"/>
    <w:rsid w:val="007824BC"/>
    <w:rsid w:val="00782D4C"/>
    <w:rsid w:val="00785489"/>
    <w:rsid w:val="0078642B"/>
    <w:rsid w:val="007964A4"/>
    <w:rsid w:val="00797E60"/>
    <w:rsid w:val="007A0075"/>
    <w:rsid w:val="007A0C0A"/>
    <w:rsid w:val="007A1148"/>
    <w:rsid w:val="007A38F6"/>
    <w:rsid w:val="007A51D7"/>
    <w:rsid w:val="007A6D0A"/>
    <w:rsid w:val="007B0D8E"/>
    <w:rsid w:val="007B1C3C"/>
    <w:rsid w:val="007C05C6"/>
    <w:rsid w:val="007D0935"/>
    <w:rsid w:val="007D0D10"/>
    <w:rsid w:val="007D2E93"/>
    <w:rsid w:val="007D706E"/>
    <w:rsid w:val="007E1794"/>
    <w:rsid w:val="007E732D"/>
    <w:rsid w:val="007E7D0F"/>
    <w:rsid w:val="007F070D"/>
    <w:rsid w:val="007F0CF0"/>
    <w:rsid w:val="007F2375"/>
    <w:rsid w:val="007F59A4"/>
    <w:rsid w:val="007F6686"/>
    <w:rsid w:val="00801FBA"/>
    <w:rsid w:val="00805351"/>
    <w:rsid w:val="008053D8"/>
    <w:rsid w:val="008119EA"/>
    <w:rsid w:val="00812170"/>
    <w:rsid w:val="00815340"/>
    <w:rsid w:val="00815F47"/>
    <w:rsid w:val="00822FB4"/>
    <w:rsid w:val="00824E14"/>
    <w:rsid w:val="008255F6"/>
    <w:rsid w:val="00830A79"/>
    <w:rsid w:val="00830BEF"/>
    <w:rsid w:val="008316C8"/>
    <w:rsid w:val="008368C1"/>
    <w:rsid w:val="00840F75"/>
    <w:rsid w:val="00841716"/>
    <w:rsid w:val="00844670"/>
    <w:rsid w:val="0084648D"/>
    <w:rsid w:val="00847203"/>
    <w:rsid w:val="00854EBA"/>
    <w:rsid w:val="00854F14"/>
    <w:rsid w:val="008647B8"/>
    <w:rsid w:val="0086572F"/>
    <w:rsid w:val="00867C1F"/>
    <w:rsid w:val="008733AF"/>
    <w:rsid w:val="00873F48"/>
    <w:rsid w:val="00880704"/>
    <w:rsid w:val="008819E7"/>
    <w:rsid w:val="00883373"/>
    <w:rsid w:val="008842D3"/>
    <w:rsid w:val="00890FAA"/>
    <w:rsid w:val="00891AB7"/>
    <w:rsid w:val="00893A58"/>
    <w:rsid w:val="00895703"/>
    <w:rsid w:val="008B113E"/>
    <w:rsid w:val="008B30E4"/>
    <w:rsid w:val="008B3D62"/>
    <w:rsid w:val="008B607A"/>
    <w:rsid w:val="008B6955"/>
    <w:rsid w:val="008B7805"/>
    <w:rsid w:val="008C6214"/>
    <w:rsid w:val="008D11AC"/>
    <w:rsid w:val="008D29B6"/>
    <w:rsid w:val="008E654A"/>
    <w:rsid w:val="008F73AF"/>
    <w:rsid w:val="008F7D9B"/>
    <w:rsid w:val="009031EA"/>
    <w:rsid w:val="00906542"/>
    <w:rsid w:val="00910732"/>
    <w:rsid w:val="009117F1"/>
    <w:rsid w:val="009121EF"/>
    <w:rsid w:val="00913EE0"/>
    <w:rsid w:val="00916668"/>
    <w:rsid w:val="00920DCB"/>
    <w:rsid w:val="009243A0"/>
    <w:rsid w:val="009343A7"/>
    <w:rsid w:val="00934A32"/>
    <w:rsid w:val="00942E26"/>
    <w:rsid w:val="00942F74"/>
    <w:rsid w:val="00946EFB"/>
    <w:rsid w:val="00951C49"/>
    <w:rsid w:val="009574F9"/>
    <w:rsid w:val="00957744"/>
    <w:rsid w:val="009620EC"/>
    <w:rsid w:val="00967D4A"/>
    <w:rsid w:val="009743B1"/>
    <w:rsid w:val="00980FB2"/>
    <w:rsid w:val="00982579"/>
    <w:rsid w:val="00982697"/>
    <w:rsid w:val="009901F9"/>
    <w:rsid w:val="009920D9"/>
    <w:rsid w:val="00994F12"/>
    <w:rsid w:val="009A365E"/>
    <w:rsid w:val="009A3F0F"/>
    <w:rsid w:val="009A733B"/>
    <w:rsid w:val="009A7345"/>
    <w:rsid w:val="009A755D"/>
    <w:rsid w:val="009B4E71"/>
    <w:rsid w:val="009B68FE"/>
    <w:rsid w:val="009C1201"/>
    <w:rsid w:val="009C6048"/>
    <w:rsid w:val="009C6899"/>
    <w:rsid w:val="009C71CB"/>
    <w:rsid w:val="009D2047"/>
    <w:rsid w:val="009D2414"/>
    <w:rsid w:val="009D6602"/>
    <w:rsid w:val="009D76C1"/>
    <w:rsid w:val="009E1C91"/>
    <w:rsid w:val="009E248F"/>
    <w:rsid w:val="009E4BAA"/>
    <w:rsid w:val="009E7F4E"/>
    <w:rsid w:val="009F161C"/>
    <w:rsid w:val="009F2A45"/>
    <w:rsid w:val="009F56D6"/>
    <w:rsid w:val="009F660E"/>
    <w:rsid w:val="009F7483"/>
    <w:rsid w:val="009F7569"/>
    <w:rsid w:val="00A01FE2"/>
    <w:rsid w:val="00A037B1"/>
    <w:rsid w:val="00A05864"/>
    <w:rsid w:val="00A06323"/>
    <w:rsid w:val="00A076EC"/>
    <w:rsid w:val="00A079B3"/>
    <w:rsid w:val="00A107BB"/>
    <w:rsid w:val="00A11591"/>
    <w:rsid w:val="00A11E0F"/>
    <w:rsid w:val="00A15003"/>
    <w:rsid w:val="00A15D10"/>
    <w:rsid w:val="00A16328"/>
    <w:rsid w:val="00A17046"/>
    <w:rsid w:val="00A247EC"/>
    <w:rsid w:val="00A26D02"/>
    <w:rsid w:val="00A30163"/>
    <w:rsid w:val="00A338EB"/>
    <w:rsid w:val="00A33A3D"/>
    <w:rsid w:val="00A34F9E"/>
    <w:rsid w:val="00A36264"/>
    <w:rsid w:val="00A47B09"/>
    <w:rsid w:val="00A5008A"/>
    <w:rsid w:val="00A5168C"/>
    <w:rsid w:val="00A53467"/>
    <w:rsid w:val="00A57ED4"/>
    <w:rsid w:val="00A60280"/>
    <w:rsid w:val="00A64725"/>
    <w:rsid w:val="00A67723"/>
    <w:rsid w:val="00A7338C"/>
    <w:rsid w:val="00A749A1"/>
    <w:rsid w:val="00A81FB6"/>
    <w:rsid w:val="00A85F55"/>
    <w:rsid w:val="00A87668"/>
    <w:rsid w:val="00A90963"/>
    <w:rsid w:val="00AA1D24"/>
    <w:rsid w:val="00AA3E99"/>
    <w:rsid w:val="00AA43DF"/>
    <w:rsid w:val="00AA673F"/>
    <w:rsid w:val="00AB5DDF"/>
    <w:rsid w:val="00AB7718"/>
    <w:rsid w:val="00AC2F31"/>
    <w:rsid w:val="00AC3356"/>
    <w:rsid w:val="00AC53A8"/>
    <w:rsid w:val="00AC57F0"/>
    <w:rsid w:val="00AC60B2"/>
    <w:rsid w:val="00AC6521"/>
    <w:rsid w:val="00AD04D6"/>
    <w:rsid w:val="00AD2596"/>
    <w:rsid w:val="00AD3788"/>
    <w:rsid w:val="00AD5E7E"/>
    <w:rsid w:val="00AD6F1C"/>
    <w:rsid w:val="00AD7614"/>
    <w:rsid w:val="00AE3AEB"/>
    <w:rsid w:val="00AE435A"/>
    <w:rsid w:val="00AF7734"/>
    <w:rsid w:val="00B01A77"/>
    <w:rsid w:val="00B04C20"/>
    <w:rsid w:val="00B07DE3"/>
    <w:rsid w:val="00B113FA"/>
    <w:rsid w:val="00B11883"/>
    <w:rsid w:val="00B13000"/>
    <w:rsid w:val="00B1619D"/>
    <w:rsid w:val="00B17FAD"/>
    <w:rsid w:val="00B26295"/>
    <w:rsid w:val="00B31256"/>
    <w:rsid w:val="00B318D5"/>
    <w:rsid w:val="00B32C5C"/>
    <w:rsid w:val="00B33DB4"/>
    <w:rsid w:val="00B40A7C"/>
    <w:rsid w:val="00B50733"/>
    <w:rsid w:val="00B539D6"/>
    <w:rsid w:val="00B53F05"/>
    <w:rsid w:val="00B5527A"/>
    <w:rsid w:val="00B56267"/>
    <w:rsid w:val="00B56786"/>
    <w:rsid w:val="00B56C98"/>
    <w:rsid w:val="00B57C7F"/>
    <w:rsid w:val="00B615F0"/>
    <w:rsid w:val="00B65D8C"/>
    <w:rsid w:val="00B66122"/>
    <w:rsid w:val="00B70C0C"/>
    <w:rsid w:val="00B81649"/>
    <w:rsid w:val="00B816CF"/>
    <w:rsid w:val="00B81EA1"/>
    <w:rsid w:val="00B84285"/>
    <w:rsid w:val="00B8793F"/>
    <w:rsid w:val="00B90A58"/>
    <w:rsid w:val="00B90AFE"/>
    <w:rsid w:val="00B911B0"/>
    <w:rsid w:val="00B915B3"/>
    <w:rsid w:val="00B921E9"/>
    <w:rsid w:val="00B9435E"/>
    <w:rsid w:val="00B963AF"/>
    <w:rsid w:val="00BA0F0F"/>
    <w:rsid w:val="00BA40A6"/>
    <w:rsid w:val="00BA5CD3"/>
    <w:rsid w:val="00BA66AB"/>
    <w:rsid w:val="00BA7863"/>
    <w:rsid w:val="00BB3DF7"/>
    <w:rsid w:val="00BB5129"/>
    <w:rsid w:val="00BB5FED"/>
    <w:rsid w:val="00BB7B1C"/>
    <w:rsid w:val="00BC3688"/>
    <w:rsid w:val="00BC3DF9"/>
    <w:rsid w:val="00BC5593"/>
    <w:rsid w:val="00BC6DA7"/>
    <w:rsid w:val="00BD1354"/>
    <w:rsid w:val="00BD19C9"/>
    <w:rsid w:val="00BD26E4"/>
    <w:rsid w:val="00BD5598"/>
    <w:rsid w:val="00BE04CC"/>
    <w:rsid w:val="00BE0813"/>
    <w:rsid w:val="00BE13D4"/>
    <w:rsid w:val="00BE2145"/>
    <w:rsid w:val="00BE3BB8"/>
    <w:rsid w:val="00BF32F4"/>
    <w:rsid w:val="00BF3C0D"/>
    <w:rsid w:val="00BF69B7"/>
    <w:rsid w:val="00C01CCD"/>
    <w:rsid w:val="00C1026C"/>
    <w:rsid w:val="00C121D0"/>
    <w:rsid w:val="00C13102"/>
    <w:rsid w:val="00C16BD0"/>
    <w:rsid w:val="00C16EFE"/>
    <w:rsid w:val="00C17BBA"/>
    <w:rsid w:val="00C20C22"/>
    <w:rsid w:val="00C23548"/>
    <w:rsid w:val="00C2384C"/>
    <w:rsid w:val="00C264D3"/>
    <w:rsid w:val="00C26A71"/>
    <w:rsid w:val="00C3489B"/>
    <w:rsid w:val="00C50777"/>
    <w:rsid w:val="00C507DF"/>
    <w:rsid w:val="00C54BB9"/>
    <w:rsid w:val="00C559F3"/>
    <w:rsid w:val="00C5754E"/>
    <w:rsid w:val="00C61E10"/>
    <w:rsid w:val="00C6219E"/>
    <w:rsid w:val="00C70F57"/>
    <w:rsid w:val="00C72443"/>
    <w:rsid w:val="00C75A07"/>
    <w:rsid w:val="00C814C8"/>
    <w:rsid w:val="00C82B77"/>
    <w:rsid w:val="00C83051"/>
    <w:rsid w:val="00C86E00"/>
    <w:rsid w:val="00C907BA"/>
    <w:rsid w:val="00C920D4"/>
    <w:rsid w:val="00C93817"/>
    <w:rsid w:val="00C976E7"/>
    <w:rsid w:val="00CA1E77"/>
    <w:rsid w:val="00CA2657"/>
    <w:rsid w:val="00CB56B6"/>
    <w:rsid w:val="00CC1485"/>
    <w:rsid w:val="00CC567F"/>
    <w:rsid w:val="00CC5A03"/>
    <w:rsid w:val="00CC6CF9"/>
    <w:rsid w:val="00CD05F2"/>
    <w:rsid w:val="00CD0E82"/>
    <w:rsid w:val="00CD1CAD"/>
    <w:rsid w:val="00CD3458"/>
    <w:rsid w:val="00CD3915"/>
    <w:rsid w:val="00CD4548"/>
    <w:rsid w:val="00CD78B5"/>
    <w:rsid w:val="00CE2B93"/>
    <w:rsid w:val="00CE36D6"/>
    <w:rsid w:val="00CE36F6"/>
    <w:rsid w:val="00CE3817"/>
    <w:rsid w:val="00CE3990"/>
    <w:rsid w:val="00CE47BE"/>
    <w:rsid w:val="00CE50EB"/>
    <w:rsid w:val="00CE569D"/>
    <w:rsid w:val="00CE6FA4"/>
    <w:rsid w:val="00CE70CC"/>
    <w:rsid w:val="00CF1A89"/>
    <w:rsid w:val="00CF1BC0"/>
    <w:rsid w:val="00CF6A97"/>
    <w:rsid w:val="00CF7A17"/>
    <w:rsid w:val="00D02889"/>
    <w:rsid w:val="00D02999"/>
    <w:rsid w:val="00D03867"/>
    <w:rsid w:val="00D06762"/>
    <w:rsid w:val="00D11654"/>
    <w:rsid w:val="00D117E6"/>
    <w:rsid w:val="00D14DCF"/>
    <w:rsid w:val="00D14F6B"/>
    <w:rsid w:val="00D17695"/>
    <w:rsid w:val="00D21D0D"/>
    <w:rsid w:val="00D25ADF"/>
    <w:rsid w:val="00D325B3"/>
    <w:rsid w:val="00D3321E"/>
    <w:rsid w:val="00D40D7E"/>
    <w:rsid w:val="00D41133"/>
    <w:rsid w:val="00D43324"/>
    <w:rsid w:val="00D435D2"/>
    <w:rsid w:val="00D43AC4"/>
    <w:rsid w:val="00D44555"/>
    <w:rsid w:val="00D55B22"/>
    <w:rsid w:val="00D56A66"/>
    <w:rsid w:val="00D63B3D"/>
    <w:rsid w:val="00D668D3"/>
    <w:rsid w:val="00D6700A"/>
    <w:rsid w:val="00D725E0"/>
    <w:rsid w:val="00D7542C"/>
    <w:rsid w:val="00D8263F"/>
    <w:rsid w:val="00D83025"/>
    <w:rsid w:val="00D84233"/>
    <w:rsid w:val="00D90557"/>
    <w:rsid w:val="00D9097D"/>
    <w:rsid w:val="00D909DC"/>
    <w:rsid w:val="00D90F1D"/>
    <w:rsid w:val="00D9198D"/>
    <w:rsid w:val="00D91F9F"/>
    <w:rsid w:val="00D939C3"/>
    <w:rsid w:val="00D94459"/>
    <w:rsid w:val="00D96F47"/>
    <w:rsid w:val="00DA1BA6"/>
    <w:rsid w:val="00DB3EA3"/>
    <w:rsid w:val="00DB40C5"/>
    <w:rsid w:val="00DB4A92"/>
    <w:rsid w:val="00DB563C"/>
    <w:rsid w:val="00DB7809"/>
    <w:rsid w:val="00DC141E"/>
    <w:rsid w:val="00DC370F"/>
    <w:rsid w:val="00DC558E"/>
    <w:rsid w:val="00DC7F2E"/>
    <w:rsid w:val="00DD36E8"/>
    <w:rsid w:val="00DD3FC9"/>
    <w:rsid w:val="00DD552A"/>
    <w:rsid w:val="00DE7BA2"/>
    <w:rsid w:val="00DF02DC"/>
    <w:rsid w:val="00DF1590"/>
    <w:rsid w:val="00DF15B7"/>
    <w:rsid w:val="00DF6F0B"/>
    <w:rsid w:val="00E02753"/>
    <w:rsid w:val="00E02FF0"/>
    <w:rsid w:val="00E04D0A"/>
    <w:rsid w:val="00E073EC"/>
    <w:rsid w:val="00E1135C"/>
    <w:rsid w:val="00E126F0"/>
    <w:rsid w:val="00E20063"/>
    <w:rsid w:val="00E201FD"/>
    <w:rsid w:val="00E20828"/>
    <w:rsid w:val="00E4229E"/>
    <w:rsid w:val="00E44390"/>
    <w:rsid w:val="00E45CF5"/>
    <w:rsid w:val="00E529D9"/>
    <w:rsid w:val="00E539B2"/>
    <w:rsid w:val="00E65118"/>
    <w:rsid w:val="00E65C8F"/>
    <w:rsid w:val="00E66055"/>
    <w:rsid w:val="00E67291"/>
    <w:rsid w:val="00E70758"/>
    <w:rsid w:val="00E70E7B"/>
    <w:rsid w:val="00E71758"/>
    <w:rsid w:val="00E747DD"/>
    <w:rsid w:val="00E81262"/>
    <w:rsid w:val="00E81664"/>
    <w:rsid w:val="00E84E8E"/>
    <w:rsid w:val="00E857FD"/>
    <w:rsid w:val="00E872B0"/>
    <w:rsid w:val="00E87B48"/>
    <w:rsid w:val="00E90E13"/>
    <w:rsid w:val="00E915D8"/>
    <w:rsid w:val="00E9389F"/>
    <w:rsid w:val="00E93A95"/>
    <w:rsid w:val="00EA0282"/>
    <w:rsid w:val="00EA17D9"/>
    <w:rsid w:val="00EA35B3"/>
    <w:rsid w:val="00EA3950"/>
    <w:rsid w:val="00EA495D"/>
    <w:rsid w:val="00EA63A1"/>
    <w:rsid w:val="00EB1A20"/>
    <w:rsid w:val="00EB1CB1"/>
    <w:rsid w:val="00EB2D51"/>
    <w:rsid w:val="00EB4254"/>
    <w:rsid w:val="00EB62F1"/>
    <w:rsid w:val="00EB7AAC"/>
    <w:rsid w:val="00EC132E"/>
    <w:rsid w:val="00EC4447"/>
    <w:rsid w:val="00EC4F0A"/>
    <w:rsid w:val="00ED0A1A"/>
    <w:rsid w:val="00ED3C70"/>
    <w:rsid w:val="00ED7068"/>
    <w:rsid w:val="00ED78FE"/>
    <w:rsid w:val="00EE2DA3"/>
    <w:rsid w:val="00EE603E"/>
    <w:rsid w:val="00EF1F4C"/>
    <w:rsid w:val="00EF2CF8"/>
    <w:rsid w:val="00F04015"/>
    <w:rsid w:val="00F065DB"/>
    <w:rsid w:val="00F14015"/>
    <w:rsid w:val="00F16783"/>
    <w:rsid w:val="00F230F6"/>
    <w:rsid w:val="00F2381D"/>
    <w:rsid w:val="00F24294"/>
    <w:rsid w:val="00F244A0"/>
    <w:rsid w:val="00F24B54"/>
    <w:rsid w:val="00F25FB9"/>
    <w:rsid w:val="00F31307"/>
    <w:rsid w:val="00F332DB"/>
    <w:rsid w:val="00F340FD"/>
    <w:rsid w:val="00F36BBA"/>
    <w:rsid w:val="00F37E18"/>
    <w:rsid w:val="00F4056D"/>
    <w:rsid w:val="00F44393"/>
    <w:rsid w:val="00F4441B"/>
    <w:rsid w:val="00F532CC"/>
    <w:rsid w:val="00F543E8"/>
    <w:rsid w:val="00F54BE0"/>
    <w:rsid w:val="00F568C6"/>
    <w:rsid w:val="00F6106E"/>
    <w:rsid w:val="00F61DB6"/>
    <w:rsid w:val="00F62061"/>
    <w:rsid w:val="00F6683C"/>
    <w:rsid w:val="00F710B3"/>
    <w:rsid w:val="00F76DEB"/>
    <w:rsid w:val="00F81A4A"/>
    <w:rsid w:val="00F8510B"/>
    <w:rsid w:val="00F91466"/>
    <w:rsid w:val="00F91844"/>
    <w:rsid w:val="00F9194D"/>
    <w:rsid w:val="00F925F1"/>
    <w:rsid w:val="00FA08B7"/>
    <w:rsid w:val="00FA2FA4"/>
    <w:rsid w:val="00FA388B"/>
    <w:rsid w:val="00FA5583"/>
    <w:rsid w:val="00FA5BE7"/>
    <w:rsid w:val="00FA6F6B"/>
    <w:rsid w:val="00FB0A69"/>
    <w:rsid w:val="00FB0C7F"/>
    <w:rsid w:val="00FB14C4"/>
    <w:rsid w:val="00FB2C8E"/>
    <w:rsid w:val="00FC0AE3"/>
    <w:rsid w:val="00FC1BC3"/>
    <w:rsid w:val="00FC4120"/>
    <w:rsid w:val="00FC4FB9"/>
    <w:rsid w:val="00FC6F70"/>
    <w:rsid w:val="00FC7F62"/>
    <w:rsid w:val="00FD27D1"/>
    <w:rsid w:val="00FD4C5E"/>
    <w:rsid w:val="00FD536F"/>
    <w:rsid w:val="00FD543C"/>
    <w:rsid w:val="00FE1471"/>
    <w:rsid w:val="00FE24E3"/>
    <w:rsid w:val="00FE2F82"/>
    <w:rsid w:val="00FE3D2C"/>
    <w:rsid w:val="00FE7396"/>
    <w:rsid w:val="00FE7E77"/>
    <w:rsid w:val="00FF32B9"/>
    <w:rsid w:val="00FF5CED"/>
    <w:rsid w:val="00FF72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F1062"/>
  <w15:docId w15:val="{4B1DE49F-5AF3-4E21-9188-D782F688B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3D72"/>
    <w:pPr>
      <w:spacing w:after="220" w:line="240" w:lineRule="auto"/>
      <w:jc w:val="both"/>
    </w:pPr>
    <w:rPr>
      <w:color w:val="000000"/>
    </w:rPr>
  </w:style>
  <w:style w:type="paragraph" w:styleId="Nadpis1">
    <w:name w:val="heading 1"/>
    <w:basedOn w:val="Normln"/>
    <w:next w:val="Normln"/>
    <w:link w:val="Nadpis1Char"/>
    <w:uiPriority w:val="2"/>
    <w:qFormat/>
    <w:rsid w:val="00773D72"/>
    <w:pPr>
      <w:keepNext/>
      <w:keepLines/>
      <w:pageBreakBefore/>
      <w:numPr>
        <w:numId w:val="1"/>
      </w:numPr>
      <w:spacing w:after="360"/>
      <w:outlineLvl w:val="0"/>
    </w:pPr>
    <w:rPr>
      <w:rFonts w:asciiTheme="majorHAnsi" w:eastAsiaTheme="majorEastAsia" w:hAnsiTheme="majorHAnsi" w:cstheme="majorBidi"/>
      <w:b/>
      <w:bCs/>
      <w:sz w:val="36"/>
      <w:szCs w:val="28"/>
    </w:rPr>
  </w:style>
  <w:style w:type="paragraph" w:styleId="Nadpis2">
    <w:name w:val="heading 2"/>
    <w:basedOn w:val="Normln"/>
    <w:next w:val="Normln"/>
    <w:link w:val="Nadpis2Char"/>
    <w:uiPriority w:val="2"/>
    <w:unhideWhenUsed/>
    <w:qFormat/>
    <w:rsid w:val="00773D72"/>
    <w:pPr>
      <w:keepNext/>
      <w:keepLines/>
      <w:numPr>
        <w:ilvl w:val="1"/>
        <w:numId w:val="1"/>
      </w:numPr>
      <w:spacing w:before="320" w:after="110"/>
      <w:outlineLvl w:val="1"/>
    </w:pPr>
    <w:rPr>
      <w:rFonts w:asciiTheme="majorHAnsi" w:eastAsiaTheme="majorEastAsia" w:hAnsiTheme="majorHAnsi" w:cstheme="majorBidi"/>
      <w:b/>
      <w:bCs/>
      <w:sz w:val="32"/>
      <w:szCs w:val="26"/>
    </w:rPr>
  </w:style>
  <w:style w:type="paragraph" w:styleId="Nadpis3">
    <w:name w:val="heading 3"/>
    <w:basedOn w:val="Normln"/>
    <w:next w:val="Normln"/>
    <w:link w:val="Nadpis3Char"/>
    <w:uiPriority w:val="2"/>
    <w:unhideWhenUsed/>
    <w:qFormat/>
    <w:rsid w:val="00773D72"/>
    <w:pPr>
      <w:keepNext/>
      <w:keepLines/>
      <w:numPr>
        <w:ilvl w:val="2"/>
        <w:numId w:val="1"/>
      </w:numPr>
      <w:spacing w:before="280" w:after="110"/>
      <w:outlineLvl w:val="2"/>
    </w:pPr>
    <w:rPr>
      <w:rFonts w:asciiTheme="majorHAnsi" w:eastAsiaTheme="majorEastAsia" w:hAnsiTheme="majorHAnsi" w:cstheme="majorBidi"/>
      <w:b/>
      <w:bCs/>
      <w:sz w:val="28"/>
    </w:rPr>
  </w:style>
  <w:style w:type="paragraph" w:styleId="Nadpis4">
    <w:name w:val="heading 4"/>
    <w:basedOn w:val="Normln"/>
    <w:next w:val="Normln"/>
    <w:link w:val="Nadpis4Char"/>
    <w:uiPriority w:val="2"/>
    <w:qFormat/>
    <w:rsid w:val="00773D72"/>
    <w:pPr>
      <w:keepNext/>
      <w:keepLines/>
      <w:numPr>
        <w:ilvl w:val="3"/>
        <w:numId w:val="1"/>
      </w:numPr>
      <w:spacing w:before="260" w:after="110"/>
      <w:outlineLvl w:val="3"/>
    </w:pPr>
    <w:rPr>
      <w:rFonts w:asciiTheme="majorHAnsi" w:eastAsiaTheme="majorEastAsia" w:hAnsiTheme="majorHAnsi" w:cstheme="majorBidi"/>
      <w:b/>
      <w:bCs/>
      <w:iCs/>
      <w:sz w:val="26"/>
    </w:rPr>
  </w:style>
  <w:style w:type="paragraph" w:styleId="Nadpis5">
    <w:name w:val="heading 5"/>
    <w:basedOn w:val="Normln"/>
    <w:next w:val="Normln"/>
    <w:link w:val="Nadpis5Char"/>
    <w:uiPriority w:val="2"/>
    <w:qFormat/>
    <w:rsid w:val="00773D72"/>
    <w:pPr>
      <w:keepNext/>
      <w:keepLines/>
      <w:numPr>
        <w:ilvl w:val="4"/>
        <w:numId w:val="1"/>
      </w:numPr>
      <w:spacing w:before="240" w:after="110"/>
      <w:outlineLvl w:val="4"/>
    </w:pPr>
    <w:rPr>
      <w:rFonts w:asciiTheme="majorHAnsi" w:eastAsiaTheme="majorEastAsia" w:hAnsiTheme="majorHAnsi" w:cstheme="majorBidi"/>
      <w:b/>
      <w:sz w:val="24"/>
    </w:rPr>
  </w:style>
  <w:style w:type="paragraph" w:styleId="Nadpis6">
    <w:name w:val="heading 6"/>
    <w:basedOn w:val="Normln"/>
    <w:next w:val="Normln"/>
    <w:link w:val="Nadpis6Char"/>
    <w:uiPriority w:val="2"/>
    <w:qFormat/>
    <w:rsid w:val="00773D72"/>
    <w:pPr>
      <w:keepNext/>
      <w:keepLines/>
      <w:numPr>
        <w:ilvl w:val="5"/>
        <w:numId w:val="1"/>
      </w:numPr>
      <w:spacing w:before="220" w:after="110"/>
      <w:outlineLvl w:val="5"/>
    </w:pPr>
    <w:rPr>
      <w:rFonts w:asciiTheme="majorHAnsi" w:eastAsiaTheme="majorEastAsia" w:hAnsiTheme="majorHAnsi" w:cstheme="majorBidi"/>
      <w:b/>
      <w:iCs/>
    </w:rPr>
  </w:style>
  <w:style w:type="paragraph" w:styleId="Nadpis7">
    <w:name w:val="heading 7"/>
    <w:basedOn w:val="Normln"/>
    <w:next w:val="Normln"/>
    <w:link w:val="Nadpis7Char"/>
    <w:uiPriority w:val="9"/>
    <w:semiHidden/>
    <w:unhideWhenUsed/>
    <w:rsid w:val="0074446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4446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4446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2"/>
    <w:rsid w:val="00773D72"/>
    <w:rPr>
      <w:rFonts w:asciiTheme="majorHAnsi" w:eastAsiaTheme="majorEastAsia" w:hAnsiTheme="majorHAnsi" w:cstheme="majorBidi"/>
      <w:b/>
      <w:bCs/>
      <w:color w:val="000000"/>
      <w:sz w:val="36"/>
      <w:szCs w:val="28"/>
    </w:rPr>
  </w:style>
  <w:style w:type="character" w:customStyle="1" w:styleId="Nadpis2Char">
    <w:name w:val="Nadpis 2 Char"/>
    <w:basedOn w:val="Standardnpsmoodstavce"/>
    <w:link w:val="Nadpis2"/>
    <w:uiPriority w:val="2"/>
    <w:rsid w:val="00773D72"/>
    <w:rPr>
      <w:rFonts w:asciiTheme="majorHAnsi" w:eastAsiaTheme="majorEastAsia" w:hAnsiTheme="majorHAnsi" w:cstheme="majorBidi"/>
      <w:b/>
      <w:bCs/>
      <w:color w:val="000000"/>
      <w:sz w:val="32"/>
      <w:szCs w:val="26"/>
    </w:rPr>
  </w:style>
  <w:style w:type="character" w:customStyle="1" w:styleId="Nadpis3Char">
    <w:name w:val="Nadpis 3 Char"/>
    <w:basedOn w:val="Standardnpsmoodstavce"/>
    <w:link w:val="Nadpis3"/>
    <w:uiPriority w:val="2"/>
    <w:rsid w:val="00773D72"/>
    <w:rPr>
      <w:rFonts w:asciiTheme="majorHAnsi" w:eastAsiaTheme="majorEastAsia" w:hAnsiTheme="majorHAnsi" w:cstheme="majorBidi"/>
      <w:b/>
      <w:bCs/>
      <w:color w:val="000000"/>
      <w:sz w:val="28"/>
    </w:rPr>
  </w:style>
  <w:style w:type="character" w:customStyle="1" w:styleId="Nadpis4Char">
    <w:name w:val="Nadpis 4 Char"/>
    <w:basedOn w:val="Standardnpsmoodstavce"/>
    <w:link w:val="Nadpis4"/>
    <w:uiPriority w:val="2"/>
    <w:rsid w:val="00773D72"/>
    <w:rPr>
      <w:rFonts w:asciiTheme="majorHAnsi" w:eastAsiaTheme="majorEastAsia" w:hAnsiTheme="majorHAnsi" w:cstheme="majorBidi"/>
      <w:b/>
      <w:bCs/>
      <w:iCs/>
      <w:color w:val="000000"/>
      <w:sz w:val="26"/>
    </w:rPr>
  </w:style>
  <w:style w:type="character" w:customStyle="1" w:styleId="Nadpis5Char">
    <w:name w:val="Nadpis 5 Char"/>
    <w:basedOn w:val="Standardnpsmoodstavce"/>
    <w:link w:val="Nadpis5"/>
    <w:uiPriority w:val="2"/>
    <w:rsid w:val="00773D72"/>
    <w:rPr>
      <w:rFonts w:asciiTheme="majorHAnsi" w:eastAsiaTheme="majorEastAsia" w:hAnsiTheme="majorHAnsi" w:cstheme="majorBidi"/>
      <w:b/>
      <w:color w:val="000000"/>
      <w:sz w:val="24"/>
    </w:rPr>
  </w:style>
  <w:style w:type="character" w:customStyle="1" w:styleId="Nadpis6Char">
    <w:name w:val="Nadpis 6 Char"/>
    <w:basedOn w:val="Standardnpsmoodstavce"/>
    <w:link w:val="Nadpis6"/>
    <w:uiPriority w:val="2"/>
    <w:rsid w:val="00773D72"/>
    <w:rPr>
      <w:rFonts w:asciiTheme="majorHAnsi" w:eastAsiaTheme="majorEastAsia" w:hAnsiTheme="majorHAnsi" w:cstheme="majorBidi"/>
      <w:b/>
      <w:iCs/>
      <w:color w:val="000000"/>
    </w:rPr>
  </w:style>
  <w:style w:type="character" w:customStyle="1" w:styleId="Nadpis7Char">
    <w:name w:val="Nadpis 7 Char"/>
    <w:basedOn w:val="Standardnpsmoodstavce"/>
    <w:link w:val="Nadpis7"/>
    <w:uiPriority w:val="9"/>
    <w:semiHidden/>
    <w:rsid w:val="00744469"/>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4446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44469"/>
    <w:rPr>
      <w:rFonts w:asciiTheme="majorHAnsi" w:eastAsiaTheme="majorEastAsia" w:hAnsiTheme="majorHAnsi" w:cstheme="majorBidi"/>
      <w:i/>
      <w:iCs/>
      <w:color w:val="404040" w:themeColor="text1" w:themeTint="BF"/>
      <w:sz w:val="20"/>
      <w:szCs w:val="20"/>
    </w:rPr>
  </w:style>
  <w:style w:type="paragraph" w:customStyle="1" w:styleId="Tabulkazhlav">
    <w:name w:val="Tabulka záhlaví"/>
    <w:basedOn w:val="Normln"/>
    <w:link w:val="TabulkazhlavChar"/>
    <w:uiPriority w:val="6"/>
    <w:qFormat/>
    <w:rsid w:val="00A47B09"/>
    <w:pPr>
      <w:spacing w:before="60" w:after="60"/>
      <w:ind w:left="57" w:right="57"/>
      <w:jc w:val="left"/>
    </w:pPr>
    <w:rPr>
      <w:b/>
      <w:color w:val="080808"/>
      <w:sz w:val="20"/>
    </w:rPr>
  </w:style>
  <w:style w:type="character" w:customStyle="1" w:styleId="TabulkazhlavChar">
    <w:name w:val="Tabulka záhlaví Char"/>
    <w:basedOn w:val="Standardnpsmoodstavce"/>
    <w:link w:val="Tabulkazhlav"/>
    <w:uiPriority w:val="6"/>
    <w:rsid w:val="00A47B09"/>
    <w:rPr>
      <w:b/>
      <w:color w:val="080808"/>
      <w:sz w:val="20"/>
    </w:rPr>
  </w:style>
  <w:style w:type="paragraph" w:customStyle="1" w:styleId="Tabulkatext">
    <w:name w:val="Tabulka text"/>
    <w:link w:val="TabulkatextChar"/>
    <w:uiPriority w:val="6"/>
    <w:qFormat/>
    <w:rsid w:val="00A47B09"/>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A47B09"/>
    <w:rPr>
      <w:color w:val="080808"/>
      <w:sz w:val="20"/>
    </w:rPr>
  </w:style>
  <w:style w:type="paragraph" w:styleId="Textbubliny">
    <w:name w:val="Balloon Text"/>
    <w:basedOn w:val="Normln"/>
    <w:link w:val="TextbublinyChar"/>
    <w:uiPriority w:val="99"/>
    <w:semiHidden/>
    <w:unhideWhenUsed/>
    <w:rsid w:val="0074446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4469"/>
    <w:rPr>
      <w:rFonts w:ascii="Tahoma" w:hAnsi="Tahoma" w:cs="Tahoma"/>
      <w:sz w:val="16"/>
      <w:szCs w:val="16"/>
    </w:rPr>
  </w:style>
  <w:style w:type="paragraph" w:styleId="Zhlav">
    <w:name w:val="header"/>
    <w:basedOn w:val="Normln"/>
    <w:link w:val="ZhlavChar"/>
    <w:uiPriority w:val="99"/>
    <w:unhideWhenUsed/>
    <w:rsid w:val="00744469"/>
    <w:pPr>
      <w:tabs>
        <w:tab w:val="center" w:pos="4536"/>
        <w:tab w:val="right" w:pos="9072"/>
      </w:tabs>
      <w:spacing w:after="0"/>
    </w:pPr>
  </w:style>
  <w:style w:type="character" w:customStyle="1" w:styleId="ZhlavChar">
    <w:name w:val="Záhlaví Char"/>
    <w:basedOn w:val="Standardnpsmoodstavce"/>
    <w:link w:val="Zhlav"/>
    <w:uiPriority w:val="99"/>
    <w:rsid w:val="00744469"/>
  </w:style>
  <w:style w:type="paragraph" w:styleId="Zpat">
    <w:name w:val="footer"/>
    <w:basedOn w:val="Normln"/>
    <w:link w:val="ZpatChar"/>
    <w:uiPriority w:val="99"/>
    <w:unhideWhenUsed/>
    <w:rsid w:val="00744469"/>
    <w:pPr>
      <w:tabs>
        <w:tab w:val="center" w:pos="4536"/>
        <w:tab w:val="right" w:pos="9072"/>
      </w:tabs>
      <w:spacing w:after="0"/>
    </w:pPr>
    <w:rPr>
      <w:sz w:val="18"/>
    </w:rPr>
  </w:style>
  <w:style w:type="character" w:customStyle="1" w:styleId="ZpatChar">
    <w:name w:val="Zápatí Char"/>
    <w:basedOn w:val="Standardnpsmoodstavce"/>
    <w:link w:val="Zpat"/>
    <w:uiPriority w:val="99"/>
    <w:rsid w:val="00744469"/>
    <w:rPr>
      <w:sz w:val="18"/>
    </w:rPr>
  </w:style>
  <w:style w:type="table" w:styleId="Mkatabulky">
    <w:name w:val="Table Grid"/>
    <w:basedOn w:val="Normlntabulka"/>
    <w:uiPriority w:val="59"/>
    <w:rsid w:val="00A47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zev">
    <w:name w:val="Title"/>
    <w:basedOn w:val="Normln"/>
    <w:link w:val="NzevChar"/>
    <w:uiPriority w:val="14"/>
    <w:qFormat/>
    <w:rsid w:val="00773D72"/>
    <w:pPr>
      <w:spacing w:after="0" w:line="312" w:lineRule="auto"/>
      <w:contextualSpacing/>
      <w:jc w:val="left"/>
    </w:pPr>
    <w:rPr>
      <w:rFonts w:asciiTheme="majorHAnsi" w:eastAsiaTheme="majorEastAsia" w:hAnsiTheme="majorHAnsi" w:cstheme="majorBidi"/>
      <w:b/>
      <w:caps/>
      <w:kern w:val="28"/>
      <w:sz w:val="64"/>
      <w:szCs w:val="52"/>
    </w:rPr>
  </w:style>
  <w:style w:type="character" w:customStyle="1" w:styleId="NzevChar">
    <w:name w:val="Název Char"/>
    <w:basedOn w:val="Standardnpsmoodstavce"/>
    <w:link w:val="Nzev"/>
    <w:uiPriority w:val="14"/>
    <w:rsid w:val="00773D72"/>
    <w:rPr>
      <w:rFonts w:asciiTheme="majorHAnsi" w:eastAsiaTheme="majorEastAsia" w:hAnsiTheme="majorHAnsi" w:cstheme="majorBidi"/>
      <w:b/>
      <w:caps/>
      <w:color w:val="000000"/>
      <w:kern w:val="28"/>
      <w:sz w:val="64"/>
      <w:szCs w:val="52"/>
    </w:rPr>
  </w:style>
  <w:style w:type="paragraph" w:styleId="Podnadpis">
    <w:name w:val="Subtitle"/>
    <w:basedOn w:val="Normln"/>
    <w:next w:val="Normln"/>
    <w:link w:val="PodnadpisChar"/>
    <w:uiPriority w:val="15"/>
    <w:qFormat/>
    <w:rsid w:val="00773D72"/>
    <w:pPr>
      <w:numPr>
        <w:ilvl w:val="1"/>
      </w:numPr>
      <w:ind w:left="113"/>
      <w:jc w:val="left"/>
    </w:pPr>
    <w:rPr>
      <w:rFonts w:asciiTheme="majorHAnsi" w:eastAsiaTheme="majorEastAsia" w:hAnsiTheme="majorHAnsi" w:cstheme="majorBidi"/>
      <w:b/>
      <w:iCs/>
      <w:sz w:val="36"/>
      <w:szCs w:val="24"/>
    </w:rPr>
  </w:style>
  <w:style w:type="character" w:customStyle="1" w:styleId="PodnadpisChar">
    <w:name w:val="Podnadpis Char"/>
    <w:basedOn w:val="Standardnpsmoodstavce"/>
    <w:link w:val="Podnadpis"/>
    <w:uiPriority w:val="15"/>
    <w:rsid w:val="00773D72"/>
    <w:rPr>
      <w:rFonts w:asciiTheme="majorHAnsi" w:eastAsiaTheme="majorEastAsia" w:hAnsiTheme="majorHAnsi" w:cstheme="majorBidi"/>
      <w:b/>
      <w:iCs/>
      <w:color w:val="000000"/>
      <w:sz w:val="36"/>
      <w:szCs w:val="24"/>
    </w:rPr>
  </w:style>
  <w:style w:type="paragraph" w:customStyle="1" w:styleId="Nadpis1neslovan-jevobsahu">
    <w:name w:val="Nadpis 1 nečíslovaný - je v obsahu"/>
    <w:basedOn w:val="Nadpis1"/>
    <w:next w:val="Normln"/>
    <w:link w:val="Nadpis1neslovan-jevobsahuChar"/>
    <w:uiPriority w:val="4"/>
    <w:qFormat/>
    <w:rsid w:val="0011753D"/>
    <w:pPr>
      <w:numPr>
        <w:numId w:val="0"/>
      </w:numPr>
    </w:pPr>
  </w:style>
  <w:style w:type="character" w:customStyle="1" w:styleId="Nadpis1neslovan-jevobsahuChar">
    <w:name w:val="Nadpis 1 nečíslovaný - je v obsahu Char"/>
    <w:basedOn w:val="Nadpis1Char"/>
    <w:link w:val="Nadpis1neslovan-jevobsahu"/>
    <w:uiPriority w:val="4"/>
    <w:rsid w:val="006D7FC5"/>
    <w:rPr>
      <w:rFonts w:asciiTheme="majorHAnsi" w:eastAsiaTheme="majorEastAsia" w:hAnsiTheme="majorHAnsi" w:cstheme="majorBidi"/>
      <w:b/>
      <w:bCs/>
      <w:color w:val="505050" w:themeColor="accent1"/>
      <w:sz w:val="36"/>
      <w:szCs w:val="28"/>
    </w:rPr>
  </w:style>
  <w:style w:type="paragraph" w:styleId="Obsah1">
    <w:name w:val="toc 1"/>
    <w:basedOn w:val="Normln"/>
    <w:next w:val="Normln"/>
    <w:autoRedefine/>
    <w:uiPriority w:val="39"/>
    <w:unhideWhenUsed/>
    <w:rsid w:val="004548E9"/>
    <w:pPr>
      <w:tabs>
        <w:tab w:val="left" w:pos="397"/>
        <w:tab w:val="right" w:leader="dot" w:pos="9060"/>
      </w:tabs>
      <w:spacing w:before="100" w:after="100"/>
      <w:jc w:val="left"/>
    </w:pPr>
    <w:rPr>
      <w:b/>
      <w:bCs/>
      <w:caps/>
      <w:noProof/>
      <w:szCs w:val="20"/>
    </w:rPr>
  </w:style>
  <w:style w:type="paragraph" w:styleId="Obsah2">
    <w:name w:val="toc 2"/>
    <w:basedOn w:val="Normln"/>
    <w:next w:val="Normln"/>
    <w:autoRedefine/>
    <w:uiPriority w:val="39"/>
    <w:unhideWhenUsed/>
    <w:rsid w:val="004548E9"/>
    <w:pPr>
      <w:tabs>
        <w:tab w:val="left" w:pos="907"/>
        <w:tab w:val="right" w:leader="dot" w:pos="9061"/>
      </w:tabs>
      <w:spacing w:after="0"/>
      <w:ind w:left="397"/>
      <w:jc w:val="left"/>
    </w:pPr>
    <w:rPr>
      <w:szCs w:val="20"/>
    </w:rPr>
  </w:style>
  <w:style w:type="paragraph" w:styleId="Obsah3">
    <w:name w:val="toc 3"/>
    <w:basedOn w:val="Normln"/>
    <w:next w:val="Normln"/>
    <w:autoRedefine/>
    <w:uiPriority w:val="39"/>
    <w:unhideWhenUsed/>
    <w:rsid w:val="004548E9"/>
    <w:pPr>
      <w:tabs>
        <w:tab w:val="left" w:pos="1134"/>
        <w:tab w:val="right" w:leader="dot" w:pos="9060"/>
      </w:tabs>
      <w:spacing w:after="0"/>
      <w:ind w:left="397"/>
      <w:jc w:val="left"/>
    </w:pPr>
    <w:rPr>
      <w:iCs/>
      <w:noProof/>
      <w:szCs w:val="20"/>
    </w:rPr>
  </w:style>
  <w:style w:type="paragraph" w:styleId="Obsah4">
    <w:name w:val="toc 4"/>
    <w:basedOn w:val="Normln"/>
    <w:next w:val="Normln"/>
    <w:autoRedefine/>
    <w:uiPriority w:val="39"/>
    <w:unhideWhenUsed/>
    <w:rsid w:val="004548E9"/>
    <w:pPr>
      <w:tabs>
        <w:tab w:val="left" w:pos="1361"/>
        <w:tab w:val="right" w:leader="dot" w:pos="9060"/>
      </w:tabs>
      <w:spacing w:after="0"/>
      <w:ind w:left="397"/>
    </w:pPr>
    <w:rPr>
      <w:sz w:val="20"/>
      <w:szCs w:val="18"/>
    </w:rPr>
  </w:style>
  <w:style w:type="paragraph" w:styleId="Obsah5">
    <w:name w:val="toc 5"/>
    <w:basedOn w:val="Normln"/>
    <w:next w:val="Normln"/>
    <w:autoRedefine/>
    <w:uiPriority w:val="39"/>
    <w:unhideWhenUsed/>
    <w:rsid w:val="002B6E2F"/>
    <w:pPr>
      <w:tabs>
        <w:tab w:val="left" w:pos="1588"/>
        <w:tab w:val="right" w:leader="dot" w:pos="9061"/>
      </w:tabs>
      <w:spacing w:after="0"/>
      <w:ind w:left="397"/>
    </w:pPr>
    <w:rPr>
      <w:sz w:val="18"/>
      <w:szCs w:val="18"/>
    </w:rPr>
  </w:style>
  <w:style w:type="paragraph" w:styleId="Obsah6">
    <w:name w:val="toc 6"/>
    <w:basedOn w:val="Normln"/>
    <w:next w:val="Normln"/>
    <w:autoRedefine/>
    <w:uiPriority w:val="39"/>
    <w:unhideWhenUsed/>
    <w:rsid w:val="002B6E2F"/>
    <w:pPr>
      <w:tabs>
        <w:tab w:val="left" w:pos="1871"/>
        <w:tab w:val="right" w:leader="dot" w:pos="9061"/>
      </w:tabs>
      <w:spacing w:after="0"/>
      <w:ind w:left="397"/>
    </w:pPr>
    <w:rPr>
      <w:sz w:val="18"/>
      <w:szCs w:val="18"/>
    </w:rPr>
  </w:style>
  <w:style w:type="paragraph" w:styleId="Obsah7">
    <w:name w:val="toc 7"/>
    <w:basedOn w:val="Normln"/>
    <w:next w:val="Normln"/>
    <w:autoRedefine/>
    <w:uiPriority w:val="39"/>
    <w:unhideWhenUsed/>
    <w:rsid w:val="007E732D"/>
    <w:pPr>
      <w:spacing w:after="0"/>
      <w:ind w:left="1320"/>
    </w:pPr>
    <w:rPr>
      <w:sz w:val="18"/>
      <w:szCs w:val="18"/>
    </w:rPr>
  </w:style>
  <w:style w:type="paragraph" w:styleId="Obsah8">
    <w:name w:val="toc 8"/>
    <w:basedOn w:val="Normln"/>
    <w:next w:val="Normln"/>
    <w:autoRedefine/>
    <w:uiPriority w:val="39"/>
    <w:unhideWhenUsed/>
    <w:rsid w:val="007E732D"/>
    <w:pPr>
      <w:spacing w:after="0"/>
      <w:ind w:left="1540"/>
    </w:pPr>
    <w:rPr>
      <w:sz w:val="18"/>
      <w:szCs w:val="18"/>
    </w:rPr>
  </w:style>
  <w:style w:type="paragraph" w:styleId="Obsah9">
    <w:name w:val="toc 9"/>
    <w:basedOn w:val="Normln"/>
    <w:next w:val="Normln"/>
    <w:autoRedefine/>
    <w:uiPriority w:val="39"/>
    <w:unhideWhenUsed/>
    <w:rsid w:val="007E732D"/>
    <w:pPr>
      <w:spacing w:after="0"/>
      <w:ind w:left="1760"/>
    </w:pPr>
    <w:rPr>
      <w:sz w:val="18"/>
      <w:szCs w:val="18"/>
    </w:rPr>
  </w:style>
  <w:style w:type="character" w:styleId="Hypertextovodkaz">
    <w:name w:val="Hyperlink"/>
    <w:basedOn w:val="Standardnpsmoodstavce"/>
    <w:uiPriority w:val="99"/>
    <w:unhideWhenUsed/>
    <w:rsid w:val="007E732D"/>
    <w:rPr>
      <w:color w:val="505050" w:themeColor="hyperlink"/>
      <w:u w:val="single"/>
    </w:rPr>
  </w:style>
  <w:style w:type="paragraph" w:customStyle="1" w:styleId="Nadpis1neslovan-nenvobsahu">
    <w:name w:val="Nadpis 1 nečíslovaný - není v obsahu"/>
    <w:link w:val="Nadpis1neslovan-nenvobsahuChar"/>
    <w:uiPriority w:val="4"/>
    <w:qFormat/>
    <w:rsid w:val="00773D72"/>
    <w:pPr>
      <w:keepNext/>
      <w:pageBreakBefore/>
      <w:spacing w:after="360" w:line="240" w:lineRule="auto"/>
    </w:pPr>
    <w:rPr>
      <w:rFonts w:asciiTheme="majorHAnsi" w:eastAsiaTheme="majorEastAsia" w:hAnsiTheme="majorHAnsi" w:cstheme="majorBidi"/>
      <w:b/>
      <w:bCs/>
      <w:color w:val="000000"/>
      <w:sz w:val="36"/>
      <w:szCs w:val="28"/>
    </w:rPr>
  </w:style>
  <w:style w:type="character" w:customStyle="1" w:styleId="Nadpis1neslovan-nenvobsahuChar">
    <w:name w:val="Nadpis 1 nečíslovaný - není v obsahu Char"/>
    <w:basedOn w:val="Nadpis1neslovan-jevobsahuChar"/>
    <w:link w:val="Nadpis1neslovan-nenvobsahu"/>
    <w:uiPriority w:val="4"/>
    <w:rsid w:val="00773D72"/>
    <w:rPr>
      <w:rFonts w:asciiTheme="majorHAnsi" w:eastAsiaTheme="majorEastAsia" w:hAnsiTheme="majorHAnsi" w:cstheme="majorBidi"/>
      <w:b/>
      <w:bCs/>
      <w:color w:val="000000"/>
      <w:sz w:val="36"/>
      <w:szCs w:val="28"/>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rsid w:val="009D6602"/>
    <w:pPr>
      <w:ind w:left="720"/>
      <w:contextualSpacing/>
    </w:p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basedOn w:val="Standardnpsmoodstavce"/>
    <w:link w:val="Odstavecseseznamem"/>
    <w:uiPriority w:val="34"/>
    <w:rsid w:val="009D6602"/>
  </w:style>
  <w:style w:type="paragraph" w:customStyle="1" w:styleId="Odrky1">
    <w:name w:val="Odrážky 1"/>
    <w:basedOn w:val="Odstavecseseznamem"/>
    <w:link w:val="Odrky1Char"/>
    <w:uiPriority w:val="5"/>
    <w:qFormat/>
    <w:rsid w:val="0020570D"/>
    <w:pPr>
      <w:numPr>
        <w:numId w:val="2"/>
      </w:numPr>
    </w:pPr>
  </w:style>
  <w:style w:type="character" w:customStyle="1" w:styleId="Odrky1Char">
    <w:name w:val="Odrážky 1 Char"/>
    <w:basedOn w:val="OdstavecseseznamemChar"/>
    <w:link w:val="Odrky1"/>
    <w:uiPriority w:val="5"/>
    <w:rsid w:val="006D7FC5"/>
  </w:style>
  <w:style w:type="table" w:styleId="Stednstnovn1zvraznn1">
    <w:name w:val="Medium Shading 1 Accent 1"/>
    <w:basedOn w:val="Normlntabulka"/>
    <w:uiPriority w:val="63"/>
    <w:rsid w:val="00ED7068"/>
    <w:pPr>
      <w:spacing w:after="0" w:line="240" w:lineRule="auto"/>
    </w:pPr>
    <w:tblPr>
      <w:tblStyleRowBandSize w:val="1"/>
      <w:tblStyleColBandSize w:val="1"/>
      <w:tblBorders>
        <w:top w:val="single" w:sz="8" w:space="0" w:color="7B7B7B" w:themeColor="accent1" w:themeTint="BF"/>
        <w:left w:val="single" w:sz="8" w:space="0" w:color="7B7B7B" w:themeColor="accent1" w:themeTint="BF"/>
        <w:bottom w:val="single" w:sz="8" w:space="0" w:color="7B7B7B" w:themeColor="accent1" w:themeTint="BF"/>
        <w:right w:val="single" w:sz="8" w:space="0" w:color="7B7B7B" w:themeColor="accent1" w:themeTint="BF"/>
        <w:insideH w:val="single" w:sz="8" w:space="0" w:color="7B7B7B" w:themeColor="accent1" w:themeTint="BF"/>
      </w:tblBorders>
    </w:tblPr>
    <w:tblStylePr w:type="firstRow">
      <w:pPr>
        <w:spacing w:before="0" w:after="0" w:line="240" w:lineRule="auto"/>
      </w:pPr>
      <w:rPr>
        <w:b/>
        <w:bCs/>
        <w:color w:val="FFFFFF" w:themeColor="background1"/>
      </w:rPr>
      <w:tblPr/>
      <w:tcPr>
        <w:tcBorders>
          <w:top w:val="single" w:sz="8" w:space="0" w:color="7B7B7B" w:themeColor="accent1" w:themeTint="BF"/>
          <w:left w:val="single" w:sz="8" w:space="0" w:color="7B7B7B" w:themeColor="accent1" w:themeTint="BF"/>
          <w:bottom w:val="single" w:sz="8" w:space="0" w:color="7B7B7B" w:themeColor="accent1" w:themeTint="BF"/>
          <w:right w:val="single" w:sz="8" w:space="0" w:color="7B7B7B" w:themeColor="accent1" w:themeTint="BF"/>
          <w:insideH w:val="nil"/>
          <w:insideV w:val="nil"/>
        </w:tcBorders>
        <w:shd w:val="clear" w:color="auto" w:fill="505050" w:themeFill="accent1"/>
      </w:tcPr>
    </w:tblStylePr>
    <w:tblStylePr w:type="lastRow">
      <w:pPr>
        <w:spacing w:before="0" w:after="0" w:line="240" w:lineRule="auto"/>
      </w:pPr>
      <w:rPr>
        <w:b/>
        <w:bCs/>
      </w:rPr>
      <w:tblPr/>
      <w:tcPr>
        <w:tcBorders>
          <w:top w:val="double" w:sz="6" w:space="0" w:color="7B7B7B" w:themeColor="accent1" w:themeTint="BF"/>
          <w:left w:val="single" w:sz="8" w:space="0" w:color="7B7B7B" w:themeColor="accent1" w:themeTint="BF"/>
          <w:bottom w:val="single" w:sz="8" w:space="0" w:color="7B7B7B" w:themeColor="accent1" w:themeTint="BF"/>
          <w:right w:val="single" w:sz="8" w:space="0" w:color="7B7B7B"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1" w:themeFillTint="3F"/>
      </w:tcPr>
    </w:tblStylePr>
    <w:tblStylePr w:type="band1Horz">
      <w:tblPr/>
      <w:tcPr>
        <w:tcBorders>
          <w:insideH w:val="nil"/>
          <w:insideV w:val="nil"/>
        </w:tcBorders>
        <w:shd w:val="clear" w:color="auto" w:fill="D3D3D3" w:themeFill="accent1" w:themeFillTint="3F"/>
      </w:tcPr>
    </w:tblStylePr>
    <w:tblStylePr w:type="band2Horz">
      <w:tblPr/>
      <w:tcPr>
        <w:tcBorders>
          <w:insideH w:val="nil"/>
          <w:insideV w:val="nil"/>
        </w:tcBorders>
      </w:tcPr>
    </w:tblStylePr>
  </w:style>
  <w:style w:type="paragraph" w:styleId="Titulek">
    <w:name w:val="caption"/>
    <w:basedOn w:val="Normln"/>
    <w:next w:val="Normln"/>
    <w:link w:val="TitulekChar"/>
    <w:uiPriority w:val="9"/>
    <w:unhideWhenUsed/>
    <w:qFormat/>
    <w:rsid w:val="00F37E18"/>
    <w:pPr>
      <w:spacing w:after="110"/>
    </w:pPr>
    <w:rPr>
      <w:b/>
      <w:bCs/>
      <w:sz w:val="18"/>
      <w:szCs w:val="18"/>
    </w:rPr>
  </w:style>
  <w:style w:type="character" w:customStyle="1" w:styleId="TitulekChar">
    <w:name w:val="Titulek Char"/>
    <w:basedOn w:val="Standardnpsmoodstavce"/>
    <w:link w:val="Titulek"/>
    <w:uiPriority w:val="9"/>
    <w:rsid w:val="00F37E18"/>
    <w:rPr>
      <w:b/>
      <w:bCs/>
      <w:sz w:val="18"/>
      <w:szCs w:val="18"/>
    </w:rPr>
  </w:style>
  <w:style w:type="table" w:styleId="Stednstnovn1zvraznn6">
    <w:name w:val="Medium Shading 1 Accent 6"/>
    <w:basedOn w:val="Normlntabulka"/>
    <w:uiPriority w:val="63"/>
    <w:rsid w:val="00ED7068"/>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tblBorders>
    </w:tblPr>
    <w:tblStylePr w:type="firstRow">
      <w:pPr>
        <w:spacing w:before="0" w:after="0" w:line="240" w:lineRule="auto"/>
      </w:pPr>
      <w:rPr>
        <w:b/>
        <w:bCs/>
        <w:color w:val="FFFFFF" w:themeColor="background1"/>
      </w:rPr>
      <w:tblPr/>
      <w:tcPr>
        <w:tc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shd w:val="clear" w:color="auto" w:fill="FFFFFF" w:themeFill="accent6"/>
      </w:tcPr>
    </w:tblStylePr>
    <w:tblStylePr w:type="lastRow">
      <w:pPr>
        <w:spacing w:before="0" w:after="0" w:line="240" w:lineRule="auto"/>
      </w:pPr>
      <w:rPr>
        <w:b/>
        <w:bCs/>
      </w:rPr>
      <w:tblPr/>
      <w:tcPr>
        <w:tcBorders>
          <w:top w:val="double" w:sz="6"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6" w:themeFillTint="3F"/>
      </w:tcPr>
    </w:tblStylePr>
    <w:tblStylePr w:type="band1Horz">
      <w:tblPr/>
      <w:tcPr>
        <w:tcBorders>
          <w:insideH w:val="nil"/>
          <w:insideV w:val="nil"/>
        </w:tcBorders>
        <w:shd w:val="clear" w:color="auto" w:fill="FFFFFF" w:themeFill="accent6" w:themeFillTint="3F"/>
      </w:tcPr>
    </w:tblStylePr>
    <w:tblStylePr w:type="band2Horz">
      <w:tblPr/>
      <w:tcPr>
        <w:tcBorders>
          <w:insideH w:val="nil"/>
          <w:insideV w:val="nil"/>
        </w:tcBorders>
      </w:tcPr>
    </w:tblStylePr>
  </w:style>
  <w:style w:type="paragraph" w:customStyle="1" w:styleId="Pouitzdroje">
    <w:name w:val="Použité zdroje"/>
    <w:basedOn w:val="Odstavecseseznamem"/>
    <w:link w:val="PouitzdrojeChar"/>
    <w:uiPriority w:val="13"/>
    <w:qFormat/>
    <w:rsid w:val="00FE1471"/>
    <w:pPr>
      <w:numPr>
        <w:numId w:val="3"/>
      </w:numPr>
      <w:spacing w:after="0"/>
    </w:pPr>
  </w:style>
  <w:style w:type="character" w:customStyle="1" w:styleId="PouitzdrojeChar">
    <w:name w:val="Použité zdroje Char"/>
    <w:basedOn w:val="OdstavecseseznamemChar"/>
    <w:link w:val="Pouitzdroje"/>
    <w:uiPriority w:val="13"/>
    <w:rsid w:val="00FC7F62"/>
  </w:style>
  <w:style w:type="paragraph" w:customStyle="1" w:styleId="Plohy">
    <w:name w:val="Přílohy"/>
    <w:basedOn w:val="Odstavecseseznamem"/>
    <w:link w:val="PlohyChar"/>
    <w:uiPriority w:val="13"/>
    <w:qFormat/>
    <w:rsid w:val="00FE1471"/>
    <w:pPr>
      <w:numPr>
        <w:numId w:val="4"/>
      </w:numPr>
    </w:pPr>
  </w:style>
  <w:style w:type="character" w:customStyle="1" w:styleId="PlohyChar">
    <w:name w:val="Přílohy Char"/>
    <w:basedOn w:val="OdstavecseseznamemChar"/>
    <w:link w:val="Plohy"/>
    <w:uiPriority w:val="13"/>
    <w:rsid w:val="00FC7F62"/>
  </w:style>
  <w:style w:type="paragraph" w:customStyle="1" w:styleId="Odrky2">
    <w:name w:val="Odrážky 2"/>
    <w:basedOn w:val="Odrky1"/>
    <w:link w:val="Odrky2Char"/>
    <w:uiPriority w:val="5"/>
    <w:qFormat/>
    <w:rsid w:val="00306C59"/>
    <w:pPr>
      <w:numPr>
        <w:ilvl w:val="1"/>
      </w:numPr>
    </w:pPr>
  </w:style>
  <w:style w:type="character" w:customStyle="1" w:styleId="Odrky2Char">
    <w:name w:val="Odrážky 2 Char"/>
    <w:basedOn w:val="Odrky1Char"/>
    <w:link w:val="Odrky2"/>
    <w:uiPriority w:val="5"/>
    <w:rsid w:val="006D7FC5"/>
  </w:style>
  <w:style w:type="paragraph" w:customStyle="1" w:styleId="Normlnodsazenshora">
    <w:name w:val="Normální odsazen shora"/>
    <w:basedOn w:val="Normln"/>
    <w:next w:val="Normln"/>
    <w:link w:val="NormlnodsazenshoraChar"/>
    <w:uiPriority w:val="17"/>
    <w:qFormat/>
    <w:rsid w:val="007D0935"/>
    <w:pPr>
      <w:spacing w:before="220"/>
    </w:pPr>
  </w:style>
  <w:style w:type="character" w:customStyle="1" w:styleId="NormlnodsazenshoraChar">
    <w:name w:val="Normální odsazen shora Char"/>
    <w:basedOn w:val="Standardnpsmoodstavce"/>
    <w:link w:val="Normlnodsazenshora"/>
    <w:uiPriority w:val="17"/>
    <w:rsid w:val="00C26A71"/>
  </w:style>
  <w:style w:type="paragraph" w:customStyle="1" w:styleId="Seznamobrzkatabulek">
    <w:name w:val="Seznam obrázků a tabulek"/>
    <w:basedOn w:val="Nadpis1neslovan-nenvobsahu"/>
    <w:next w:val="Normln"/>
    <w:link w:val="SeznamobrzkatabulekChar"/>
    <w:uiPriority w:val="19"/>
    <w:qFormat/>
    <w:rsid w:val="00057C9B"/>
    <w:pPr>
      <w:pageBreakBefore w:val="0"/>
      <w:spacing w:before="220"/>
    </w:pPr>
  </w:style>
  <w:style w:type="character" w:customStyle="1" w:styleId="SeznamobrzkatabulekChar">
    <w:name w:val="Seznam obrázků a tabulek Char"/>
    <w:basedOn w:val="Nadpis1neslovan-nenvobsahuChar"/>
    <w:link w:val="Seznamobrzkatabulek"/>
    <w:uiPriority w:val="19"/>
    <w:rsid w:val="002D7766"/>
    <w:rPr>
      <w:rFonts w:asciiTheme="majorHAnsi" w:eastAsiaTheme="majorEastAsia" w:hAnsiTheme="majorHAnsi" w:cstheme="majorBidi"/>
      <w:b/>
      <w:bCs/>
      <w:color w:val="505050" w:themeColor="accent1"/>
      <w:sz w:val="36"/>
      <w:szCs w:val="28"/>
    </w:rPr>
  </w:style>
  <w:style w:type="paragraph" w:styleId="Seznamobrzk">
    <w:name w:val="table of figures"/>
    <w:basedOn w:val="Normln"/>
    <w:next w:val="Normln"/>
    <w:uiPriority w:val="99"/>
    <w:unhideWhenUsed/>
    <w:rsid w:val="00F25FB9"/>
    <w:pPr>
      <w:spacing w:after="0"/>
    </w:pPr>
  </w:style>
  <w:style w:type="paragraph" w:customStyle="1" w:styleId="Titulekobrzku">
    <w:name w:val="Titulek obrázku"/>
    <w:basedOn w:val="Titulek"/>
    <w:next w:val="Normlnodsazenshora"/>
    <w:link w:val="TitulekobrzkuChar"/>
    <w:uiPriority w:val="10"/>
    <w:qFormat/>
    <w:rsid w:val="00C26A71"/>
    <w:pPr>
      <w:spacing w:after="0"/>
      <w:jc w:val="center"/>
    </w:pPr>
  </w:style>
  <w:style w:type="character" w:customStyle="1" w:styleId="TitulekobrzkuChar">
    <w:name w:val="Titulek obrázku Char"/>
    <w:basedOn w:val="TitulekChar"/>
    <w:link w:val="Titulekobrzku"/>
    <w:uiPriority w:val="10"/>
    <w:rsid w:val="00FC7F62"/>
    <w:rPr>
      <w:b/>
      <w:bCs/>
      <w:sz w:val="18"/>
      <w:szCs w:val="18"/>
    </w:rPr>
  </w:style>
  <w:style w:type="paragraph" w:styleId="Bezmezer">
    <w:name w:val="No Spacing"/>
    <w:link w:val="BezmezerChar"/>
    <w:uiPriority w:val="3"/>
    <w:qFormat/>
    <w:rsid w:val="00773D72"/>
    <w:pPr>
      <w:spacing w:after="0"/>
    </w:pPr>
    <w:rPr>
      <w:color w:val="000000"/>
    </w:rPr>
  </w:style>
  <w:style w:type="character" w:customStyle="1" w:styleId="BezmezerChar">
    <w:name w:val="Bez mezer Char"/>
    <w:basedOn w:val="Standardnpsmoodstavce"/>
    <w:link w:val="Bezmezer"/>
    <w:uiPriority w:val="3"/>
    <w:rsid w:val="00773D72"/>
    <w:rPr>
      <w:color w:val="000000"/>
    </w:rPr>
  </w:style>
  <w:style w:type="paragraph" w:customStyle="1" w:styleId="Odrky3">
    <w:name w:val="Odrážky 3"/>
    <w:basedOn w:val="Odrky2"/>
    <w:link w:val="Odrky3Char"/>
    <w:uiPriority w:val="5"/>
    <w:qFormat/>
    <w:rsid w:val="004354DE"/>
    <w:pPr>
      <w:numPr>
        <w:ilvl w:val="2"/>
      </w:numPr>
    </w:pPr>
  </w:style>
  <w:style w:type="character" w:customStyle="1" w:styleId="Odrky3Char">
    <w:name w:val="Odrážky 3 Char"/>
    <w:basedOn w:val="Odrky2Char"/>
    <w:link w:val="Odrky3"/>
    <w:uiPriority w:val="5"/>
    <w:rsid w:val="006D7FC5"/>
  </w:style>
  <w:style w:type="paragraph" w:customStyle="1" w:styleId="slovn1">
    <w:name w:val="Číslování 1"/>
    <w:basedOn w:val="Odstavecseseznamem"/>
    <w:link w:val="slovn1Char"/>
    <w:uiPriority w:val="5"/>
    <w:qFormat/>
    <w:rsid w:val="004D73F0"/>
    <w:pPr>
      <w:numPr>
        <w:numId w:val="17"/>
      </w:numPr>
    </w:pPr>
  </w:style>
  <w:style w:type="character" w:customStyle="1" w:styleId="slovn1Char">
    <w:name w:val="Číslování 1 Char"/>
    <w:basedOn w:val="NormlnodsazenshoraChar"/>
    <w:link w:val="slovn1"/>
    <w:uiPriority w:val="5"/>
    <w:rsid w:val="004D73F0"/>
  </w:style>
  <w:style w:type="paragraph" w:customStyle="1" w:styleId="slovn2">
    <w:name w:val="Číslování 2"/>
    <w:basedOn w:val="slovn1"/>
    <w:link w:val="slovn2Char"/>
    <w:uiPriority w:val="5"/>
    <w:qFormat/>
    <w:rsid w:val="004D73F0"/>
    <w:pPr>
      <w:numPr>
        <w:ilvl w:val="1"/>
      </w:numPr>
    </w:pPr>
  </w:style>
  <w:style w:type="character" w:customStyle="1" w:styleId="slovn2Char">
    <w:name w:val="Číslování 2 Char"/>
    <w:basedOn w:val="slovn1Char"/>
    <w:link w:val="slovn2"/>
    <w:uiPriority w:val="5"/>
    <w:rsid w:val="004D73F0"/>
  </w:style>
  <w:style w:type="paragraph" w:customStyle="1" w:styleId="slovn3">
    <w:name w:val="Číslování 3"/>
    <w:basedOn w:val="slovn2"/>
    <w:link w:val="slovn3Char"/>
    <w:uiPriority w:val="5"/>
    <w:qFormat/>
    <w:rsid w:val="004D73F0"/>
    <w:pPr>
      <w:numPr>
        <w:ilvl w:val="2"/>
      </w:numPr>
    </w:pPr>
  </w:style>
  <w:style w:type="character" w:customStyle="1" w:styleId="slovn3Char">
    <w:name w:val="Číslování 3 Char"/>
    <w:basedOn w:val="slovn2Char"/>
    <w:link w:val="slovn3"/>
    <w:uiPriority w:val="5"/>
    <w:rsid w:val="004D73F0"/>
  </w:style>
  <w:style w:type="character" w:customStyle="1" w:styleId="Bezbarvy">
    <w:name w:val="Bez barvy"/>
    <w:uiPriority w:val="9"/>
    <w:qFormat/>
    <w:rsid w:val="001673AF"/>
    <w:rPr>
      <w:bdr w:val="none" w:sz="0" w:space="0" w:color="auto"/>
      <w:shd w:val="clear" w:color="auto" w:fill="auto"/>
    </w:rPr>
  </w:style>
  <w:style w:type="character" w:customStyle="1" w:styleId="erven">
    <w:name w:val="Červeně"/>
    <w:uiPriority w:val="8"/>
    <w:qFormat/>
    <w:rsid w:val="001673AF"/>
    <w:rPr>
      <w:bdr w:val="none" w:sz="0" w:space="0" w:color="auto"/>
      <w:shd w:val="clear" w:color="auto" w:fill="FF0000"/>
    </w:rPr>
  </w:style>
  <w:style w:type="character" w:customStyle="1" w:styleId="Zelen">
    <w:name w:val="Zeleně"/>
    <w:uiPriority w:val="8"/>
    <w:qFormat/>
    <w:rsid w:val="001673AF"/>
    <w:rPr>
      <w:bdr w:val="none" w:sz="0" w:space="0" w:color="auto"/>
      <w:shd w:val="clear" w:color="auto" w:fill="92D050"/>
    </w:rPr>
  </w:style>
  <w:style w:type="character" w:customStyle="1" w:styleId="lut">
    <w:name w:val="Žlutě"/>
    <w:uiPriority w:val="7"/>
    <w:qFormat/>
    <w:rsid w:val="001673AF"/>
    <w:rPr>
      <w:rFonts w:asciiTheme="minorHAnsi" w:hAnsiTheme="minorHAnsi"/>
      <w:bdr w:val="none" w:sz="0" w:space="0" w:color="auto"/>
      <w:shd w:val="clear" w:color="auto" w:fill="FFFF00"/>
    </w:rPr>
  </w:style>
  <w:style w:type="paragraph" w:customStyle="1" w:styleId="slovn4">
    <w:name w:val="Číslování 4"/>
    <w:basedOn w:val="slovn3"/>
    <w:link w:val="slovn4Char"/>
    <w:uiPriority w:val="5"/>
    <w:qFormat/>
    <w:rsid w:val="004D73F0"/>
    <w:pPr>
      <w:numPr>
        <w:ilvl w:val="3"/>
      </w:numPr>
    </w:pPr>
  </w:style>
  <w:style w:type="character" w:customStyle="1" w:styleId="slovn4Char">
    <w:name w:val="Číslování 4 Char"/>
    <w:basedOn w:val="slovn3Char"/>
    <w:link w:val="slovn4"/>
    <w:uiPriority w:val="5"/>
    <w:rsid w:val="004D73F0"/>
  </w:style>
  <w:style w:type="paragraph" w:customStyle="1" w:styleId="Nadpis1neslovan">
    <w:name w:val="Nadpis 1 nečíslovaný"/>
    <w:aliases w:val="není v obsahu a není konec stránky před"/>
    <w:basedOn w:val="Nadpis1neslovan-nenvobsahu"/>
    <w:next w:val="Normln"/>
    <w:link w:val="Nadpis1neslovanChar"/>
    <w:uiPriority w:val="18"/>
    <w:qFormat/>
    <w:rsid w:val="00BD26E4"/>
    <w:pPr>
      <w:pageBreakBefore w:val="0"/>
      <w:spacing w:before="360"/>
    </w:pPr>
  </w:style>
  <w:style w:type="character" w:customStyle="1" w:styleId="Nadpis1neslovanChar">
    <w:name w:val="Nadpis 1 nečíslovaný Char"/>
    <w:aliases w:val="není v obsahu a není konec stránky před Char"/>
    <w:basedOn w:val="Nadpis1neslovan-nenvobsahuChar"/>
    <w:link w:val="Nadpis1neslovan"/>
    <w:uiPriority w:val="18"/>
    <w:rsid w:val="006D7FC5"/>
    <w:rPr>
      <w:rFonts w:asciiTheme="majorHAnsi" w:eastAsiaTheme="majorEastAsia" w:hAnsiTheme="majorHAnsi" w:cstheme="majorBidi"/>
      <w:b/>
      <w:bCs/>
      <w:color w:val="505050" w:themeColor="accent1"/>
      <w:sz w:val="36"/>
      <w:szCs w:val="28"/>
    </w:rPr>
  </w:style>
  <w:style w:type="paragraph" w:styleId="Textpoznpodarou">
    <w:name w:val="footnote text"/>
    <w:basedOn w:val="Normln"/>
    <w:link w:val="TextpoznpodarouChar"/>
    <w:uiPriority w:val="99"/>
    <w:rsid w:val="00C72443"/>
    <w:pPr>
      <w:spacing w:after="0"/>
    </w:pPr>
    <w:rPr>
      <w:sz w:val="18"/>
      <w:szCs w:val="20"/>
    </w:rPr>
  </w:style>
  <w:style w:type="character" w:customStyle="1" w:styleId="TextpoznpodarouChar">
    <w:name w:val="Text pozn. pod čarou Char"/>
    <w:basedOn w:val="Standardnpsmoodstavce"/>
    <w:link w:val="Textpoznpodarou"/>
    <w:uiPriority w:val="99"/>
    <w:rsid w:val="00C72443"/>
    <w:rPr>
      <w:sz w:val="18"/>
      <w:szCs w:val="20"/>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basedOn w:val="Standardnpsmoodstavce"/>
    <w:uiPriority w:val="99"/>
    <w:unhideWhenUsed/>
    <w:rsid w:val="00F332DB"/>
    <w:rPr>
      <w:vertAlign w:val="superscript"/>
    </w:rPr>
  </w:style>
  <w:style w:type="table" w:styleId="Stednmka3zvraznn2">
    <w:name w:val="Medium Grid 3 Accent 2"/>
    <w:basedOn w:val="Normlntabulka"/>
    <w:uiPriority w:val="69"/>
    <w:rsid w:val="00E073E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2D2D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2D2D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2D2D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2D2D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E8E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E8E8" w:themeFill="accent2" w:themeFillTint="7F"/>
      </w:tcPr>
    </w:tblStylePr>
  </w:style>
  <w:style w:type="table" w:styleId="Stednmka2zvraznn5">
    <w:name w:val="Medium Grid 2 Accent 5"/>
    <w:basedOn w:val="Normlntabulka"/>
    <w:uiPriority w:val="68"/>
    <w:rsid w:val="00E073E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7F7F" w:themeColor="accent5"/>
        <w:left w:val="single" w:sz="8" w:space="0" w:color="7F7F7F" w:themeColor="accent5"/>
        <w:bottom w:val="single" w:sz="8" w:space="0" w:color="7F7F7F" w:themeColor="accent5"/>
        <w:right w:val="single" w:sz="8" w:space="0" w:color="7F7F7F" w:themeColor="accent5"/>
        <w:insideH w:val="single" w:sz="8" w:space="0" w:color="7F7F7F" w:themeColor="accent5"/>
        <w:insideV w:val="single" w:sz="8" w:space="0" w:color="7F7F7F" w:themeColor="accent5"/>
      </w:tblBorders>
    </w:tblPr>
    <w:tcPr>
      <w:shd w:val="clear" w:color="auto" w:fill="DFDFDF" w:themeFill="accent5" w:themeFillTint="3F"/>
    </w:tcPr>
    <w:tblStylePr w:type="firstRow">
      <w:rPr>
        <w:b/>
        <w:bCs/>
        <w:color w:val="000000" w:themeColor="text1"/>
      </w:rPr>
      <w:tblPr/>
      <w:tcPr>
        <w:shd w:val="clear" w:color="auto" w:fill="F2F2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5" w:themeFillTint="33"/>
      </w:tcPr>
    </w:tblStylePr>
    <w:tblStylePr w:type="band1Vert">
      <w:tblPr/>
      <w:tcPr>
        <w:shd w:val="clear" w:color="auto" w:fill="BFBFBF" w:themeFill="accent5" w:themeFillTint="7F"/>
      </w:tcPr>
    </w:tblStylePr>
    <w:tblStylePr w:type="band1Horz">
      <w:tblPr/>
      <w:tcPr>
        <w:tcBorders>
          <w:insideH w:val="single" w:sz="6" w:space="0" w:color="7F7F7F" w:themeColor="accent5"/>
          <w:insideV w:val="single" w:sz="6" w:space="0" w:color="7F7F7F" w:themeColor="accent5"/>
        </w:tcBorders>
        <w:shd w:val="clear" w:color="auto" w:fill="BFBFBF" w:themeFill="accent5" w:themeFillTint="7F"/>
      </w:tcPr>
    </w:tblStylePr>
    <w:tblStylePr w:type="nwCell">
      <w:tblPr/>
      <w:tcPr>
        <w:shd w:val="clear" w:color="auto" w:fill="FFFFFF" w:themeFill="background1"/>
      </w:tcPr>
    </w:tblStylePr>
  </w:style>
  <w:style w:type="table" w:styleId="Stednstnovn1zvraznn5">
    <w:name w:val="Medium Shading 1 Accent 5"/>
    <w:basedOn w:val="Normlntabulka"/>
    <w:uiPriority w:val="63"/>
    <w:rsid w:val="00E073EC"/>
    <w:pPr>
      <w:spacing w:after="0" w:line="240" w:lineRule="auto"/>
    </w:pPr>
    <w:tblPr>
      <w:tblStyleRowBandSize w:val="1"/>
      <w:tblStyleColBandSize w:val="1"/>
      <w:tblBorders>
        <w:top w:val="single" w:sz="8" w:space="0" w:color="9F9F9F" w:themeColor="accent5" w:themeTint="BF"/>
        <w:left w:val="single" w:sz="8" w:space="0" w:color="9F9F9F" w:themeColor="accent5" w:themeTint="BF"/>
        <w:bottom w:val="single" w:sz="8" w:space="0" w:color="9F9F9F" w:themeColor="accent5" w:themeTint="BF"/>
        <w:right w:val="single" w:sz="8" w:space="0" w:color="9F9F9F" w:themeColor="accent5" w:themeTint="BF"/>
        <w:insideH w:val="single" w:sz="8" w:space="0" w:color="9F9F9F" w:themeColor="accent5" w:themeTint="BF"/>
      </w:tblBorders>
    </w:tblPr>
    <w:tblStylePr w:type="firstRow">
      <w:pPr>
        <w:spacing w:before="0" w:after="0" w:line="240" w:lineRule="auto"/>
      </w:pPr>
      <w:rPr>
        <w:b/>
        <w:bCs/>
        <w:color w:val="FFFFFF" w:themeColor="background1"/>
      </w:rPr>
      <w:tblPr/>
      <w:tcPr>
        <w:tcBorders>
          <w:top w:val="single" w:sz="8" w:space="0" w:color="9F9F9F" w:themeColor="accent5" w:themeTint="BF"/>
          <w:left w:val="single" w:sz="8" w:space="0" w:color="9F9F9F" w:themeColor="accent5" w:themeTint="BF"/>
          <w:bottom w:val="single" w:sz="8" w:space="0" w:color="9F9F9F" w:themeColor="accent5" w:themeTint="BF"/>
          <w:right w:val="single" w:sz="8" w:space="0" w:color="9F9F9F" w:themeColor="accent5" w:themeTint="BF"/>
          <w:insideH w:val="nil"/>
          <w:insideV w:val="nil"/>
        </w:tcBorders>
        <w:shd w:val="clear" w:color="auto" w:fill="7F7F7F" w:themeFill="accent5"/>
      </w:tcPr>
    </w:tblStylePr>
    <w:tblStylePr w:type="lastRow">
      <w:pPr>
        <w:spacing w:before="0" w:after="0" w:line="240" w:lineRule="auto"/>
      </w:pPr>
      <w:rPr>
        <w:b/>
        <w:bCs/>
      </w:rPr>
      <w:tblPr/>
      <w:tcPr>
        <w:tcBorders>
          <w:top w:val="double" w:sz="6" w:space="0" w:color="9F9F9F" w:themeColor="accent5" w:themeTint="BF"/>
          <w:left w:val="single" w:sz="8" w:space="0" w:color="9F9F9F" w:themeColor="accent5" w:themeTint="BF"/>
          <w:bottom w:val="single" w:sz="8" w:space="0" w:color="9F9F9F" w:themeColor="accent5" w:themeTint="BF"/>
          <w:right w:val="single" w:sz="8" w:space="0" w:color="9F9F9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5" w:themeFillTint="3F"/>
      </w:tcPr>
    </w:tblStylePr>
    <w:tblStylePr w:type="band1Horz">
      <w:tblPr/>
      <w:tcPr>
        <w:tcBorders>
          <w:insideH w:val="nil"/>
          <w:insideV w:val="nil"/>
        </w:tcBorders>
        <w:shd w:val="clear" w:color="auto" w:fill="DFDFDF" w:themeFill="accent5" w:themeFillTint="3F"/>
      </w:tcPr>
    </w:tblStylePr>
    <w:tblStylePr w:type="band2Horz">
      <w:tblPr/>
      <w:tcPr>
        <w:tcBorders>
          <w:insideH w:val="nil"/>
          <w:insideV w:val="nil"/>
        </w:tcBorders>
      </w:tcPr>
    </w:tblStylePr>
  </w:style>
  <w:style w:type="table" w:styleId="Svtlmkazvraznn2">
    <w:name w:val="Light Grid Accent 2"/>
    <w:basedOn w:val="Normlntabulka"/>
    <w:uiPriority w:val="62"/>
    <w:rsid w:val="00573732"/>
    <w:pPr>
      <w:spacing w:after="0" w:line="240" w:lineRule="auto"/>
    </w:pPr>
    <w:tblPr>
      <w:tblStyleRowBandSize w:val="1"/>
      <w:tblStyleColBandSize w:val="1"/>
      <w:tblBorders>
        <w:top w:val="single" w:sz="8" w:space="0" w:color="D2D2D2" w:themeColor="accent2"/>
        <w:left w:val="single" w:sz="8" w:space="0" w:color="D2D2D2" w:themeColor="accent2"/>
        <w:bottom w:val="single" w:sz="8" w:space="0" w:color="D2D2D2" w:themeColor="accent2"/>
        <w:right w:val="single" w:sz="8" w:space="0" w:color="D2D2D2" w:themeColor="accent2"/>
        <w:insideH w:val="single" w:sz="8" w:space="0" w:color="D2D2D2" w:themeColor="accent2"/>
        <w:insideV w:val="single" w:sz="8" w:space="0" w:color="D2D2D2" w:themeColor="accent2"/>
      </w:tblBorders>
      <w:tblCellMar>
        <w:left w:w="0" w:type="dxa"/>
        <w:right w:w="0" w:type="dxa"/>
      </w:tblCellMar>
    </w:tblPr>
    <w:tblStylePr w:type="firstRow">
      <w:pPr>
        <w:spacing w:before="0" w:after="0" w:line="240" w:lineRule="auto"/>
      </w:pPr>
      <w:rPr>
        <w:rFonts w:asciiTheme="majorHAnsi" w:eastAsiaTheme="majorEastAsia" w:hAnsiTheme="majorHAnsi" w:cstheme="majorBidi"/>
        <w:b w:val="0"/>
        <w:bCs/>
      </w:rPr>
      <w:tblPr/>
      <w:tcPr>
        <w:tcBorders>
          <w:top w:val="single" w:sz="8" w:space="0" w:color="D2D2D2" w:themeColor="accent2"/>
          <w:left w:val="single" w:sz="8" w:space="0" w:color="D2D2D2" w:themeColor="accent2"/>
          <w:bottom w:val="single" w:sz="18" w:space="0" w:color="D2D2D2" w:themeColor="accent2"/>
          <w:right w:val="single" w:sz="8" w:space="0" w:color="D2D2D2" w:themeColor="accent2"/>
          <w:insideH w:val="nil"/>
          <w:insideV w:val="single" w:sz="8" w:space="0" w:color="D2D2D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2D2D2" w:themeColor="accent2"/>
          <w:left w:val="single" w:sz="8" w:space="0" w:color="D2D2D2" w:themeColor="accent2"/>
          <w:bottom w:val="single" w:sz="8" w:space="0" w:color="D2D2D2" w:themeColor="accent2"/>
          <w:right w:val="single" w:sz="8" w:space="0" w:color="D2D2D2" w:themeColor="accent2"/>
          <w:insideH w:val="nil"/>
          <w:insideV w:val="single" w:sz="8" w:space="0" w:color="D2D2D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2D2D2" w:themeColor="accent2"/>
          <w:left w:val="single" w:sz="8" w:space="0" w:color="D2D2D2" w:themeColor="accent2"/>
          <w:bottom w:val="single" w:sz="8" w:space="0" w:color="D2D2D2" w:themeColor="accent2"/>
          <w:right w:val="single" w:sz="8" w:space="0" w:color="D2D2D2" w:themeColor="accent2"/>
        </w:tcBorders>
      </w:tcPr>
    </w:tblStylePr>
    <w:tblStylePr w:type="band1Vert">
      <w:tblPr/>
      <w:tcPr>
        <w:tcBorders>
          <w:top w:val="single" w:sz="8" w:space="0" w:color="D2D2D2" w:themeColor="accent2"/>
          <w:left w:val="single" w:sz="8" w:space="0" w:color="D2D2D2" w:themeColor="accent2"/>
          <w:bottom w:val="single" w:sz="8" w:space="0" w:color="D2D2D2" w:themeColor="accent2"/>
          <w:right w:val="single" w:sz="8" w:space="0" w:color="D2D2D2" w:themeColor="accent2"/>
        </w:tcBorders>
        <w:shd w:val="clear" w:color="auto" w:fill="F3F3F3" w:themeFill="accent2" w:themeFillTint="3F"/>
      </w:tcPr>
    </w:tblStylePr>
    <w:tblStylePr w:type="band1Horz">
      <w:tblPr/>
      <w:tcPr>
        <w:tcBorders>
          <w:top w:val="single" w:sz="8" w:space="0" w:color="D2D2D2" w:themeColor="accent2"/>
          <w:left w:val="single" w:sz="8" w:space="0" w:color="D2D2D2" w:themeColor="accent2"/>
          <w:bottom w:val="single" w:sz="8" w:space="0" w:color="D2D2D2" w:themeColor="accent2"/>
          <w:right w:val="single" w:sz="8" w:space="0" w:color="D2D2D2" w:themeColor="accent2"/>
          <w:insideV w:val="single" w:sz="8" w:space="0" w:color="D2D2D2" w:themeColor="accent2"/>
        </w:tcBorders>
        <w:shd w:val="clear" w:color="auto" w:fill="F3F3F3" w:themeFill="accent2" w:themeFillTint="3F"/>
      </w:tcPr>
    </w:tblStylePr>
    <w:tblStylePr w:type="band2Horz">
      <w:tblPr/>
      <w:tcPr>
        <w:tcBorders>
          <w:top w:val="single" w:sz="8" w:space="0" w:color="D2D2D2" w:themeColor="accent2"/>
          <w:left w:val="single" w:sz="8" w:space="0" w:color="D2D2D2" w:themeColor="accent2"/>
          <w:bottom w:val="single" w:sz="8" w:space="0" w:color="D2D2D2" w:themeColor="accent2"/>
          <w:right w:val="single" w:sz="8" w:space="0" w:color="D2D2D2" w:themeColor="accent2"/>
          <w:insideV w:val="single" w:sz="8" w:space="0" w:color="D2D2D2" w:themeColor="accent2"/>
        </w:tcBorders>
      </w:tcPr>
    </w:tblStylePr>
  </w:style>
  <w:style w:type="paragraph" w:customStyle="1" w:styleId="slovn5">
    <w:name w:val="Číslování 5"/>
    <w:basedOn w:val="slovn4"/>
    <w:link w:val="slovn5Char"/>
    <w:uiPriority w:val="5"/>
    <w:qFormat/>
    <w:rsid w:val="004D73F0"/>
    <w:pPr>
      <w:numPr>
        <w:ilvl w:val="4"/>
      </w:numPr>
    </w:pPr>
  </w:style>
  <w:style w:type="character" w:customStyle="1" w:styleId="slovn5Char">
    <w:name w:val="Číslování 5 Char"/>
    <w:basedOn w:val="slovn4Char"/>
    <w:link w:val="slovn5"/>
    <w:uiPriority w:val="5"/>
    <w:rsid w:val="004D73F0"/>
  </w:style>
  <w:style w:type="paragraph" w:customStyle="1" w:styleId="Odrky4">
    <w:name w:val="Odrážky 4"/>
    <w:basedOn w:val="Odrky3"/>
    <w:link w:val="Odrky4Char"/>
    <w:uiPriority w:val="5"/>
    <w:qFormat/>
    <w:rsid w:val="008053D8"/>
    <w:pPr>
      <w:numPr>
        <w:ilvl w:val="3"/>
      </w:numPr>
    </w:pPr>
  </w:style>
  <w:style w:type="character" w:customStyle="1" w:styleId="Odrky4Char">
    <w:name w:val="Odrážky 4 Char"/>
    <w:basedOn w:val="Odrky3Char"/>
    <w:link w:val="Odrky4"/>
    <w:uiPriority w:val="5"/>
    <w:rsid w:val="006D7FC5"/>
  </w:style>
  <w:style w:type="paragraph" w:customStyle="1" w:styleId="Odrky5">
    <w:name w:val="Odrážky 5"/>
    <w:basedOn w:val="Odrky4"/>
    <w:link w:val="Odrky5Char"/>
    <w:uiPriority w:val="5"/>
    <w:qFormat/>
    <w:rsid w:val="008053D8"/>
    <w:pPr>
      <w:numPr>
        <w:ilvl w:val="4"/>
      </w:numPr>
    </w:pPr>
  </w:style>
  <w:style w:type="character" w:customStyle="1" w:styleId="Odrky5Char">
    <w:name w:val="Odrážky 5 Char"/>
    <w:basedOn w:val="Odrky4Char"/>
    <w:link w:val="Odrky5"/>
    <w:uiPriority w:val="5"/>
    <w:rsid w:val="006D7FC5"/>
  </w:style>
  <w:style w:type="character" w:styleId="Siln">
    <w:name w:val="Strong"/>
    <w:aliases w:val="Tučné"/>
    <w:basedOn w:val="Standardnpsmoodstavce"/>
    <w:uiPriority w:val="22"/>
    <w:qFormat/>
    <w:rsid w:val="006D7FC5"/>
    <w:rPr>
      <w:b/>
      <w:bCs/>
    </w:rPr>
  </w:style>
  <w:style w:type="character" w:styleId="Zdraznn">
    <w:name w:val="Emphasis"/>
    <w:aliases w:val="Kurzíva"/>
    <w:basedOn w:val="Standardnpsmoodstavce"/>
    <w:uiPriority w:val="1"/>
    <w:qFormat/>
    <w:rsid w:val="006D7FC5"/>
    <w:rPr>
      <w:i/>
      <w:iCs/>
    </w:rPr>
  </w:style>
  <w:style w:type="table" w:styleId="Svtlmkazvraznn4">
    <w:name w:val="Light Grid Accent 4"/>
    <w:basedOn w:val="Normlntabulka"/>
    <w:uiPriority w:val="62"/>
    <w:rsid w:val="001819EE"/>
    <w:pPr>
      <w:spacing w:after="0" w:line="240" w:lineRule="auto"/>
    </w:pPr>
    <w:tblPr>
      <w:tblStyleRowBandSize w:val="1"/>
      <w:tblStyleColBandSize w:val="1"/>
      <w:tblBorders>
        <w:top w:val="single" w:sz="8" w:space="0" w:color="F5F5F5" w:themeColor="accent4"/>
        <w:left w:val="single" w:sz="8" w:space="0" w:color="F5F5F5" w:themeColor="accent4"/>
        <w:bottom w:val="single" w:sz="8" w:space="0" w:color="F5F5F5" w:themeColor="accent4"/>
        <w:right w:val="single" w:sz="8" w:space="0" w:color="F5F5F5" w:themeColor="accent4"/>
        <w:insideH w:val="single" w:sz="8" w:space="0" w:color="F5F5F5" w:themeColor="accent4"/>
        <w:insideV w:val="single" w:sz="8" w:space="0" w:color="F5F5F5" w:themeColor="accent4"/>
      </w:tblBorders>
      <w:tblCellMar>
        <w:left w:w="0" w:type="dxa"/>
        <w:right w:w="0"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5F5F5" w:themeColor="accent4"/>
          <w:left w:val="single" w:sz="8" w:space="0" w:color="F5F5F5" w:themeColor="accent4"/>
          <w:bottom w:val="single" w:sz="18" w:space="0" w:color="F5F5F5" w:themeColor="accent4"/>
          <w:right w:val="single" w:sz="8" w:space="0" w:color="F5F5F5" w:themeColor="accent4"/>
          <w:insideH w:val="nil"/>
          <w:insideV w:val="single" w:sz="8" w:space="0" w:color="F5F5F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F5F5" w:themeColor="accent4"/>
          <w:left w:val="single" w:sz="8" w:space="0" w:color="F5F5F5" w:themeColor="accent4"/>
          <w:bottom w:val="single" w:sz="8" w:space="0" w:color="F5F5F5" w:themeColor="accent4"/>
          <w:right w:val="single" w:sz="8" w:space="0" w:color="F5F5F5" w:themeColor="accent4"/>
          <w:insideH w:val="nil"/>
          <w:insideV w:val="single" w:sz="8" w:space="0" w:color="F5F5F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F5F5" w:themeColor="accent4"/>
          <w:left w:val="single" w:sz="8" w:space="0" w:color="F5F5F5" w:themeColor="accent4"/>
          <w:bottom w:val="single" w:sz="8" w:space="0" w:color="F5F5F5" w:themeColor="accent4"/>
          <w:right w:val="single" w:sz="8" w:space="0" w:color="F5F5F5" w:themeColor="accent4"/>
        </w:tcBorders>
      </w:tcPr>
    </w:tblStylePr>
    <w:tblStylePr w:type="band1Vert">
      <w:tblPr/>
      <w:tcPr>
        <w:tcBorders>
          <w:top w:val="single" w:sz="8" w:space="0" w:color="F5F5F5" w:themeColor="accent4"/>
          <w:left w:val="single" w:sz="8" w:space="0" w:color="F5F5F5" w:themeColor="accent4"/>
          <w:bottom w:val="single" w:sz="8" w:space="0" w:color="F5F5F5" w:themeColor="accent4"/>
          <w:right w:val="single" w:sz="8" w:space="0" w:color="F5F5F5" w:themeColor="accent4"/>
        </w:tcBorders>
        <w:shd w:val="clear" w:color="auto" w:fill="FCFCFC" w:themeFill="accent4" w:themeFillTint="3F"/>
      </w:tcPr>
    </w:tblStylePr>
    <w:tblStylePr w:type="band1Horz">
      <w:tblPr/>
      <w:tcPr>
        <w:tcBorders>
          <w:top w:val="single" w:sz="8" w:space="0" w:color="F5F5F5" w:themeColor="accent4"/>
          <w:left w:val="single" w:sz="8" w:space="0" w:color="F5F5F5" w:themeColor="accent4"/>
          <w:bottom w:val="single" w:sz="8" w:space="0" w:color="F5F5F5" w:themeColor="accent4"/>
          <w:right w:val="single" w:sz="8" w:space="0" w:color="F5F5F5" w:themeColor="accent4"/>
          <w:insideV w:val="single" w:sz="8" w:space="0" w:color="F5F5F5" w:themeColor="accent4"/>
        </w:tcBorders>
        <w:shd w:val="clear" w:color="auto" w:fill="FCFCFC" w:themeFill="accent4" w:themeFillTint="3F"/>
      </w:tcPr>
    </w:tblStylePr>
    <w:tblStylePr w:type="band2Horz">
      <w:tblPr/>
      <w:tcPr>
        <w:tcBorders>
          <w:top w:val="single" w:sz="8" w:space="0" w:color="F5F5F5" w:themeColor="accent4"/>
          <w:left w:val="single" w:sz="8" w:space="0" w:color="F5F5F5" w:themeColor="accent4"/>
          <w:bottom w:val="single" w:sz="8" w:space="0" w:color="F5F5F5" w:themeColor="accent4"/>
          <w:right w:val="single" w:sz="8" w:space="0" w:color="F5F5F5" w:themeColor="accent4"/>
          <w:insideV w:val="single" w:sz="8" w:space="0" w:color="F5F5F5" w:themeColor="accent4"/>
        </w:tcBorders>
      </w:tcPr>
    </w:tblStylePr>
  </w:style>
  <w:style w:type="paragraph" w:customStyle="1" w:styleId="Obrzek">
    <w:name w:val="Obrázek"/>
    <w:basedOn w:val="Normln"/>
    <w:next w:val="Normln"/>
    <w:link w:val="ObrzekChar"/>
    <w:uiPriority w:val="10"/>
    <w:qFormat/>
    <w:rsid w:val="00647088"/>
    <w:pPr>
      <w:keepNext/>
      <w:spacing w:after="110"/>
      <w:jc w:val="center"/>
    </w:pPr>
    <w:rPr>
      <w:noProof/>
      <w:lang w:eastAsia="cs-CZ"/>
    </w:rPr>
  </w:style>
  <w:style w:type="character" w:customStyle="1" w:styleId="ObrzekChar">
    <w:name w:val="Obrázek Char"/>
    <w:basedOn w:val="Standardnpsmoodstavce"/>
    <w:link w:val="Obrzek"/>
    <w:uiPriority w:val="10"/>
    <w:rsid w:val="00512C01"/>
    <w:rPr>
      <w:noProof/>
      <w:lang w:eastAsia="cs-CZ"/>
    </w:rPr>
  </w:style>
  <w:style w:type="paragraph" w:customStyle="1" w:styleId="Motto">
    <w:name w:val="Motto"/>
    <w:basedOn w:val="Normln"/>
    <w:link w:val="MottoChar"/>
    <w:uiPriority w:val="16"/>
    <w:qFormat/>
    <w:rsid w:val="00773D72"/>
    <w:pPr>
      <w:framePr w:wrap="around" w:vAnchor="page" w:hAnchor="page" w:x="710" w:y="4537"/>
      <w:spacing w:after="0"/>
      <w:suppressOverlap/>
    </w:pPr>
    <w:rPr>
      <w:b/>
      <w:sz w:val="32"/>
    </w:rPr>
  </w:style>
  <w:style w:type="character" w:customStyle="1" w:styleId="MottoChar">
    <w:name w:val="Motto Char"/>
    <w:basedOn w:val="Standardnpsmoodstavce"/>
    <w:link w:val="Motto"/>
    <w:uiPriority w:val="16"/>
    <w:rsid w:val="00773D72"/>
    <w:rPr>
      <w:b/>
      <w:color w:val="000000"/>
      <w:sz w:val="32"/>
    </w:rPr>
  </w:style>
  <w:style w:type="paragraph" w:customStyle="1" w:styleId="Zdroj">
    <w:name w:val="Zdroj"/>
    <w:basedOn w:val="Normln"/>
    <w:next w:val="Normln"/>
    <w:link w:val="ZdrojChar"/>
    <w:uiPriority w:val="9"/>
    <w:qFormat/>
    <w:rsid w:val="00C26A71"/>
    <w:pPr>
      <w:spacing w:before="110"/>
    </w:pPr>
    <w:rPr>
      <w:sz w:val="18"/>
    </w:rPr>
  </w:style>
  <w:style w:type="paragraph" w:customStyle="1" w:styleId="Zdrojobrzku">
    <w:name w:val="Zdroj obrázku"/>
    <w:basedOn w:val="Zdroj"/>
    <w:next w:val="Normln"/>
    <w:link w:val="ZdrojobrzkuChar"/>
    <w:uiPriority w:val="10"/>
    <w:qFormat/>
    <w:rsid w:val="00FC7F62"/>
    <w:pPr>
      <w:spacing w:before="60"/>
      <w:jc w:val="center"/>
    </w:pPr>
  </w:style>
  <w:style w:type="character" w:customStyle="1" w:styleId="ZdrojChar">
    <w:name w:val="Zdroj Char"/>
    <w:basedOn w:val="Standardnpsmoodstavce"/>
    <w:link w:val="Zdroj"/>
    <w:uiPriority w:val="9"/>
    <w:rsid w:val="00FC7F62"/>
    <w:rPr>
      <w:sz w:val="18"/>
    </w:rPr>
  </w:style>
  <w:style w:type="character" w:customStyle="1" w:styleId="ZdrojobrzkuChar">
    <w:name w:val="Zdroj obrázku Char"/>
    <w:basedOn w:val="ZdrojChar"/>
    <w:link w:val="Zdrojobrzku"/>
    <w:uiPriority w:val="10"/>
    <w:rsid w:val="00FC7F62"/>
    <w:rPr>
      <w:sz w:val="18"/>
    </w:rPr>
  </w:style>
  <w:style w:type="character" w:styleId="Sledovanodkaz">
    <w:name w:val="FollowedHyperlink"/>
    <w:basedOn w:val="Standardnpsmoodstavce"/>
    <w:uiPriority w:val="99"/>
    <w:semiHidden/>
    <w:unhideWhenUsed/>
    <w:rsid w:val="002A326C"/>
    <w:rPr>
      <w:color w:val="505050" w:themeColor="followedHyperlink"/>
      <w:u w:val="single"/>
    </w:rPr>
  </w:style>
  <w:style w:type="character" w:styleId="Odkaznakoment">
    <w:name w:val="annotation reference"/>
    <w:basedOn w:val="Standardnpsmoodstavce"/>
    <w:uiPriority w:val="99"/>
    <w:semiHidden/>
    <w:unhideWhenUsed/>
    <w:rsid w:val="00785489"/>
    <w:rPr>
      <w:sz w:val="16"/>
      <w:szCs w:val="16"/>
    </w:rPr>
  </w:style>
  <w:style w:type="paragraph" w:styleId="Textkomente">
    <w:name w:val="annotation text"/>
    <w:basedOn w:val="Normln"/>
    <w:link w:val="TextkomenteChar"/>
    <w:uiPriority w:val="99"/>
    <w:semiHidden/>
    <w:unhideWhenUsed/>
    <w:rsid w:val="00785489"/>
    <w:rPr>
      <w:sz w:val="20"/>
      <w:szCs w:val="20"/>
    </w:rPr>
  </w:style>
  <w:style w:type="character" w:customStyle="1" w:styleId="TextkomenteChar">
    <w:name w:val="Text komentáře Char"/>
    <w:basedOn w:val="Standardnpsmoodstavce"/>
    <w:link w:val="Textkomente"/>
    <w:uiPriority w:val="99"/>
    <w:semiHidden/>
    <w:rsid w:val="00785489"/>
    <w:rPr>
      <w:color w:val="000000"/>
      <w:sz w:val="20"/>
      <w:szCs w:val="20"/>
    </w:rPr>
  </w:style>
  <w:style w:type="paragraph" w:styleId="Pedmtkomente">
    <w:name w:val="annotation subject"/>
    <w:basedOn w:val="Textkomente"/>
    <w:next w:val="Textkomente"/>
    <w:link w:val="PedmtkomenteChar"/>
    <w:uiPriority w:val="99"/>
    <w:semiHidden/>
    <w:unhideWhenUsed/>
    <w:rsid w:val="00785489"/>
    <w:rPr>
      <w:b/>
      <w:bCs/>
    </w:rPr>
  </w:style>
  <w:style w:type="character" w:customStyle="1" w:styleId="PedmtkomenteChar">
    <w:name w:val="Předmět komentáře Char"/>
    <w:basedOn w:val="TextkomenteChar"/>
    <w:link w:val="Pedmtkomente"/>
    <w:uiPriority w:val="99"/>
    <w:semiHidden/>
    <w:rsid w:val="00785489"/>
    <w:rPr>
      <w:b/>
      <w:bCs/>
      <w:color w:val="000000"/>
      <w:sz w:val="20"/>
      <w:szCs w:val="20"/>
    </w:rPr>
  </w:style>
  <w:style w:type="character" w:styleId="Nevyeenzmnka">
    <w:name w:val="Unresolved Mention"/>
    <w:basedOn w:val="Standardnpsmoodstavce"/>
    <w:uiPriority w:val="99"/>
    <w:semiHidden/>
    <w:unhideWhenUsed/>
    <w:rsid w:val="009577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36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vstevypotme.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Šedá">
      <a:dk1>
        <a:srgbClr val="000000"/>
      </a:dk1>
      <a:lt1>
        <a:sysClr val="window" lastClr="FFFFFF"/>
      </a:lt1>
      <a:dk2>
        <a:srgbClr val="000000"/>
      </a:dk2>
      <a:lt2>
        <a:srgbClr val="F8F8F8"/>
      </a:lt2>
      <a:accent1>
        <a:srgbClr val="505050"/>
      </a:accent1>
      <a:accent2>
        <a:srgbClr val="D2D2D2"/>
      </a:accent2>
      <a:accent3>
        <a:srgbClr val="6E6E6E"/>
      </a:accent3>
      <a:accent4>
        <a:srgbClr val="F5F5F5"/>
      </a:accent4>
      <a:accent5>
        <a:srgbClr val="7F7F7F"/>
      </a:accent5>
      <a:accent6>
        <a:srgbClr val="FFFFFF"/>
      </a:accent6>
      <a:hlink>
        <a:srgbClr val="505050"/>
      </a:hlink>
      <a:folHlink>
        <a:srgbClr val="50505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W:\MONITORING_A_REPORTING\ZPRÁVY_VÝROČNÍ\2016_VZ_OPZ\VZ_OPZ_FINAL\schválená MV OPZ\Přílohy VZOPZ\Příloha1_VZOPZ2016_Prioritní_osy.docx</AC_OriginalFileNam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7" ma:contentTypeDescription="Vytvoří nový dokument" ma:contentTypeScope="" ma:versionID="f6f03f5b008ce72686bbcf691a7be2e8">
  <xsd:schema xmlns:xsd="http://www.w3.org/2001/XMLSchema" xmlns:xs="http://www.w3.org/2001/XMLSchema" xmlns:p="http://schemas.microsoft.com/office/2006/metadata/properties" xmlns:ns2="dfed548f-0517-4d39-90e3-3947398480c0" targetNamespace="http://schemas.microsoft.com/office/2006/metadata/properties" ma:root="true" ma:fieldsID="a9a9eb159e242e6dec8d2b5b6c497589"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E3E266-8248-406E-93E9-FE1FADFAC66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ed548f-0517-4d39-90e3-3947398480c0"/>
    <ds:schemaRef ds:uri="http://www.w3.org/XML/1998/namespace"/>
    <ds:schemaRef ds:uri="http://purl.org/dc/dcmitype/"/>
  </ds:schemaRefs>
</ds:datastoreItem>
</file>

<file path=customXml/itemProps2.xml><?xml version="1.0" encoding="utf-8"?>
<ds:datastoreItem xmlns:ds="http://schemas.openxmlformats.org/officeDocument/2006/customXml" ds:itemID="{1468FBC6-0878-44DA-9198-3CCA01A0E86E}">
  <ds:schemaRefs>
    <ds:schemaRef ds:uri="http://schemas.openxmlformats.org/officeDocument/2006/bibliography"/>
  </ds:schemaRefs>
</ds:datastoreItem>
</file>

<file path=customXml/itemProps3.xml><?xml version="1.0" encoding="utf-8"?>
<ds:datastoreItem xmlns:ds="http://schemas.openxmlformats.org/officeDocument/2006/customXml" ds:itemID="{D5DAC979-15D2-4337-BB71-89F589C5637A}">
  <ds:schemaRefs>
    <ds:schemaRef ds:uri="http://schemas.microsoft.com/sharepoint/v3/contenttype/forms"/>
  </ds:schemaRefs>
</ds:datastoreItem>
</file>

<file path=customXml/itemProps4.xml><?xml version="1.0" encoding="utf-8"?>
<ds:datastoreItem xmlns:ds="http://schemas.openxmlformats.org/officeDocument/2006/customXml" ds:itemID="{94BE1B8E-7146-4D14-A528-93800B965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2680</TotalTime>
  <Pages>9</Pages>
  <Words>3921</Words>
  <Characters>23140</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Blažejová Markéta (MPSV)</dc:creator>
  <cp:lastModifiedBy>Hrnčárová Marie Mgr. (MPSV)</cp:lastModifiedBy>
  <cp:revision>12</cp:revision>
  <cp:lastPrinted>2016-05-24T08:30:00Z</cp:lastPrinted>
  <dcterms:created xsi:type="dcterms:W3CDTF">2021-03-03T08:11:00Z</dcterms:created>
  <dcterms:modified xsi:type="dcterms:W3CDTF">2021-04-06T09:40:00Z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