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016E6D" w14:textId="6A7EF051" w:rsidR="000C18AE" w:rsidRPr="000C18AE" w:rsidRDefault="0028614A" w:rsidP="000C18AE">
      <w:pPr>
        <w:tabs>
          <w:tab w:val="left" w:pos="2235"/>
        </w:tabs>
        <w:spacing w:before="120" w:after="120" w:line="312" w:lineRule="auto"/>
        <w:ind w:left="2238" w:right="105" w:hanging="2127"/>
        <w:jc w:val="both"/>
        <w:rPr>
          <w:rFonts w:ascii="Arial" w:eastAsia="Arial" w:hAnsi="Arial" w:cs="Arial"/>
          <w:b/>
          <w:bCs/>
          <w:color w:val="000000"/>
          <w:sz w:val="20"/>
          <w:lang w:val="cs-CZ"/>
        </w:rPr>
      </w:pPr>
      <w:r w:rsidRPr="000C18AE"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28D0F21" wp14:editId="22D64C23">
                <wp:simplePos x="0" y="0"/>
                <wp:positionH relativeFrom="page">
                  <wp:align>left</wp:align>
                </wp:positionH>
                <wp:positionV relativeFrom="page">
                  <wp:align>bottom</wp:align>
                </wp:positionV>
                <wp:extent cx="7560310" cy="13584327"/>
                <wp:effectExtent l="0" t="0" r="2540" b="0"/>
                <wp:wrapNone/>
                <wp:docPr id="65" name="Obdélník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10" cy="13584327"/>
                        </a:xfrm>
                        <a:prstGeom prst="rect">
                          <a:avLst/>
                        </a:prstGeom>
                        <a:solidFill>
                          <a:srgbClr val="AFDDFA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9BC6340" w14:textId="77777777" w:rsidR="00CC637D" w:rsidRDefault="00CC637D" w:rsidP="000C18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8D0F21" id="Obdélník 65" o:spid="_x0000_s1026" style="position:absolute;left:0;text-align:left;margin-left:0;margin-top:0;width:595.3pt;height:1069.65pt;z-index:-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" fillcolor="#afddfa" stroked="f" strokeweight="2pt">
                <v:textbox>
                  <w:txbxContent>
                    <w:p w14:paraId="09BC6340" w14:textId="77777777" w:rsidR="00CC637D" w:rsidRDefault="00CC637D" w:rsidP="000C18AE"/>
                  </w:txbxContent>
                </v:textbox>
                <w10:wrap anchorx="page" anchory="page"/>
              </v:rect>
            </w:pict>
          </mc:Fallback>
        </mc:AlternateContent>
      </w:r>
      <w:r w:rsidR="000C18AE" w:rsidRPr="000C18AE">
        <w:rPr>
          <w:noProof/>
          <w:lang w:val="cs-CZ" w:eastAsia="cs-CZ"/>
        </w:rPr>
        <w:drawing>
          <wp:anchor distT="0" distB="0" distL="114300" distR="114300" simplePos="0" relativeHeight="251658241" behindDoc="0" locked="0" layoutInCell="1" allowOverlap="1" wp14:anchorId="4BB866D8" wp14:editId="02D00B77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2343150"/>
            <wp:effectExtent l="0" t="0" r="254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603" cy="234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18AE" w:rsidRPr="000C18AE">
        <w:rPr>
          <w:rFonts w:ascii="Arial" w:eastAsia="Arial" w:hAnsi="Arial" w:cs="Arial"/>
          <w:b/>
          <w:bCs/>
          <w:color w:val="000000"/>
          <w:sz w:val="20"/>
          <w:lang w:val="cs-CZ"/>
        </w:rPr>
        <w:t>82</w:t>
      </w:r>
    </w:p>
    <w:p w14:paraId="60F63B04" w14:textId="77777777" w:rsidR="000C18AE" w:rsidRPr="000C18AE" w:rsidRDefault="000C18AE" w:rsidP="000C18AE">
      <w:pPr>
        <w:tabs>
          <w:tab w:val="left" w:pos="2235"/>
        </w:tabs>
        <w:spacing w:before="120" w:after="120" w:line="312" w:lineRule="auto"/>
        <w:ind w:left="2238" w:right="105" w:hanging="2127"/>
        <w:jc w:val="both"/>
        <w:rPr>
          <w:rFonts w:ascii="Arial" w:eastAsia="Arial" w:hAnsi="Arial" w:cs="Arial"/>
          <w:b/>
          <w:bCs/>
          <w:color w:val="000000"/>
          <w:sz w:val="20"/>
          <w:lang w:val="cs-CZ"/>
        </w:rPr>
      </w:pPr>
    </w:p>
    <w:p w14:paraId="6142E61D" w14:textId="77777777" w:rsidR="000C18AE" w:rsidRPr="000C18AE" w:rsidRDefault="000C18AE" w:rsidP="000C18AE">
      <w:pPr>
        <w:pBdr>
          <w:bottom w:val="single" w:sz="8" w:space="4" w:color="4F81BD" w:themeColor="accent1"/>
        </w:pBdr>
        <w:spacing w:after="300"/>
        <w:contextualSpacing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  <w:lang w:val="cs-CZ" w:eastAsia="en-US"/>
        </w:rPr>
      </w:pPr>
    </w:p>
    <w:p w14:paraId="5E82C252" w14:textId="77777777" w:rsidR="000C18AE" w:rsidRPr="000C18AE" w:rsidRDefault="000C18AE" w:rsidP="000C18AE">
      <w:pPr>
        <w:spacing w:before="120" w:after="120" w:line="312" w:lineRule="auto"/>
        <w:jc w:val="both"/>
        <w:rPr>
          <w:noProof/>
          <w:lang w:val="cs-CZ"/>
        </w:rPr>
      </w:pPr>
    </w:p>
    <w:tbl>
      <w:tblPr>
        <w:tblpPr w:vertAnchor="page" w:horzAnchor="page" w:tblpX="710" w:tblpY="4537"/>
        <w:tblOverlap w:val="never"/>
        <w:tblW w:w="10614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751"/>
        <w:gridCol w:w="7863"/>
      </w:tblGrid>
      <w:tr w:rsidR="000C18AE" w:rsidRPr="000C18AE" w14:paraId="4CCFDCAB" w14:textId="77777777" w:rsidTr="00FD6AEA">
        <w:trPr>
          <w:trHeight w:hRule="exact" w:val="9696"/>
        </w:trPr>
        <w:tc>
          <w:tcPr>
            <w:tcW w:w="10614" w:type="dxa"/>
            <w:gridSpan w:val="2"/>
            <w:shd w:val="clear" w:color="auto" w:fill="auto"/>
          </w:tcPr>
          <w:p w14:paraId="5965B12F" w14:textId="77777777" w:rsidR="000C18AE" w:rsidRPr="000C18AE" w:rsidRDefault="000C18AE" w:rsidP="000C18AE">
            <w:pPr>
              <w:spacing w:line="312" w:lineRule="auto"/>
              <w:contextualSpacing/>
              <w:rPr>
                <w:rFonts w:ascii="Arial" w:eastAsia="Arial" w:hAnsi="Arial" w:cs="Arial"/>
                <w:b/>
                <w:caps/>
                <w:color w:val="084A8B"/>
                <w:kern w:val="28"/>
                <w:sz w:val="64"/>
                <w:szCs w:val="52"/>
                <w:lang w:val="cs-CZ"/>
              </w:rPr>
            </w:pPr>
            <w:r w:rsidRPr="000C18AE">
              <w:rPr>
                <w:rFonts w:ascii="Arial" w:eastAsia="Arial" w:hAnsi="Arial" w:cs="Arial"/>
                <w:b/>
                <w:caps/>
                <w:color w:val="084A8B"/>
                <w:kern w:val="28"/>
                <w:sz w:val="64"/>
                <w:szCs w:val="52"/>
                <w:lang w:val="cs-CZ"/>
              </w:rPr>
              <w:t xml:space="preserve">Výroční zpráva </w:t>
            </w:r>
          </w:p>
          <w:p w14:paraId="2D4B3968" w14:textId="01759DE9" w:rsidR="000C18AE" w:rsidRPr="000C18AE" w:rsidRDefault="000C18AE" w:rsidP="000C18AE">
            <w:pPr>
              <w:spacing w:line="312" w:lineRule="auto"/>
              <w:contextualSpacing/>
              <w:rPr>
                <w:rFonts w:ascii="Arial" w:eastAsia="Arial" w:hAnsi="Arial" w:cs="Arial"/>
                <w:b/>
                <w:caps/>
                <w:color w:val="084A8B"/>
                <w:kern w:val="28"/>
                <w:sz w:val="64"/>
                <w:szCs w:val="52"/>
                <w:lang w:val="cs-CZ"/>
              </w:rPr>
            </w:pPr>
            <w:r w:rsidRPr="000C18AE">
              <w:rPr>
                <w:rFonts w:ascii="Arial" w:eastAsia="Arial" w:hAnsi="Arial" w:cs="Arial"/>
                <w:b/>
                <w:caps/>
                <w:color w:val="084A8B"/>
                <w:kern w:val="28"/>
                <w:sz w:val="64"/>
                <w:szCs w:val="52"/>
                <w:lang w:val="cs-CZ"/>
              </w:rPr>
              <w:t>o implementaci p</w:t>
            </w:r>
            <w:r w:rsidR="00473C57">
              <w:rPr>
                <w:rFonts w:ascii="Arial" w:eastAsia="Arial" w:hAnsi="Arial" w:cs="Arial"/>
                <w:b/>
                <w:caps/>
                <w:color w:val="084A8B"/>
                <w:kern w:val="28"/>
                <w:sz w:val="64"/>
                <w:szCs w:val="52"/>
                <w:lang w:val="cs-CZ"/>
              </w:rPr>
              <w:t>rogramu Zaměstnanost za rok 20</w:t>
            </w:r>
            <w:r w:rsidR="002356E8">
              <w:rPr>
                <w:rFonts w:ascii="Arial" w:eastAsia="Arial" w:hAnsi="Arial" w:cs="Arial"/>
                <w:b/>
                <w:caps/>
                <w:color w:val="084A8B"/>
                <w:kern w:val="28"/>
                <w:sz w:val="64"/>
                <w:szCs w:val="52"/>
                <w:lang w:val="cs-CZ"/>
              </w:rPr>
              <w:t>20</w:t>
            </w:r>
            <w:r w:rsidRPr="000C18AE">
              <w:rPr>
                <w:rFonts w:ascii="Arial" w:eastAsia="Arial" w:hAnsi="Arial" w:cs="Arial"/>
                <w:b/>
                <w:caps/>
                <w:color w:val="084A8B"/>
                <w:kern w:val="28"/>
                <w:sz w:val="64"/>
                <w:szCs w:val="52"/>
                <w:lang w:val="cs-CZ"/>
              </w:rPr>
              <w:t xml:space="preserve"> </w:t>
            </w:r>
          </w:p>
          <w:p w14:paraId="39E622BF" w14:textId="77777777" w:rsidR="000C18AE" w:rsidRPr="000C18AE" w:rsidRDefault="000C18AE" w:rsidP="000C18AE">
            <w:pPr>
              <w:spacing w:line="312" w:lineRule="auto"/>
              <w:contextualSpacing/>
              <w:rPr>
                <w:rFonts w:ascii="Arial" w:eastAsia="Arial" w:hAnsi="Arial"/>
                <w:caps/>
                <w:color w:val="084A8B"/>
                <w:kern w:val="28"/>
                <w:sz w:val="64"/>
                <w:szCs w:val="52"/>
                <w:lang w:val="cs-CZ"/>
              </w:rPr>
            </w:pPr>
          </w:p>
        </w:tc>
      </w:tr>
      <w:tr w:rsidR="000C18AE" w:rsidRPr="000C18AE" w14:paraId="2B66178B" w14:textId="77777777" w:rsidTr="00FD6AEA">
        <w:trPr>
          <w:trHeight w:hRule="exact" w:val="340"/>
        </w:trPr>
        <w:tc>
          <w:tcPr>
            <w:tcW w:w="2751" w:type="dxa"/>
            <w:shd w:val="clear" w:color="auto" w:fill="auto"/>
            <w:vAlign w:val="center"/>
          </w:tcPr>
          <w:p w14:paraId="5D515972" w14:textId="77777777" w:rsidR="000C18AE" w:rsidRPr="000C18AE" w:rsidRDefault="000C18AE" w:rsidP="000C18AE">
            <w:pPr>
              <w:rPr>
                <w:rFonts w:ascii="Arial" w:eastAsia="Arial" w:hAnsi="Arial"/>
                <w:color w:val="002060"/>
                <w:lang w:val="cs-CZ"/>
              </w:rPr>
            </w:pPr>
            <w:r w:rsidRPr="000C18AE">
              <w:rPr>
                <w:rFonts w:ascii="Arial" w:eastAsia="Arial" w:hAnsi="Arial"/>
                <w:color w:val="002060"/>
                <w:lang w:val="cs-CZ"/>
              </w:rPr>
              <w:t xml:space="preserve">Typ dokumentu: </w:t>
            </w:r>
          </w:p>
        </w:tc>
        <w:tc>
          <w:tcPr>
            <w:tcW w:w="7863" w:type="dxa"/>
            <w:shd w:val="clear" w:color="auto" w:fill="auto"/>
            <w:vAlign w:val="center"/>
          </w:tcPr>
          <w:p w14:paraId="14E155A4" w14:textId="4581566E" w:rsidR="000C18AE" w:rsidRPr="000C18AE" w:rsidRDefault="001902A4" w:rsidP="000C18AE">
            <w:pPr>
              <w:rPr>
                <w:rFonts w:ascii="Arial" w:eastAsia="Arial" w:hAnsi="Arial"/>
                <w:color w:val="002060"/>
                <w:lang w:val="cs-CZ"/>
              </w:rPr>
            </w:pPr>
            <w:r>
              <w:rPr>
                <w:rFonts w:ascii="Arial" w:eastAsia="Arial" w:hAnsi="Arial"/>
                <w:color w:val="002060"/>
                <w:lang w:val="cs-CZ"/>
              </w:rPr>
              <w:t>Schválená</w:t>
            </w:r>
            <w:r w:rsidR="00F374B6">
              <w:rPr>
                <w:rFonts w:ascii="Arial" w:eastAsia="Arial" w:hAnsi="Arial"/>
                <w:color w:val="002060"/>
                <w:lang w:val="cs-CZ"/>
              </w:rPr>
              <w:t xml:space="preserve"> MV OPZ</w:t>
            </w:r>
          </w:p>
          <w:p w14:paraId="239F2549" w14:textId="77777777" w:rsidR="000C18AE" w:rsidRPr="000C18AE" w:rsidRDefault="000C18AE" w:rsidP="000C18AE">
            <w:pPr>
              <w:rPr>
                <w:rFonts w:ascii="Arial" w:eastAsia="Arial" w:hAnsi="Arial"/>
                <w:color w:val="002060"/>
                <w:lang w:val="cs-CZ"/>
              </w:rPr>
            </w:pPr>
          </w:p>
        </w:tc>
      </w:tr>
      <w:tr w:rsidR="000C18AE" w:rsidRPr="000C18AE" w14:paraId="242F8BE6" w14:textId="77777777" w:rsidTr="00FD6AEA">
        <w:trPr>
          <w:trHeight w:hRule="exact" w:val="340"/>
        </w:trPr>
        <w:tc>
          <w:tcPr>
            <w:tcW w:w="2751" w:type="dxa"/>
            <w:shd w:val="clear" w:color="auto" w:fill="auto"/>
            <w:vAlign w:val="center"/>
          </w:tcPr>
          <w:p w14:paraId="06A207EA" w14:textId="77777777" w:rsidR="000C18AE" w:rsidRPr="000C18AE" w:rsidRDefault="000C18AE" w:rsidP="000C18AE">
            <w:pPr>
              <w:rPr>
                <w:rFonts w:ascii="Arial" w:eastAsia="Arial" w:hAnsi="Arial"/>
                <w:color w:val="002060"/>
                <w:lang w:val="cs-CZ"/>
              </w:rPr>
            </w:pPr>
            <w:r w:rsidRPr="000C18AE">
              <w:rPr>
                <w:rFonts w:ascii="Arial" w:eastAsia="Arial" w:hAnsi="Arial"/>
                <w:color w:val="002060"/>
                <w:lang w:val="cs-CZ"/>
              </w:rPr>
              <w:t>Sledované období:</w:t>
            </w:r>
          </w:p>
        </w:tc>
        <w:tc>
          <w:tcPr>
            <w:tcW w:w="7863" w:type="dxa"/>
            <w:shd w:val="clear" w:color="auto" w:fill="auto"/>
            <w:vAlign w:val="center"/>
          </w:tcPr>
          <w:p w14:paraId="11165C60" w14:textId="72C5F584" w:rsidR="000C18AE" w:rsidRDefault="00473C57" w:rsidP="000C18AE">
            <w:pPr>
              <w:rPr>
                <w:rFonts w:ascii="Arial" w:eastAsia="Arial" w:hAnsi="Arial"/>
                <w:color w:val="002060"/>
                <w:lang w:val="cs-CZ"/>
              </w:rPr>
            </w:pPr>
            <w:r>
              <w:rPr>
                <w:rFonts w:ascii="Arial" w:eastAsia="Arial" w:hAnsi="Arial"/>
                <w:color w:val="002060"/>
                <w:lang w:val="cs-CZ"/>
              </w:rPr>
              <w:t>1. 1. 2014 – 31. 12. 20</w:t>
            </w:r>
            <w:r w:rsidR="002356E8">
              <w:rPr>
                <w:rFonts w:ascii="Arial" w:eastAsia="Arial" w:hAnsi="Arial"/>
                <w:color w:val="002060"/>
                <w:lang w:val="cs-CZ"/>
              </w:rPr>
              <w:t>20</w:t>
            </w:r>
          </w:p>
          <w:p w14:paraId="1C4EC8FB" w14:textId="77777777" w:rsidR="00821ED8" w:rsidRPr="000C18AE" w:rsidRDefault="00821ED8" w:rsidP="000C18AE">
            <w:pPr>
              <w:rPr>
                <w:rFonts w:ascii="Arial" w:eastAsia="Arial" w:hAnsi="Arial"/>
                <w:color w:val="002060"/>
                <w:lang w:val="cs-CZ"/>
              </w:rPr>
            </w:pPr>
          </w:p>
          <w:p w14:paraId="21E2837A" w14:textId="77777777" w:rsidR="000C18AE" w:rsidRPr="000C18AE" w:rsidRDefault="000C18AE" w:rsidP="000C18AE">
            <w:pPr>
              <w:rPr>
                <w:rFonts w:ascii="Arial" w:eastAsia="Arial" w:hAnsi="Arial"/>
                <w:color w:val="002060"/>
                <w:lang w:val="cs-CZ"/>
              </w:rPr>
            </w:pPr>
          </w:p>
          <w:p w14:paraId="09DAA66E" w14:textId="77777777" w:rsidR="000C18AE" w:rsidRPr="000C18AE" w:rsidRDefault="000C18AE" w:rsidP="000C18AE">
            <w:pPr>
              <w:rPr>
                <w:rFonts w:ascii="Arial" w:eastAsia="Arial" w:hAnsi="Arial"/>
                <w:color w:val="002060"/>
                <w:lang w:val="cs-CZ"/>
              </w:rPr>
            </w:pPr>
          </w:p>
        </w:tc>
      </w:tr>
      <w:tr w:rsidR="000C18AE" w:rsidRPr="000C18AE" w14:paraId="44F2A5EC" w14:textId="77777777" w:rsidTr="00FD6AEA">
        <w:trPr>
          <w:trHeight w:hRule="exact" w:val="340"/>
        </w:trPr>
        <w:tc>
          <w:tcPr>
            <w:tcW w:w="2751" w:type="dxa"/>
            <w:shd w:val="clear" w:color="auto" w:fill="auto"/>
            <w:vAlign w:val="center"/>
          </w:tcPr>
          <w:p w14:paraId="4F16CA66" w14:textId="77777777" w:rsidR="000C18AE" w:rsidRPr="000C18AE" w:rsidRDefault="000C18AE" w:rsidP="000C18AE">
            <w:pPr>
              <w:rPr>
                <w:rFonts w:ascii="Arial" w:hAnsi="Arial" w:cs="Arial"/>
                <w:color w:val="002060"/>
                <w:lang w:val="cs-CZ"/>
              </w:rPr>
            </w:pPr>
            <w:r w:rsidRPr="000C18AE">
              <w:rPr>
                <w:rFonts w:ascii="Arial" w:hAnsi="Arial" w:cs="Arial"/>
                <w:color w:val="002060"/>
                <w:lang w:val="cs-CZ"/>
              </w:rPr>
              <w:t>Počet stran</w:t>
            </w:r>
          </w:p>
        </w:tc>
        <w:tc>
          <w:tcPr>
            <w:tcW w:w="7863" w:type="dxa"/>
            <w:shd w:val="clear" w:color="auto" w:fill="auto"/>
            <w:vAlign w:val="center"/>
          </w:tcPr>
          <w:p w14:paraId="385F8EB6" w14:textId="1E59FC96" w:rsidR="000C18AE" w:rsidRPr="000C18AE" w:rsidRDefault="00602F0C" w:rsidP="00B45844">
            <w:pPr>
              <w:rPr>
                <w:rFonts w:ascii="Arial" w:hAnsi="Arial" w:cs="Arial"/>
                <w:color w:val="002060"/>
                <w:lang w:val="cs-CZ"/>
              </w:rPr>
            </w:pPr>
            <w:r>
              <w:rPr>
                <w:rFonts w:ascii="Arial" w:hAnsi="Arial" w:cs="Arial"/>
                <w:color w:val="002060"/>
                <w:lang w:val="cs-CZ"/>
              </w:rPr>
              <w:t>82</w:t>
            </w:r>
          </w:p>
        </w:tc>
      </w:tr>
    </w:tbl>
    <w:p w14:paraId="385C65C1" w14:textId="652C2B1D" w:rsidR="000C18AE" w:rsidRPr="000C18AE" w:rsidRDefault="000C18AE" w:rsidP="000C18AE">
      <w:pPr>
        <w:spacing w:before="120" w:after="120" w:line="312" w:lineRule="auto"/>
        <w:jc w:val="both"/>
        <w:rPr>
          <w:rFonts w:ascii="Arial" w:eastAsia="Times New Roman" w:hAnsi="Arial"/>
          <w:b/>
          <w:sz w:val="20"/>
          <w:szCs w:val="20"/>
          <w:lang w:val="cs-CZ" w:bidi="en-US"/>
        </w:rPr>
        <w:sectPr w:rsidR="000C18AE" w:rsidRPr="000C18AE" w:rsidSect="00FD6AE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134" w:right="1531" w:bottom="1021" w:left="1531" w:header="601" w:footer="680" w:gutter="0"/>
          <w:cols w:space="720"/>
          <w:titlePg/>
          <w:docGrid w:linePitch="326"/>
        </w:sectPr>
      </w:pPr>
    </w:p>
    <w:p w14:paraId="1DD01BE5" w14:textId="2269B665" w:rsidR="000C18AE" w:rsidRDefault="000C18AE">
      <w:pPr>
        <w:rPr>
          <w:rFonts w:ascii="Arial" w:eastAsia="Arial" w:hAnsi="Arial" w:cs="Arial"/>
          <w:b/>
          <w:bCs/>
          <w:color w:val="000000"/>
          <w:sz w:val="20"/>
        </w:rPr>
      </w:pPr>
    </w:p>
    <w:p w14:paraId="37E5A760" w14:textId="247F4B17" w:rsidR="00A2351A" w:rsidRDefault="002D5C25">
      <w:pPr>
        <w:tabs>
          <w:tab w:val="left" w:pos="2235"/>
        </w:tabs>
        <w:spacing w:before="120" w:after="120" w:line="312" w:lineRule="auto"/>
        <w:ind w:left="2238" w:right="105" w:hanging="2127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>
        <w:rPr>
          <w:rFonts w:ascii="Arial" w:eastAsia="Arial" w:hAnsi="Arial" w:cs="Arial"/>
          <w:b/>
          <w:bCs/>
          <w:color w:val="000000"/>
          <w:sz w:val="20"/>
        </w:rPr>
        <w:t>Název</w:t>
      </w:r>
      <w:proofErr w:type="spellEnd"/>
      <w:r>
        <w:rPr>
          <w:rFonts w:ascii="Arial" w:eastAsia="Arial" w:hAnsi="Arial" w:cs="Arial"/>
          <w:b/>
          <w:b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000000"/>
          <w:sz w:val="20"/>
        </w:rPr>
        <w:t>dokumentu</w:t>
      </w:r>
      <w:proofErr w:type="spellEnd"/>
      <w:r>
        <w:rPr>
          <w:rFonts w:ascii="Calibri" w:eastAsia="Calibri" w:hAnsi="Calibri" w:cs="Calibri"/>
          <w:color w:val="000000"/>
          <w:sz w:val="20"/>
        </w:rPr>
        <w:tab/>
      </w:r>
      <w:proofErr w:type="spellStart"/>
      <w:r>
        <w:rPr>
          <w:rFonts w:ascii="Arial" w:eastAsia="Arial" w:hAnsi="Arial" w:cs="Arial"/>
          <w:color w:val="000000"/>
          <w:sz w:val="20"/>
        </w:rPr>
        <w:t>Výroční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zpráva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o </w:t>
      </w:r>
      <w:proofErr w:type="spellStart"/>
      <w:r>
        <w:rPr>
          <w:rFonts w:ascii="Arial" w:eastAsia="Arial" w:hAnsi="Arial" w:cs="Arial"/>
          <w:color w:val="000000"/>
          <w:sz w:val="20"/>
        </w:rPr>
        <w:t>i</w:t>
      </w:r>
      <w:r w:rsidR="00473C57">
        <w:rPr>
          <w:rFonts w:ascii="Arial" w:eastAsia="Arial" w:hAnsi="Arial" w:cs="Arial"/>
          <w:color w:val="000000"/>
          <w:sz w:val="20"/>
        </w:rPr>
        <w:t>mplementaci</w:t>
      </w:r>
      <w:proofErr w:type="spellEnd"/>
      <w:r w:rsidR="00473C57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="00473C57">
        <w:rPr>
          <w:rFonts w:ascii="Arial" w:eastAsia="Arial" w:hAnsi="Arial" w:cs="Arial"/>
          <w:color w:val="000000"/>
          <w:sz w:val="20"/>
        </w:rPr>
        <w:t>programu</w:t>
      </w:r>
      <w:proofErr w:type="spellEnd"/>
      <w:r w:rsidR="00473C57">
        <w:rPr>
          <w:rFonts w:ascii="Arial" w:eastAsia="Arial" w:hAnsi="Arial" w:cs="Arial"/>
          <w:color w:val="000000"/>
          <w:sz w:val="20"/>
        </w:rPr>
        <w:t xml:space="preserve"> za </w:t>
      </w:r>
      <w:proofErr w:type="spellStart"/>
      <w:r w:rsidR="00473C57">
        <w:rPr>
          <w:rFonts w:ascii="Arial" w:eastAsia="Arial" w:hAnsi="Arial" w:cs="Arial"/>
          <w:color w:val="000000"/>
          <w:sz w:val="20"/>
        </w:rPr>
        <w:t>rok</w:t>
      </w:r>
      <w:proofErr w:type="spellEnd"/>
      <w:r w:rsidR="00473C57">
        <w:rPr>
          <w:rFonts w:ascii="Arial" w:eastAsia="Arial" w:hAnsi="Arial" w:cs="Arial"/>
          <w:color w:val="000000"/>
          <w:sz w:val="20"/>
        </w:rPr>
        <w:t xml:space="preserve"> 20</w:t>
      </w:r>
      <w:r w:rsidR="002356E8">
        <w:rPr>
          <w:rFonts w:ascii="Arial" w:eastAsia="Arial" w:hAnsi="Arial" w:cs="Arial"/>
          <w:color w:val="000000"/>
          <w:sz w:val="20"/>
        </w:rPr>
        <w:t>20</w:t>
      </w:r>
    </w:p>
    <w:p w14:paraId="0052D164" w14:textId="1B215388" w:rsidR="00A2351A" w:rsidRDefault="002D5C25">
      <w:pPr>
        <w:tabs>
          <w:tab w:val="left" w:pos="2235"/>
        </w:tabs>
        <w:spacing w:after="120" w:line="312" w:lineRule="auto"/>
        <w:ind w:left="2238" w:right="105" w:hanging="2127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bCs/>
          <w:color w:val="000000"/>
          <w:sz w:val="20"/>
        </w:rPr>
        <w:t>Program / DoP</w:t>
      </w:r>
      <w:r>
        <w:rPr>
          <w:rFonts w:ascii="Calibri" w:eastAsia="Calibri" w:hAnsi="Calibri" w:cs="Calibri"/>
          <w:b/>
          <w:bCs/>
          <w:color w:val="000000"/>
          <w:sz w:val="20"/>
        </w:rPr>
        <w:tab/>
      </w:r>
      <w:r w:rsidR="0028614A">
        <w:rPr>
          <w:rFonts w:ascii="Arial" w:eastAsia="Arial" w:hAnsi="Arial" w:cs="Arial"/>
          <w:color w:val="000000"/>
          <w:sz w:val="20"/>
        </w:rPr>
        <w:t xml:space="preserve">03 </w:t>
      </w:r>
      <w:proofErr w:type="spellStart"/>
      <w:r>
        <w:rPr>
          <w:rFonts w:ascii="Arial" w:eastAsia="Arial" w:hAnsi="Arial" w:cs="Arial"/>
          <w:color w:val="000000"/>
          <w:sz w:val="20"/>
        </w:rPr>
        <w:t>Operační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program </w:t>
      </w:r>
      <w:proofErr w:type="spellStart"/>
      <w:r>
        <w:rPr>
          <w:rFonts w:ascii="Arial" w:eastAsia="Arial" w:hAnsi="Arial" w:cs="Arial"/>
          <w:color w:val="000000"/>
          <w:sz w:val="20"/>
        </w:rPr>
        <w:t>Zaměstnanost</w:t>
      </w:r>
      <w:proofErr w:type="spellEnd"/>
    </w:p>
    <w:p w14:paraId="04378FB2" w14:textId="637BB7BC" w:rsidR="00A2351A" w:rsidRDefault="002D5C25">
      <w:pPr>
        <w:tabs>
          <w:tab w:val="left" w:pos="2235"/>
        </w:tabs>
        <w:spacing w:after="120" w:line="312" w:lineRule="auto"/>
        <w:ind w:left="2238" w:right="105" w:hanging="2127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>
        <w:rPr>
          <w:rFonts w:ascii="Arial" w:eastAsia="Arial" w:hAnsi="Arial" w:cs="Arial"/>
          <w:b/>
          <w:bCs/>
          <w:color w:val="000000"/>
          <w:sz w:val="20"/>
        </w:rPr>
        <w:t>Verze</w:t>
      </w:r>
      <w:proofErr w:type="spellEnd"/>
      <w:r>
        <w:rPr>
          <w:rFonts w:ascii="Arial" w:eastAsia="Arial" w:hAnsi="Arial" w:cs="Arial"/>
          <w:b/>
          <w:b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000000"/>
          <w:sz w:val="20"/>
        </w:rPr>
        <w:t>dokumentu</w:t>
      </w:r>
      <w:proofErr w:type="spellEnd"/>
      <w:r>
        <w:rPr>
          <w:rFonts w:ascii="Arial" w:eastAsia="Arial" w:hAnsi="Arial" w:cs="Arial"/>
          <w:color w:val="000000"/>
          <w:sz w:val="20"/>
        </w:rPr>
        <w:tab/>
      </w:r>
      <w:r w:rsidR="00E037BC">
        <w:rPr>
          <w:rFonts w:ascii="Arial" w:eastAsia="Arial" w:hAnsi="Arial" w:cs="Arial"/>
          <w:color w:val="000000"/>
          <w:sz w:val="20"/>
        </w:rPr>
        <w:t>Draft</w:t>
      </w:r>
    </w:p>
    <w:p w14:paraId="62905324" w14:textId="39BBCF28" w:rsidR="00A2351A" w:rsidRDefault="002D5C25">
      <w:pPr>
        <w:tabs>
          <w:tab w:val="left" w:pos="2235"/>
          <w:tab w:val="left" w:pos="7974"/>
        </w:tabs>
        <w:spacing w:after="120" w:line="312" w:lineRule="auto"/>
        <w:ind w:left="2238" w:right="105" w:hanging="2124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>
        <w:rPr>
          <w:rFonts w:ascii="Arial" w:eastAsia="Arial" w:hAnsi="Arial" w:cs="Arial"/>
          <w:b/>
          <w:bCs/>
          <w:color w:val="000000"/>
          <w:sz w:val="20"/>
        </w:rPr>
        <w:t>Číslo</w:t>
      </w:r>
      <w:proofErr w:type="spellEnd"/>
      <w:r>
        <w:rPr>
          <w:rFonts w:ascii="Arial" w:eastAsia="Arial" w:hAnsi="Arial" w:cs="Arial"/>
          <w:b/>
          <w:b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000000"/>
          <w:sz w:val="20"/>
        </w:rPr>
        <w:t>draftu</w:t>
      </w:r>
      <w:proofErr w:type="spellEnd"/>
      <w:r>
        <w:rPr>
          <w:rFonts w:ascii="Arial" w:eastAsia="Arial" w:hAnsi="Arial" w:cs="Arial"/>
          <w:b/>
          <w:bCs/>
          <w:color w:val="000000"/>
          <w:sz w:val="20"/>
        </w:rPr>
        <w:tab/>
      </w:r>
      <w:r w:rsidR="004D0A85">
        <w:rPr>
          <w:rFonts w:ascii="Arial" w:eastAsia="Arial" w:hAnsi="Arial" w:cs="Arial"/>
          <w:color w:val="000000"/>
          <w:sz w:val="20"/>
        </w:rPr>
        <w:t>2</w:t>
      </w:r>
    </w:p>
    <w:p w14:paraId="55D26C1F" w14:textId="77777777" w:rsidR="00A2351A" w:rsidRDefault="00A2351A">
      <w:pPr>
        <w:keepNext/>
        <w:keepLines/>
        <w:tabs>
          <w:tab w:val="left" w:pos="675"/>
        </w:tabs>
        <w:spacing w:after="120" w:line="264" w:lineRule="auto"/>
        <w:ind w:left="111" w:right="105"/>
        <w:jc w:val="both"/>
        <w:rPr>
          <w:rFonts w:ascii="Arial" w:eastAsia="Arial" w:hAnsi="Arial" w:cs="Arial"/>
          <w:color w:val="000000"/>
          <w:sz w:val="20"/>
        </w:rPr>
      </w:pPr>
    </w:p>
    <w:p w14:paraId="048AC55F" w14:textId="77777777" w:rsidR="00A2351A" w:rsidRDefault="002D5C25">
      <w:r>
        <w:br w:type="page"/>
      </w:r>
    </w:p>
    <w:p w14:paraId="5AC27466" w14:textId="77777777" w:rsidR="00A2351A" w:rsidRDefault="002D5C25">
      <w:pPr>
        <w:keepNext/>
        <w:keepLines/>
        <w:pBdr>
          <w:bottom w:val="single" w:sz="4" w:space="1" w:color="000099"/>
        </w:pBdr>
        <w:tabs>
          <w:tab w:val="left" w:pos="675"/>
        </w:tabs>
        <w:spacing w:after="120" w:line="264" w:lineRule="auto"/>
        <w:ind w:left="111" w:right="105"/>
        <w:jc w:val="both"/>
        <w:rPr>
          <w:rFonts w:ascii="Arial" w:eastAsia="Arial" w:hAnsi="Arial" w:cs="Arial"/>
          <w:b/>
          <w:bCs/>
          <w:color w:val="000099"/>
          <w:sz w:val="36"/>
        </w:rPr>
      </w:pPr>
      <w:bookmarkStart w:id="0" w:name="_Toc529514946"/>
      <w:proofErr w:type="spellStart"/>
      <w:r>
        <w:rPr>
          <w:rFonts w:ascii="Arial" w:eastAsia="Arial" w:hAnsi="Arial" w:cs="Arial"/>
          <w:b/>
          <w:bCs/>
          <w:color w:val="000099"/>
          <w:sz w:val="36"/>
        </w:rPr>
        <w:lastRenderedPageBreak/>
        <w:t>Obsah</w:t>
      </w:r>
      <w:bookmarkEnd w:id="0"/>
      <w:proofErr w:type="spellEnd"/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val="en-US" w:eastAsia="ja-JP"/>
        </w:rPr>
        <w:id w:val="942349741"/>
        <w:docPartObj>
          <w:docPartGallery w:val="Table of Contents"/>
          <w:docPartUnique/>
        </w:docPartObj>
      </w:sdtPr>
      <w:sdtEndPr/>
      <w:sdtContent>
        <w:p w14:paraId="460670B4" w14:textId="0E8607B4" w:rsidR="000B77CA" w:rsidRPr="000B77CA" w:rsidRDefault="000B77CA" w:rsidP="00822BEA">
          <w:pPr>
            <w:pStyle w:val="Nadpisobsahu"/>
            <w:spacing w:before="120"/>
            <w:rPr>
              <w:rFonts w:ascii="Arial" w:hAnsi="Arial" w:cs="Arial"/>
              <w:sz w:val="22"/>
              <w:szCs w:val="22"/>
            </w:rPr>
          </w:pPr>
        </w:p>
        <w:p w14:paraId="1FD812C2" w14:textId="2414F0A0" w:rsidR="00495069" w:rsidRDefault="000B77CA">
          <w:pPr>
            <w:pStyle w:val="Obsah1"/>
            <w:tabs>
              <w:tab w:val="right" w:leader="dot" w:pos="10054"/>
            </w:tabs>
            <w:rPr>
              <w:noProof/>
              <w:lang w:val="cs-CZ" w:eastAsia="cs-CZ"/>
            </w:rPr>
          </w:pPr>
          <w:r w:rsidRPr="000B77CA">
            <w:rPr>
              <w:rFonts w:ascii="Arial" w:hAnsi="Arial" w:cs="Arial"/>
            </w:rPr>
            <w:fldChar w:fldCharType="begin"/>
          </w:r>
          <w:r w:rsidRPr="000B77CA">
            <w:rPr>
              <w:rFonts w:ascii="Arial" w:hAnsi="Arial" w:cs="Arial"/>
            </w:rPr>
            <w:instrText xml:space="preserve"> TOC \o "1-3" \h \z \u </w:instrText>
          </w:r>
          <w:r w:rsidRPr="000B77CA">
            <w:rPr>
              <w:rFonts w:ascii="Arial" w:hAnsi="Arial" w:cs="Arial"/>
            </w:rPr>
            <w:fldChar w:fldCharType="separate"/>
          </w:r>
          <w:hyperlink w:anchor="_Toc66814529" w:history="1">
            <w:r w:rsidR="00495069" w:rsidRPr="00E8127B">
              <w:rPr>
                <w:rStyle w:val="Hypertextovodkaz"/>
                <w:noProof/>
              </w:rPr>
              <w:t>ÚVOD</w:t>
            </w:r>
            <w:r w:rsidR="00495069">
              <w:rPr>
                <w:noProof/>
                <w:webHidden/>
              </w:rPr>
              <w:tab/>
            </w:r>
            <w:r w:rsidR="00495069">
              <w:rPr>
                <w:noProof/>
                <w:webHidden/>
              </w:rPr>
              <w:fldChar w:fldCharType="begin"/>
            </w:r>
            <w:r w:rsidR="00495069">
              <w:rPr>
                <w:noProof/>
                <w:webHidden/>
              </w:rPr>
              <w:instrText xml:space="preserve"> PAGEREF _Toc66814529 \h </w:instrText>
            </w:r>
            <w:r w:rsidR="00495069">
              <w:rPr>
                <w:noProof/>
                <w:webHidden/>
              </w:rPr>
            </w:r>
            <w:r w:rsidR="00495069">
              <w:rPr>
                <w:noProof/>
                <w:webHidden/>
              </w:rPr>
              <w:fldChar w:fldCharType="separate"/>
            </w:r>
            <w:r w:rsidR="00602F0C">
              <w:rPr>
                <w:noProof/>
                <w:webHidden/>
              </w:rPr>
              <w:t>4</w:t>
            </w:r>
            <w:r w:rsidR="00495069">
              <w:rPr>
                <w:noProof/>
                <w:webHidden/>
              </w:rPr>
              <w:fldChar w:fldCharType="end"/>
            </w:r>
          </w:hyperlink>
        </w:p>
        <w:p w14:paraId="3F5465C2" w14:textId="428AF369" w:rsidR="00495069" w:rsidRDefault="009F13C1">
          <w:pPr>
            <w:pStyle w:val="Obsah1"/>
            <w:tabs>
              <w:tab w:val="left" w:pos="440"/>
              <w:tab w:val="right" w:leader="dot" w:pos="10054"/>
            </w:tabs>
            <w:rPr>
              <w:noProof/>
              <w:lang w:val="cs-CZ" w:eastAsia="cs-CZ"/>
            </w:rPr>
          </w:pPr>
          <w:hyperlink w:anchor="_Toc66814530" w:history="1">
            <w:r w:rsidR="00495069" w:rsidRPr="00E8127B">
              <w:rPr>
                <w:rStyle w:val="Hypertextovodkaz"/>
                <w:noProof/>
              </w:rPr>
              <w:t>1.</w:t>
            </w:r>
            <w:r w:rsidR="00495069">
              <w:rPr>
                <w:noProof/>
                <w:lang w:val="cs-CZ" w:eastAsia="cs-CZ"/>
              </w:rPr>
              <w:tab/>
            </w:r>
            <w:r w:rsidR="00495069" w:rsidRPr="00E8127B">
              <w:rPr>
                <w:rStyle w:val="Hypertextovodkaz"/>
                <w:noProof/>
              </w:rPr>
              <w:t>IDENTIFIKACE VÝROČNÍ/ZÁVĚREČNÉ ZPRÁVY O IMPLEMENTACI</w:t>
            </w:r>
            <w:r w:rsidR="00495069">
              <w:rPr>
                <w:noProof/>
                <w:webHidden/>
              </w:rPr>
              <w:tab/>
            </w:r>
            <w:r w:rsidR="00495069">
              <w:rPr>
                <w:noProof/>
                <w:webHidden/>
              </w:rPr>
              <w:fldChar w:fldCharType="begin"/>
            </w:r>
            <w:r w:rsidR="00495069">
              <w:rPr>
                <w:noProof/>
                <w:webHidden/>
              </w:rPr>
              <w:instrText xml:space="preserve"> PAGEREF _Toc66814530 \h </w:instrText>
            </w:r>
            <w:r w:rsidR="00495069">
              <w:rPr>
                <w:noProof/>
                <w:webHidden/>
              </w:rPr>
            </w:r>
            <w:r w:rsidR="00495069">
              <w:rPr>
                <w:noProof/>
                <w:webHidden/>
              </w:rPr>
              <w:fldChar w:fldCharType="separate"/>
            </w:r>
            <w:r w:rsidR="00602F0C">
              <w:rPr>
                <w:noProof/>
                <w:webHidden/>
              </w:rPr>
              <w:t>5</w:t>
            </w:r>
            <w:r w:rsidR="00495069">
              <w:rPr>
                <w:noProof/>
                <w:webHidden/>
              </w:rPr>
              <w:fldChar w:fldCharType="end"/>
            </w:r>
          </w:hyperlink>
        </w:p>
        <w:p w14:paraId="23D08FAE" w14:textId="6A2A36B9" w:rsidR="00495069" w:rsidRDefault="009F13C1">
          <w:pPr>
            <w:pStyle w:val="Obsah1"/>
            <w:tabs>
              <w:tab w:val="left" w:pos="440"/>
              <w:tab w:val="right" w:leader="dot" w:pos="10054"/>
            </w:tabs>
            <w:rPr>
              <w:noProof/>
              <w:lang w:val="cs-CZ" w:eastAsia="cs-CZ"/>
            </w:rPr>
          </w:pPr>
          <w:hyperlink w:anchor="_Toc66814531" w:history="1">
            <w:r w:rsidR="00495069" w:rsidRPr="00E8127B">
              <w:rPr>
                <w:rStyle w:val="Hypertextovodkaz"/>
                <w:noProof/>
              </w:rPr>
              <w:t>2.</w:t>
            </w:r>
            <w:r w:rsidR="00495069">
              <w:rPr>
                <w:noProof/>
                <w:lang w:val="cs-CZ" w:eastAsia="cs-CZ"/>
              </w:rPr>
              <w:tab/>
            </w:r>
            <w:r w:rsidR="00495069" w:rsidRPr="00E8127B">
              <w:rPr>
                <w:rStyle w:val="Hypertextovodkaz"/>
                <w:noProof/>
              </w:rPr>
              <w:t>PŘEHLED IMPLEMENTACE OPERAČNÍHO PROGRAMU (čl. 50 odst. 2 a čl. 111 odst. 3 písm. a) nařízení (EU) č. 1303/2013)</w:t>
            </w:r>
            <w:r w:rsidR="00495069">
              <w:rPr>
                <w:noProof/>
                <w:webHidden/>
              </w:rPr>
              <w:tab/>
            </w:r>
            <w:r w:rsidR="00495069">
              <w:rPr>
                <w:noProof/>
                <w:webHidden/>
              </w:rPr>
              <w:fldChar w:fldCharType="begin"/>
            </w:r>
            <w:r w:rsidR="00495069">
              <w:rPr>
                <w:noProof/>
                <w:webHidden/>
              </w:rPr>
              <w:instrText xml:space="preserve"> PAGEREF _Toc66814531 \h </w:instrText>
            </w:r>
            <w:r w:rsidR="00495069">
              <w:rPr>
                <w:noProof/>
                <w:webHidden/>
              </w:rPr>
            </w:r>
            <w:r w:rsidR="00495069">
              <w:rPr>
                <w:noProof/>
                <w:webHidden/>
              </w:rPr>
              <w:fldChar w:fldCharType="separate"/>
            </w:r>
            <w:r w:rsidR="00602F0C">
              <w:rPr>
                <w:noProof/>
                <w:webHidden/>
              </w:rPr>
              <w:t>5</w:t>
            </w:r>
            <w:r w:rsidR="00495069">
              <w:rPr>
                <w:noProof/>
                <w:webHidden/>
              </w:rPr>
              <w:fldChar w:fldCharType="end"/>
            </w:r>
          </w:hyperlink>
        </w:p>
        <w:p w14:paraId="1324D5A3" w14:textId="1FFEB254" w:rsidR="00495069" w:rsidRDefault="009F13C1">
          <w:pPr>
            <w:pStyle w:val="Obsah1"/>
            <w:tabs>
              <w:tab w:val="left" w:pos="440"/>
              <w:tab w:val="right" w:leader="dot" w:pos="10054"/>
            </w:tabs>
            <w:rPr>
              <w:noProof/>
              <w:lang w:val="cs-CZ" w:eastAsia="cs-CZ"/>
            </w:rPr>
          </w:pPr>
          <w:hyperlink w:anchor="_Toc66814532" w:history="1">
            <w:r w:rsidR="00495069" w:rsidRPr="00E8127B">
              <w:rPr>
                <w:rStyle w:val="Hypertextovodkaz"/>
                <w:noProof/>
                <w:lang w:val="fr-FR"/>
              </w:rPr>
              <w:t>3.</w:t>
            </w:r>
            <w:r w:rsidR="00495069">
              <w:rPr>
                <w:noProof/>
                <w:lang w:val="cs-CZ" w:eastAsia="cs-CZ"/>
              </w:rPr>
              <w:tab/>
            </w:r>
            <w:r w:rsidR="00495069" w:rsidRPr="00E8127B">
              <w:rPr>
                <w:rStyle w:val="Hypertextovodkaz"/>
                <w:noProof/>
                <w:lang w:val="fr-FR"/>
              </w:rPr>
              <w:t>IMPLEMENTACE PRIORITNÍ OSY (čl. 50 odst. 2 nařízení (EU) č. 1303/2013)</w:t>
            </w:r>
            <w:r w:rsidR="00495069">
              <w:rPr>
                <w:noProof/>
                <w:webHidden/>
              </w:rPr>
              <w:tab/>
            </w:r>
            <w:r w:rsidR="00495069">
              <w:rPr>
                <w:noProof/>
                <w:webHidden/>
              </w:rPr>
              <w:fldChar w:fldCharType="begin"/>
            </w:r>
            <w:r w:rsidR="00495069">
              <w:rPr>
                <w:noProof/>
                <w:webHidden/>
              </w:rPr>
              <w:instrText xml:space="preserve"> PAGEREF _Toc66814532 \h </w:instrText>
            </w:r>
            <w:r w:rsidR="00495069">
              <w:rPr>
                <w:noProof/>
                <w:webHidden/>
              </w:rPr>
            </w:r>
            <w:r w:rsidR="00495069">
              <w:rPr>
                <w:noProof/>
                <w:webHidden/>
              </w:rPr>
              <w:fldChar w:fldCharType="separate"/>
            </w:r>
            <w:r w:rsidR="00602F0C">
              <w:rPr>
                <w:noProof/>
                <w:webHidden/>
              </w:rPr>
              <w:t>7</w:t>
            </w:r>
            <w:r w:rsidR="00495069">
              <w:rPr>
                <w:noProof/>
                <w:webHidden/>
              </w:rPr>
              <w:fldChar w:fldCharType="end"/>
            </w:r>
          </w:hyperlink>
        </w:p>
        <w:p w14:paraId="07249660" w14:textId="17B4E2DF" w:rsidR="00495069" w:rsidRDefault="009F13C1">
          <w:pPr>
            <w:pStyle w:val="Obsah2"/>
            <w:tabs>
              <w:tab w:val="left" w:pos="880"/>
              <w:tab w:val="right" w:leader="dot" w:pos="10054"/>
            </w:tabs>
            <w:rPr>
              <w:noProof/>
              <w:lang w:val="cs-CZ" w:eastAsia="cs-CZ"/>
            </w:rPr>
          </w:pPr>
          <w:hyperlink w:anchor="_Toc66814533" w:history="1">
            <w:r w:rsidR="00495069" w:rsidRPr="00E8127B">
              <w:rPr>
                <w:rStyle w:val="Hypertextovodkaz"/>
                <w:noProof/>
              </w:rPr>
              <w:t>3.1.</w:t>
            </w:r>
            <w:r w:rsidR="00495069">
              <w:rPr>
                <w:noProof/>
                <w:lang w:val="cs-CZ" w:eastAsia="cs-CZ"/>
              </w:rPr>
              <w:tab/>
            </w:r>
            <w:r w:rsidR="00495069" w:rsidRPr="00E8127B">
              <w:rPr>
                <w:rStyle w:val="Hypertextovodkaz"/>
                <w:noProof/>
              </w:rPr>
              <w:t>Přehled implementace</w:t>
            </w:r>
            <w:r w:rsidR="00495069" w:rsidRPr="00E8127B">
              <w:rPr>
                <w:rStyle w:val="Hypertextovodkaz"/>
                <w:noProof/>
                <w:vertAlign w:val="superscript"/>
              </w:rPr>
              <w:t>(1)</w:t>
            </w:r>
            <w:r w:rsidR="00495069">
              <w:rPr>
                <w:noProof/>
                <w:webHidden/>
              </w:rPr>
              <w:tab/>
            </w:r>
            <w:r w:rsidR="00495069">
              <w:rPr>
                <w:noProof/>
                <w:webHidden/>
              </w:rPr>
              <w:fldChar w:fldCharType="begin"/>
            </w:r>
            <w:r w:rsidR="00495069">
              <w:rPr>
                <w:noProof/>
                <w:webHidden/>
              </w:rPr>
              <w:instrText xml:space="preserve"> PAGEREF _Toc66814533 \h </w:instrText>
            </w:r>
            <w:r w:rsidR="00495069">
              <w:rPr>
                <w:noProof/>
                <w:webHidden/>
              </w:rPr>
            </w:r>
            <w:r w:rsidR="00495069">
              <w:rPr>
                <w:noProof/>
                <w:webHidden/>
              </w:rPr>
              <w:fldChar w:fldCharType="separate"/>
            </w:r>
            <w:r w:rsidR="00602F0C">
              <w:rPr>
                <w:noProof/>
                <w:webHidden/>
              </w:rPr>
              <w:t>7</w:t>
            </w:r>
            <w:r w:rsidR="00495069">
              <w:rPr>
                <w:noProof/>
                <w:webHidden/>
              </w:rPr>
              <w:fldChar w:fldCharType="end"/>
            </w:r>
          </w:hyperlink>
        </w:p>
        <w:p w14:paraId="21A99148" w14:textId="223526B5" w:rsidR="00495069" w:rsidRDefault="009F13C1">
          <w:pPr>
            <w:pStyle w:val="Obsah2"/>
            <w:tabs>
              <w:tab w:val="left" w:pos="880"/>
              <w:tab w:val="right" w:leader="dot" w:pos="10054"/>
            </w:tabs>
            <w:rPr>
              <w:noProof/>
              <w:lang w:val="cs-CZ" w:eastAsia="cs-CZ"/>
            </w:rPr>
          </w:pPr>
          <w:hyperlink w:anchor="_Toc66814534" w:history="1">
            <w:r w:rsidR="00495069" w:rsidRPr="00E8127B">
              <w:rPr>
                <w:rStyle w:val="Hypertextovodkaz"/>
                <w:i/>
                <w:iCs/>
                <w:noProof/>
              </w:rPr>
              <w:t>3.2.</w:t>
            </w:r>
            <w:r w:rsidR="00495069">
              <w:rPr>
                <w:noProof/>
                <w:lang w:val="cs-CZ" w:eastAsia="cs-CZ"/>
              </w:rPr>
              <w:tab/>
            </w:r>
            <w:r w:rsidR="00495069" w:rsidRPr="00E8127B">
              <w:rPr>
                <w:rStyle w:val="Hypertextovodkaz"/>
                <w:noProof/>
              </w:rPr>
              <w:t>Společné indikátory a indikátory specifické pro jednotlivé programy (čl. 50 odst. 2 nařízení (EU) č. 1303/2013</w:t>
            </w:r>
            <w:r w:rsidR="00495069" w:rsidRPr="00E8127B">
              <w:rPr>
                <w:rStyle w:val="Hypertextovodkaz"/>
                <w:i/>
                <w:iCs/>
                <w:noProof/>
              </w:rPr>
              <w:t>)</w:t>
            </w:r>
            <w:r w:rsidR="00495069" w:rsidRPr="00E8127B">
              <w:rPr>
                <w:rStyle w:val="Hypertextovodkaz"/>
                <w:i/>
                <w:iCs/>
                <w:noProof/>
                <w:vertAlign w:val="superscript"/>
              </w:rPr>
              <w:t>(2)</w:t>
            </w:r>
            <w:r w:rsidR="00495069">
              <w:rPr>
                <w:noProof/>
                <w:webHidden/>
              </w:rPr>
              <w:tab/>
            </w:r>
            <w:r w:rsidR="00495069">
              <w:rPr>
                <w:noProof/>
                <w:webHidden/>
              </w:rPr>
              <w:fldChar w:fldCharType="begin"/>
            </w:r>
            <w:r w:rsidR="00495069">
              <w:rPr>
                <w:noProof/>
                <w:webHidden/>
              </w:rPr>
              <w:instrText xml:space="preserve"> PAGEREF _Toc66814534 \h </w:instrText>
            </w:r>
            <w:r w:rsidR="00495069">
              <w:rPr>
                <w:noProof/>
                <w:webHidden/>
              </w:rPr>
            </w:r>
            <w:r w:rsidR="00495069">
              <w:rPr>
                <w:noProof/>
                <w:webHidden/>
              </w:rPr>
              <w:fldChar w:fldCharType="separate"/>
            </w:r>
            <w:r w:rsidR="00602F0C">
              <w:rPr>
                <w:noProof/>
                <w:webHidden/>
              </w:rPr>
              <w:t>9</w:t>
            </w:r>
            <w:r w:rsidR="00495069">
              <w:rPr>
                <w:noProof/>
                <w:webHidden/>
              </w:rPr>
              <w:fldChar w:fldCharType="end"/>
            </w:r>
          </w:hyperlink>
        </w:p>
        <w:p w14:paraId="013737AC" w14:textId="727D2FAD" w:rsidR="00495069" w:rsidRDefault="009F13C1">
          <w:pPr>
            <w:pStyle w:val="Obsah2"/>
            <w:tabs>
              <w:tab w:val="left" w:pos="880"/>
              <w:tab w:val="right" w:leader="dot" w:pos="10054"/>
            </w:tabs>
            <w:rPr>
              <w:noProof/>
              <w:lang w:val="cs-CZ" w:eastAsia="cs-CZ"/>
            </w:rPr>
          </w:pPr>
          <w:hyperlink w:anchor="_Toc66814535" w:history="1">
            <w:r w:rsidR="00495069" w:rsidRPr="00E8127B">
              <w:rPr>
                <w:rStyle w:val="Hypertextovodkaz"/>
                <w:noProof/>
              </w:rPr>
              <w:t>3.3.</w:t>
            </w:r>
            <w:r w:rsidR="00495069">
              <w:rPr>
                <w:noProof/>
                <w:lang w:val="cs-CZ" w:eastAsia="cs-CZ"/>
              </w:rPr>
              <w:tab/>
            </w:r>
            <w:r w:rsidR="00495069" w:rsidRPr="00E8127B">
              <w:rPr>
                <w:rStyle w:val="Hypertextovodkaz"/>
                <w:noProof/>
              </w:rPr>
              <w:t>Finanční údaje (čl. 50 odst. 2 nařízení (EU) č. 1303/2013) (10)</w:t>
            </w:r>
            <w:r w:rsidR="00495069">
              <w:rPr>
                <w:noProof/>
                <w:webHidden/>
              </w:rPr>
              <w:tab/>
            </w:r>
            <w:r w:rsidR="00495069">
              <w:rPr>
                <w:noProof/>
                <w:webHidden/>
              </w:rPr>
              <w:fldChar w:fldCharType="begin"/>
            </w:r>
            <w:r w:rsidR="00495069">
              <w:rPr>
                <w:noProof/>
                <w:webHidden/>
              </w:rPr>
              <w:instrText xml:space="preserve"> PAGEREF _Toc66814535 \h </w:instrText>
            </w:r>
            <w:r w:rsidR="00495069">
              <w:rPr>
                <w:noProof/>
                <w:webHidden/>
              </w:rPr>
            </w:r>
            <w:r w:rsidR="00495069">
              <w:rPr>
                <w:noProof/>
                <w:webHidden/>
              </w:rPr>
              <w:fldChar w:fldCharType="separate"/>
            </w:r>
            <w:r w:rsidR="00602F0C">
              <w:rPr>
                <w:noProof/>
                <w:webHidden/>
              </w:rPr>
              <w:t>73</w:t>
            </w:r>
            <w:r w:rsidR="00495069">
              <w:rPr>
                <w:noProof/>
                <w:webHidden/>
              </w:rPr>
              <w:fldChar w:fldCharType="end"/>
            </w:r>
          </w:hyperlink>
        </w:p>
        <w:p w14:paraId="3E5F8405" w14:textId="0369988F" w:rsidR="00495069" w:rsidRDefault="009F13C1">
          <w:pPr>
            <w:pStyle w:val="Obsah1"/>
            <w:tabs>
              <w:tab w:val="left" w:pos="440"/>
              <w:tab w:val="right" w:leader="dot" w:pos="10054"/>
            </w:tabs>
            <w:rPr>
              <w:noProof/>
              <w:lang w:val="cs-CZ" w:eastAsia="cs-CZ"/>
            </w:rPr>
          </w:pPr>
          <w:hyperlink w:anchor="_Toc66814536" w:history="1">
            <w:r w:rsidR="00495069" w:rsidRPr="00E8127B">
              <w:rPr>
                <w:rStyle w:val="Hypertextovodkaz"/>
                <w:noProof/>
              </w:rPr>
              <w:t>4.</w:t>
            </w:r>
            <w:r w:rsidR="00495069">
              <w:rPr>
                <w:noProof/>
                <w:lang w:val="cs-CZ" w:eastAsia="cs-CZ"/>
              </w:rPr>
              <w:tab/>
            </w:r>
            <w:r w:rsidR="00495069" w:rsidRPr="00E8127B">
              <w:rPr>
                <w:rStyle w:val="Hypertextovodkaz"/>
                <w:noProof/>
              </w:rPr>
              <w:t>SHRNUTÍ EVALUACÍ (čl. 50 odst. 2 nařízení (EU) č. 1303/2013)</w:t>
            </w:r>
            <w:r w:rsidR="00495069">
              <w:rPr>
                <w:noProof/>
                <w:webHidden/>
              </w:rPr>
              <w:tab/>
            </w:r>
            <w:r w:rsidR="00495069">
              <w:rPr>
                <w:noProof/>
                <w:webHidden/>
              </w:rPr>
              <w:fldChar w:fldCharType="begin"/>
            </w:r>
            <w:r w:rsidR="00495069">
              <w:rPr>
                <w:noProof/>
                <w:webHidden/>
              </w:rPr>
              <w:instrText xml:space="preserve"> PAGEREF _Toc66814536 \h </w:instrText>
            </w:r>
            <w:r w:rsidR="00495069">
              <w:rPr>
                <w:noProof/>
                <w:webHidden/>
              </w:rPr>
            </w:r>
            <w:r w:rsidR="00495069">
              <w:rPr>
                <w:noProof/>
                <w:webHidden/>
              </w:rPr>
              <w:fldChar w:fldCharType="separate"/>
            </w:r>
            <w:r w:rsidR="00602F0C">
              <w:rPr>
                <w:noProof/>
                <w:webHidden/>
              </w:rPr>
              <w:t>76</w:t>
            </w:r>
            <w:r w:rsidR="00495069">
              <w:rPr>
                <w:noProof/>
                <w:webHidden/>
              </w:rPr>
              <w:fldChar w:fldCharType="end"/>
            </w:r>
          </w:hyperlink>
        </w:p>
        <w:p w14:paraId="7158990B" w14:textId="4CFFB31E" w:rsidR="00495069" w:rsidRDefault="009F13C1">
          <w:pPr>
            <w:pStyle w:val="Obsah1"/>
            <w:tabs>
              <w:tab w:val="left" w:pos="440"/>
              <w:tab w:val="right" w:leader="dot" w:pos="10054"/>
            </w:tabs>
            <w:rPr>
              <w:noProof/>
              <w:lang w:val="cs-CZ" w:eastAsia="cs-CZ"/>
            </w:rPr>
          </w:pPr>
          <w:hyperlink w:anchor="_Toc66814537" w:history="1">
            <w:r w:rsidR="00495069" w:rsidRPr="00E8127B">
              <w:rPr>
                <w:rStyle w:val="Hypertextovodkaz"/>
                <w:noProof/>
              </w:rPr>
              <w:t>5.</w:t>
            </w:r>
            <w:r w:rsidR="00495069">
              <w:rPr>
                <w:noProof/>
                <w:lang w:val="cs-CZ" w:eastAsia="cs-CZ"/>
              </w:rPr>
              <w:tab/>
            </w:r>
            <w:r w:rsidR="00495069" w:rsidRPr="00E8127B">
              <w:rPr>
                <w:rStyle w:val="Hypertextovodkaz"/>
                <w:noProof/>
              </w:rPr>
              <w:t>INFORMACE O IMPLEMENTACI INICIATIVY NA PODPORU ZAMĚSTNANOSTI MLADÝCH LIDÍ, JE-LI POUŽITELNÉ (čl. 19 odst. 2 a 4 nařízení (EU) č. 1304/2013)</w:t>
            </w:r>
            <w:r w:rsidR="00495069">
              <w:rPr>
                <w:noProof/>
                <w:webHidden/>
              </w:rPr>
              <w:tab/>
            </w:r>
            <w:r w:rsidR="00495069">
              <w:rPr>
                <w:noProof/>
                <w:webHidden/>
              </w:rPr>
              <w:fldChar w:fldCharType="begin"/>
            </w:r>
            <w:r w:rsidR="00495069">
              <w:rPr>
                <w:noProof/>
                <w:webHidden/>
              </w:rPr>
              <w:instrText xml:space="preserve"> PAGEREF _Toc66814537 \h </w:instrText>
            </w:r>
            <w:r w:rsidR="00495069">
              <w:rPr>
                <w:noProof/>
                <w:webHidden/>
              </w:rPr>
            </w:r>
            <w:r w:rsidR="00495069">
              <w:rPr>
                <w:noProof/>
                <w:webHidden/>
              </w:rPr>
              <w:fldChar w:fldCharType="separate"/>
            </w:r>
            <w:r w:rsidR="00602F0C">
              <w:rPr>
                <w:noProof/>
                <w:webHidden/>
              </w:rPr>
              <w:t>78</w:t>
            </w:r>
            <w:r w:rsidR="00495069">
              <w:rPr>
                <w:noProof/>
                <w:webHidden/>
              </w:rPr>
              <w:fldChar w:fldCharType="end"/>
            </w:r>
          </w:hyperlink>
        </w:p>
        <w:p w14:paraId="6EF42F82" w14:textId="0B22AD81" w:rsidR="00495069" w:rsidRDefault="009F13C1">
          <w:pPr>
            <w:pStyle w:val="Obsah1"/>
            <w:tabs>
              <w:tab w:val="left" w:pos="440"/>
              <w:tab w:val="right" w:leader="dot" w:pos="10054"/>
            </w:tabs>
            <w:rPr>
              <w:noProof/>
              <w:lang w:val="cs-CZ" w:eastAsia="cs-CZ"/>
            </w:rPr>
          </w:pPr>
          <w:hyperlink w:anchor="_Toc66814538" w:history="1">
            <w:r w:rsidR="00495069" w:rsidRPr="00E8127B">
              <w:rPr>
                <w:rStyle w:val="Hypertextovodkaz"/>
                <w:noProof/>
              </w:rPr>
              <w:t>6.</w:t>
            </w:r>
            <w:r w:rsidR="00495069">
              <w:rPr>
                <w:noProof/>
                <w:lang w:val="cs-CZ" w:eastAsia="cs-CZ"/>
              </w:rPr>
              <w:tab/>
            </w:r>
            <w:r w:rsidR="00495069" w:rsidRPr="00E8127B">
              <w:rPr>
                <w:rStyle w:val="Hypertextovodkaz"/>
                <w:noProof/>
              </w:rPr>
              <w:t>ZÁLEŽITOSTI OVLIVŇUJÍCÍ VÝKONNOST PROGRAMU A PŘIJATÁ OPATŘENÍ (čl. 50 odst. 2 nařízení (EU) č. 1303/2013)  (15)</w:t>
            </w:r>
            <w:r w:rsidR="00495069">
              <w:rPr>
                <w:noProof/>
                <w:webHidden/>
              </w:rPr>
              <w:tab/>
            </w:r>
            <w:r w:rsidR="00495069">
              <w:rPr>
                <w:noProof/>
                <w:webHidden/>
              </w:rPr>
              <w:fldChar w:fldCharType="begin"/>
            </w:r>
            <w:r w:rsidR="00495069">
              <w:rPr>
                <w:noProof/>
                <w:webHidden/>
              </w:rPr>
              <w:instrText xml:space="preserve"> PAGEREF _Toc66814538 \h </w:instrText>
            </w:r>
            <w:r w:rsidR="00495069">
              <w:rPr>
                <w:noProof/>
                <w:webHidden/>
              </w:rPr>
            </w:r>
            <w:r w:rsidR="00495069">
              <w:rPr>
                <w:noProof/>
                <w:webHidden/>
              </w:rPr>
              <w:fldChar w:fldCharType="separate"/>
            </w:r>
            <w:r w:rsidR="00602F0C">
              <w:rPr>
                <w:noProof/>
                <w:webHidden/>
              </w:rPr>
              <w:t>79</w:t>
            </w:r>
            <w:r w:rsidR="00495069">
              <w:rPr>
                <w:noProof/>
                <w:webHidden/>
              </w:rPr>
              <w:fldChar w:fldCharType="end"/>
            </w:r>
          </w:hyperlink>
        </w:p>
        <w:p w14:paraId="28CF7973" w14:textId="1DAF7D50" w:rsidR="00495069" w:rsidRDefault="009F13C1">
          <w:pPr>
            <w:pStyle w:val="Obsah1"/>
            <w:tabs>
              <w:tab w:val="left" w:pos="440"/>
              <w:tab w:val="right" w:leader="dot" w:pos="10054"/>
            </w:tabs>
            <w:rPr>
              <w:noProof/>
              <w:lang w:val="cs-CZ" w:eastAsia="cs-CZ"/>
            </w:rPr>
          </w:pPr>
          <w:hyperlink w:anchor="_Toc66814539" w:history="1">
            <w:r w:rsidR="00495069" w:rsidRPr="00E8127B">
              <w:rPr>
                <w:rStyle w:val="Hypertextovodkaz"/>
                <w:noProof/>
              </w:rPr>
              <w:t>7.</w:t>
            </w:r>
            <w:r w:rsidR="00495069">
              <w:rPr>
                <w:noProof/>
                <w:lang w:val="cs-CZ" w:eastAsia="cs-CZ"/>
              </w:rPr>
              <w:tab/>
            </w:r>
            <w:r w:rsidR="00495069" w:rsidRPr="00E8127B">
              <w:rPr>
                <w:rStyle w:val="Hypertextovodkaz"/>
                <w:noProof/>
              </w:rPr>
              <w:t>SHRNUTÍ PRO VEŘEJNOST (čl. 50 odst. 9 nařízení (EU) č. 1303/2013)  (16)</w:t>
            </w:r>
            <w:r w:rsidR="00495069">
              <w:rPr>
                <w:noProof/>
                <w:webHidden/>
              </w:rPr>
              <w:tab/>
            </w:r>
            <w:r w:rsidR="00495069">
              <w:rPr>
                <w:noProof/>
                <w:webHidden/>
              </w:rPr>
              <w:fldChar w:fldCharType="begin"/>
            </w:r>
            <w:r w:rsidR="00495069">
              <w:rPr>
                <w:noProof/>
                <w:webHidden/>
              </w:rPr>
              <w:instrText xml:space="preserve"> PAGEREF _Toc66814539 \h </w:instrText>
            </w:r>
            <w:r w:rsidR="00495069">
              <w:rPr>
                <w:noProof/>
                <w:webHidden/>
              </w:rPr>
            </w:r>
            <w:r w:rsidR="00495069">
              <w:rPr>
                <w:noProof/>
                <w:webHidden/>
              </w:rPr>
              <w:fldChar w:fldCharType="separate"/>
            </w:r>
            <w:r w:rsidR="00602F0C">
              <w:rPr>
                <w:noProof/>
                <w:webHidden/>
              </w:rPr>
              <w:t>80</w:t>
            </w:r>
            <w:r w:rsidR="00495069">
              <w:rPr>
                <w:noProof/>
                <w:webHidden/>
              </w:rPr>
              <w:fldChar w:fldCharType="end"/>
            </w:r>
          </w:hyperlink>
        </w:p>
        <w:p w14:paraId="3A7307EB" w14:textId="42FB47E3" w:rsidR="00495069" w:rsidRDefault="009F13C1">
          <w:pPr>
            <w:pStyle w:val="Obsah1"/>
            <w:tabs>
              <w:tab w:val="left" w:pos="440"/>
              <w:tab w:val="right" w:leader="dot" w:pos="10054"/>
            </w:tabs>
            <w:rPr>
              <w:noProof/>
              <w:lang w:val="cs-CZ" w:eastAsia="cs-CZ"/>
            </w:rPr>
          </w:pPr>
          <w:hyperlink w:anchor="_Toc66814540" w:history="1">
            <w:r w:rsidR="00495069" w:rsidRPr="00E8127B">
              <w:rPr>
                <w:rStyle w:val="Hypertextovodkaz"/>
                <w:noProof/>
              </w:rPr>
              <w:t>8.</w:t>
            </w:r>
            <w:r w:rsidR="00495069">
              <w:rPr>
                <w:noProof/>
                <w:lang w:val="cs-CZ" w:eastAsia="cs-CZ"/>
              </w:rPr>
              <w:tab/>
            </w:r>
            <w:r w:rsidR="00495069" w:rsidRPr="00E8127B">
              <w:rPr>
                <w:rStyle w:val="Hypertextovodkaz"/>
                <w:noProof/>
              </w:rPr>
              <w:t>ZPRÁVA O IMPLEMENTACI FINANČNÍCH NÁSTROJŮ (článek 46 nařízení (EU) č. 1303/2013)</w:t>
            </w:r>
            <w:r w:rsidR="00495069">
              <w:rPr>
                <w:noProof/>
                <w:webHidden/>
              </w:rPr>
              <w:tab/>
            </w:r>
            <w:r w:rsidR="00495069">
              <w:rPr>
                <w:noProof/>
                <w:webHidden/>
              </w:rPr>
              <w:fldChar w:fldCharType="begin"/>
            </w:r>
            <w:r w:rsidR="00495069">
              <w:rPr>
                <w:noProof/>
                <w:webHidden/>
              </w:rPr>
              <w:instrText xml:space="preserve"> PAGEREF _Toc66814540 \h </w:instrText>
            </w:r>
            <w:r w:rsidR="00495069">
              <w:rPr>
                <w:noProof/>
                <w:webHidden/>
              </w:rPr>
            </w:r>
            <w:r w:rsidR="00495069">
              <w:rPr>
                <w:noProof/>
                <w:webHidden/>
              </w:rPr>
              <w:fldChar w:fldCharType="separate"/>
            </w:r>
            <w:r w:rsidR="00602F0C">
              <w:rPr>
                <w:noProof/>
                <w:webHidden/>
              </w:rPr>
              <w:t>81</w:t>
            </w:r>
            <w:r w:rsidR="00495069">
              <w:rPr>
                <w:noProof/>
                <w:webHidden/>
              </w:rPr>
              <w:fldChar w:fldCharType="end"/>
            </w:r>
          </w:hyperlink>
        </w:p>
        <w:p w14:paraId="6A03A5B9" w14:textId="068BD5CA" w:rsidR="00495069" w:rsidRDefault="009F13C1">
          <w:pPr>
            <w:pStyle w:val="Obsah1"/>
            <w:tabs>
              <w:tab w:val="left" w:pos="660"/>
              <w:tab w:val="right" w:leader="dot" w:pos="10054"/>
            </w:tabs>
            <w:rPr>
              <w:noProof/>
              <w:lang w:val="cs-CZ" w:eastAsia="cs-CZ"/>
            </w:rPr>
          </w:pPr>
          <w:hyperlink w:anchor="_Toc66814541" w:history="1">
            <w:r w:rsidR="00495069" w:rsidRPr="00E8127B">
              <w:rPr>
                <w:rStyle w:val="Hypertextovodkaz"/>
                <w:noProof/>
              </w:rPr>
              <w:t>14.</w:t>
            </w:r>
            <w:r w:rsidR="00495069">
              <w:rPr>
                <w:noProof/>
                <w:lang w:val="cs-CZ" w:eastAsia="cs-CZ"/>
              </w:rPr>
              <w:tab/>
            </w:r>
            <w:r w:rsidR="00495069" w:rsidRPr="00E8127B">
              <w:rPr>
                <w:rStyle w:val="Hypertextovodkaz"/>
                <w:noProof/>
              </w:rPr>
              <w:t>DODATEČNÉ INFORMACE, KTERÉ MOHOU BÝT PŘIPOJENY V ZÁVISLOSTI NA OBSAHU A CÍLECH OPERAČNÍHO PROGRAMU (čl. 111 odst. 4 druhý pododstavec písm. a), b), c), d), g) a h) nařízení (EU) č. 1303/2013)</w:t>
            </w:r>
            <w:r w:rsidR="00495069">
              <w:rPr>
                <w:noProof/>
                <w:webHidden/>
              </w:rPr>
              <w:tab/>
            </w:r>
            <w:r w:rsidR="00495069">
              <w:rPr>
                <w:noProof/>
                <w:webHidden/>
              </w:rPr>
              <w:fldChar w:fldCharType="begin"/>
            </w:r>
            <w:r w:rsidR="00495069">
              <w:rPr>
                <w:noProof/>
                <w:webHidden/>
              </w:rPr>
              <w:instrText xml:space="preserve"> PAGEREF _Toc66814541 \h </w:instrText>
            </w:r>
            <w:r w:rsidR="00495069">
              <w:rPr>
                <w:noProof/>
                <w:webHidden/>
              </w:rPr>
            </w:r>
            <w:r w:rsidR="00495069">
              <w:rPr>
                <w:noProof/>
                <w:webHidden/>
              </w:rPr>
              <w:fldChar w:fldCharType="separate"/>
            </w:r>
            <w:r w:rsidR="00602F0C">
              <w:rPr>
                <w:noProof/>
                <w:webHidden/>
              </w:rPr>
              <w:t>81</w:t>
            </w:r>
            <w:r w:rsidR="00495069">
              <w:rPr>
                <w:noProof/>
                <w:webHidden/>
              </w:rPr>
              <w:fldChar w:fldCharType="end"/>
            </w:r>
          </w:hyperlink>
        </w:p>
        <w:p w14:paraId="28F9A4DE" w14:textId="34532535" w:rsidR="00495069" w:rsidRDefault="009F13C1">
          <w:pPr>
            <w:pStyle w:val="Obsah2"/>
            <w:tabs>
              <w:tab w:val="left" w:pos="1100"/>
              <w:tab w:val="right" w:leader="dot" w:pos="10054"/>
            </w:tabs>
            <w:rPr>
              <w:noProof/>
              <w:lang w:val="cs-CZ" w:eastAsia="cs-CZ"/>
            </w:rPr>
          </w:pPr>
          <w:hyperlink w:anchor="_Toc66814542" w:history="1">
            <w:r w:rsidR="00495069" w:rsidRPr="00E8127B">
              <w:rPr>
                <w:rStyle w:val="Hypertextovodkaz"/>
                <w:noProof/>
              </w:rPr>
              <w:t>14.4.</w:t>
            </w:r>
            <w:r w:rsidR="00495069">
              <w:rPr>
                <w:noProof/>
                <w:lang w:val="cs-CZ" w:eastAsia="cs-CZ"/>
              </w:rPr>
              <w:tab/>
            </w:r>
            <w:r w:rsidR="00495069" w:rsidRPr="00E8127B">
              <w:rPr>
                <w:rStyle w:val="Hypertextovodkaz"/>
                <w:noProof/>
              </w:rPr>
              <w:t>Případně přínos k makroregionálním strategiím a strategiím pro pobřežní oblasti</w:t>
            </w:r>
            <w:r w:rsidR="00495069">
              <w:rPr>
                <w:noProof/>
                <w:webHidden/>
              </w:rPr>
              <w:tab/>
            </w:r>
            <w:r w:rsidR="00495069">
              <w:rPr>
                <w:noProof/>
                <w:webHidden/>
              </w:rPr>
              <w:fldChar w:fldCharType="begin"/>
            </w:r>
            <w:r w:rsidR="00495069">
              <w:rPr>
                <w:noProof/>
                <w:webHidden/>
              </w:rPr>
              <w:instrText xml:space="preserve"> PAGEREF _Toc66814542 \h </w:instrText>
            </w:r>
            <w:r w:rsidR="00495069">
              <w:rPr>
                <w:noProof/>
                <w:webHidden/>
              </w:rPr>
            </w:r>
            <w:r w:rsidR="00495069">
              <w:rPr>
                <w:noProof/>
                <w:webHidden/>
              </w:rPr>
              <w:fldChar w:fldCharType="separate"/>
            </w:r>
            <w:r w:rsidR="00602F0C">
              <w:rPr>
                <w:noProof/>
                <w:webHidden/>
              </w:rPr>
              <w:t>81</w:t>
            </w:r>
            <w:r w:rsidR="00495069">
              <w:rPr>
                <w:noProof/>
                <w:webHidden/>
              </w:rPr>
              <w:fldChar w:fldCharType="end"/>
            </w:r>
          </w:hyperlink>
        </w:p>
        <w:p w14:paraId="001E7F56" w14:textId="0C369964" w:rsidR="000B77CA" w:rsidRDefault="000B77CA">
          <w:r w:rsidRPr="000B77CA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7BFB695F" w14:textId="77777777" w:rsidR="00A2351A" w:rsidRDefault="002D5C25">
      <w:r>
        <w:br w:type="page"/>
      </w:r>
    </w:p>
    <w:p w14:paraId="77066D8D" w14:textId="77777777" w:rsidR="00A2351A" w:rsidRDefault="002D5C25">
      <w:pPr>
        <w:keepNext/>
        <w:keepLines/>
        <w:pBdr>
          <w:bottom w:val="single" w:sz="4" w:space="1" w:color="000099"/>
        </w:pBdr>
        <w:tabs>
          <w:tab w:val="left" w:pos="675"/>
        </w:tabs>
        <w:spacing w:after="120" w:line="264" w:lineRule="auto"/>
        <w:ind w:left="111" w:right="105"/>
        <w:jc w:val="both"/>
        <w:rPr>
          <w:rFonts w:ascii="Arial" w:eastAsia="Arial" w:hAnsi="Arial" w:cs="Arial"/>
          <w:b/>
          <w:bCs/>
          <w:color w:val="000099"/>
          <w:sz w:val="36"/>
        </w:rPr>
      </w:pPr>
      <w:bookmarkStart w:id="1" w:name="_Toc529514947"/>
      <w:proofErr w:type="spellStart"/>
      <w:r>
        <w:rPr>
          <w:rFonts w:ascii="Arial" w:eastAsia="Arial" w:hAnsi="Arial" w:cs="Arial"/>
          <w:b/>
          <w:bCs/>
          <w:color w:val="000099"/>
          <w:sz w:val="36"/>
        </w:rPr>
        <w:lastRenderedPageBreak/>
        <w:t>Základní</w:t>
      </w:r>
      <w:proofErr w:type="spellEnd"/>
      <w:r>
        <w:rPr>
          <w:rFonts w:ascii="Arial" w:eastAsia="Arial" w:hAnsi="Arial" w:cs="Arial"/>
          <w:b/>
          <w:bCs/>
          <w:color w:val="000099"/>
          <w:sz w:val="36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000099"/>
          <w:sz w:val="36"/>
        </w:rPr>
        <w:t>informace</w:t>
      </w:r>
      <w:bookmarkEnd w:id="1"/>
      <w:proofErr w:type="spellEnd"/>
    </w:p>
    <w:p w14:paraId="4CA5A6CB" w14:textId="77777777" w:rsidR="00A2351A" w:rsidRDefault="002D5C25">
      <w:pPr>
        <w:spacing w:after="120" w:line="312" w:lineRule="auto"/>
        <w:ind w:left="111" w:right="105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>
        <w:rPr>
          <w:rFonts w:ascii="Arial" w:eastAsia="Arial" w:hAnsi="Arial" w:cs="Arial"/>
          <w:b/>
          <w:bCs/>
          <w:color w:val="000000"/>
          <w:sz w:val="20"/>
        </w:rPr>
        <w:t>Sledované</w:t>
      </w:r>
      <w:proofErr w:type="spellEnd"/>
      <w:r>
        <w:rPr>
          <w:rFonts w:ascii="Arial" w:eastAsia="Arial" w:hAnsi="Arial" w:cs="Arial"/>
          <w:b/>
          <w:b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000000"/>
          <w:sz w:val="20"/>
        </w:rPr>
        <w:t>období</w:t>
      </w:r>
      <w:proofErr w:type="spellEnd"/>
      <w:r>
        <w:rPr>
          <w:rFonts w:ascii="Arial" w:eastAsia="Arial" w:hAnsi="Arial" w:cs="Arial"/>
          <w:b/>
          <w:bCs/>
          <w:color w:val="000000"/>
          <w:sz w:val="20"/>
        </w:rPr>
        <w:t xml:space="preserve"> od</w:t>
      </w:r>
      <w:r>
        <w:rPr>
          <w:rFonts w:ascii="Arial" w:eastAsia="Arial" w:hAnsi="Arial" w:cs="Arial"/>
          <w:color w:val="000000"/>
          <w:sz w:val="20"/>
        </w:rPr>
        <w:t>:</w:t>
      </w:r>
      <w:r>
        <w:rPr>
          <w:rFonts w:ascii="Arial" w:eastAsia="Arial" w:hAnsi="Arial" w:cs="Arial"/>
          <w:color w:val="000000"/>
          <w:sz w:val="20"/>
        </w:rPr>
        <w:tab/>
        <w:t>01. 01. 2014</w:t>
      </w:r>
    </w:p>
    <w:p w14:paraId="09FC9B3B" w14:textId="4B1AB62B" w:rsidR="00A2351A" w:rsidRDefault="002D5C25">
      <w:pPr>
        <w:spacing w:after="120" w:line="312" w:lineRule="auto"/>
        <w:ind w:left="111" w:right="105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>
        <w:rPr>
          <w:rFonts w:ascii="Arial" w:eastAsia="Arial" w:hAnsi="Arial" w:cs="Arial"/>
          <w:b/>
          <w:bCs/>
          <w:color w:val="000000"/>
          <w:sz w:val="20"/>
        </w:rPr>
        <w:t>Sledované</w:t>
      </w:r>
      <w:proofErr w:type="spellEnd"/>
      <w:r>
        <w:rPr>
          <w:rFonts w:ascii="Arial" w:eastAsia="Arial" w:hAnsi="Arial" w:cs="Arial"/>
          <w:b/>
          <w:b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000000"/>
          <w:sz w:val="20"/>
        </w:rPr>
        <w:t>období</w:t>
      </w:r>
      <w:proofErr w:type="spellEnd"/>
      <w:r>
        <w:rPr>
          <w:rFonts w:ascii="Arial" w:eastAsia="Arial" w:hAnsi="Arial" w:cs="Arial"/>
          <w:b/>
          <w:bCs/>
          <w:color w:val="000000"/>
          <w:sz w:val="20"/>
        </w:rPr>
        <w:t xml:space="preserve"> do</w:t>
      </w:r>
      <w:r w:rsidR="004560E8">
        <w:rPr>
          <w:rFonts w:ascii="Arial" w:eastAsia="Arial" w:hAnsi="Arial" w:cs="Arial"/>
          <w:color w:val="000000"/>
          <w:sz w:val="20"/>
        </w:rPr>
        <w:t>:</w:t>
      </w:r>
      <w:r w:rsidR="004560E8">
        <w:rPr>
          <w:rFonts w:ascii="Arial" w:eastAsia="Arial" w:hAnsi="Arial" w:cs="Arial"/>
          <w:color w:val="000000"/>
          <w:sz w:val="20"/>
        </w:rPr>
        <w:tab/>
        <w:t>31. 12. 20</w:t>
      </w:r>
      <w:r w:rsidR="006D5700">
        <w:rPr>
          <w:rFonts w:ascii="Arial" w:eastAsia="Arial" w:hAnsi="Arial" w:cs="Arial"/>
          <w:color w:val="000000"/>
          <w:sz w:val="20"/>
        </w:rPr>
        <w:t>20</w:t>
      </w:r>
    </w:p>
    <w:p w14:paraId="58BFF5CC" w14:textId="77777777" w:rsidR="00A2351A" w:rsidRDefault="002D5C25">
      <w:pPr>
        <w:spacing w:after="120" w:line="312" w:lineRule="auto"/>
        <w:ind w:left="111" w:right="105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>
        <w:rPr>
          <w:rFonts w:ascii="Arial" w:eastAsia="Arial" w:hAnsi="Arial" w:cs="Arial"/>
          <w:b/>
          <w:bCs/>
          <w:color w:val="000000"/>
          <w:sz w:val="20"/>
        </w:rPr>
        <w:t>Zdroj</w:t>
      </w:r>
      <w:proofErr w:type="spellEnd"/>
      <w:r>
        <w:rPr>
          <w:rFonts w:ascii="Arial" w:eastAsia="Arial" w:hAnsi="Arial" w:cs="Arial"/>
          <w:b/>
          <w:b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000000"/>
          <w:sz w:val="20"/>
        </w:rPr>
        <w:t>dat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: MS2014+ </w:t>
      </w:r>
    </w:p>
    <w:p w14:paraId="57456754" w14:textId="77777777" w:rsidR="00A2351A" w:rsidRDefault="002D5C25">
      <w:pPr>
        <w:spacing w:after="120" w:line="312" w:lineRule="auto"/>
        <w:ind w:left="2235" w:right="105" w:hanging="2124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bCs/>
          <w:color w:val="000000"/>
          <w:sz w:val="20"/>
        </w:rPr>
        <w:t xml:space="preserve">Data </w:t>
      </w:r>
      <w:proofErr w:type="spellStart"/>
      <w:r>
        <w:rPr>
          <w:rFonts w:ascii="Arial" w:eastAsia="Arial" w:hAnsi="Arial" w:cs="Arial"/>
          <w:b/>
          <w:bCs/>
          <w:color w:val="000000"/>
          <w:sz w:val="20"/>
        </w:rPr>
        <w:t>platná</w:t>
      </w:r>
      <w:proofErr w:type="spellEnd"/>
      <w:r>
        <w:rPr>
          <w:rFonts w:ascii="Arial" w:eastAsia="Arial" w:hAnsi="Arial" w:cs="Arial"/>
          <w:b/>
          <w:bCs/>
          <w:color w:val="000000"/>
          <w:sz w:val="20"/>
        </w:rPr>
        <w:t xml:space="preserve"> od</w:t>
      </w:r>
      <w:r>
        <w:rPr>
          <w:rFonts w:ascii="Arial" w:eastAsia="Arial" w:hAnsi="Arial" w:cs="Arial"/>
          <w:color w:val="000000"/>
          <w:sz w:val="20"/>
        </w:rPr>
        <w:t>: 01. 01. 2014</w:t>
      </w:r>
    </w:p>
    <w:p w14:paraId="1C99E1A7" w14:textId="24EB406A" w:rsidR="00A2351A" w:rsidRDefault="002D5C25">
      <w:pPr>
        <w:spacing w:after="120" w:line="312" w:lineRule="auto"/>
        <w:ind w:left="2235" w:right="105" w:hanging="2124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bCs/>
          <w:color w:val="000000"/>
          <w:sz w:val="20"/>
        </w:rPr>
        <w:t xml:space="preserve">Data </w:t>
      </w:r>
      <w:proofErr w:type="spellStart"/>
      <w:r>
        <w:rPr>
          <w:rFonts w:ascii="Arial" w:eastAsia="Arial" w:hAnsi="Arial" w:cs="Arial"/>
          <w:b/>
          <w:bCs/>
          <w:color w:val="000000"/>
          <w:sz w:val="20"/>
        </w:rPr>
        <w:t>platná</w:t>
      </w:r>
      <w:proofErr w:type="spellEnd"/>
      <w:r>
        <w:rPr>
          <w:rFonts w:ascii="Arial" w:eastAsia="Arial" w:hAnsi="Arial" w:cs="Arial"/>
          <w:b/>
          <w:bCs/>
          <w:color w:val="000000"/>
          <w:sz w:val="20"/>
        </w:rPr>
        <w:t xml:space="preserve"> k</w:t>
      </w:r>
      <w:r w:rsidR="006004C9">
        <w:rPr>
          <w:rFonts w:ascii="Arial" w:eastAsia="Arial" w:hAnsi="Arial" w:cs="Arial"/>
          <w:color w:val="000000"/>
          <w:sz w:val="20"/>
        </w:rPr>
        <w:t>: 31. 12. 20</w:t>
      </w:r>
      <w:r w:rsidR="006D5700">
        <w:rPr>
          <w:rFonts w:ascii="Arial" w:eastAsia="Arial" w:hAnsi="Arial" w:cs="Arial"/>
          <w:color w:val="000000"/>
          <w:sz w:val="20"/>
        </w:rPr>
        <w:t>20</w:t>
      </w:r>
    </w:p>
    <w:p w14:paraId="567278DE" w14:textId="61791728" w:rsidR="00A2351A" w:rsidRDefault="002D5C25">
      <w:pPr>
        <w:spacing w:after="120" w:line="312" w:lineRule="auto"/>
        <w:ind w:left="111" w:right="105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bCs/>
          <w:color w:val="000000"/>
          <w:sz w:val="20"/>
        </w:rPr>
        <w:t xml:space="preserve">Datum </w:t>
      </w:r>
      <w:proofErr w:type="spellStart"/>
      <w:r>
        <w:rPr>
          <w:rFonts w:ascii="Arial" w:eastAsia="Arial" w:hAnsi="Arial" w:cs="Arial"/>
          <w:b/>
          <w:bCs/>
          <w:color w:val="000000"/>
          <w:sz w:val="20"/>
        </w:rPr>
        <w:t>generování</w:t>
      </w:r>
      <w:proofErr w:type="spellEnd"/>
      <w:r w:rsidR="004560E8">
        <w:rPr>
          <w:rFonts w:ascii="Arial" w:eastAsia="Arial" w:hAnsi="Arial" w:cs="Arial"/>
          <w:color w:val="000000"/>
          <w:sz w:val="20"/>
        </w:rPr>
        <w:t xml:space="preserve">: </w:t>
      </w:r>
      <w:r w:rsidR="00447203">
        <w:rPr>
          <w:rFonts w:ascii="Arial" w:eastAsia="Arial" w:hAnsi="Arial" w:cs="Arial"/>
          <w:color w:val="000000"/>
          <w:sz w:val="20"/>
        </w:rPr>
        <w:t>16</w:t>
      </w:r>
      <w:r w:rsidR="004560E8">
        <w:rPr>
          <w:rFonts w:ascii="Arial" w:eastAsia="Arial" w:hAnsi="Arial" w:cs="Arial"/>
          <w:color w:val="000000"/>
          <w:sz w:val="20"/>
        </w:rPr>
        <w:t>. 03. 202</w:t>
      </w:r>
      <w:r w:rsidR="006D5700">
        <w:rPr>
          <w:rFonts w:ascii="Arial" w:eastAsia="Arial" w:hAnsi="Arial" w:cs="Arial"/>
          <w:color w:val="000000"/>
          <w:sz w:val="20"/>
        </w:rPr>
        <w:t>1</w:t>
      </w:r>
    </w:p>
    <w:p w14:paraId="4EEDF548" w14:textId="77777777" w:rsidR="000B77CA" w:rsidRPr="005910A9" w:rsidRDefault="002D5C25" w:rsidP="000B77CA">
      <w:pPr>
        <w:pStyle w:val="Nadpis1"/>
        <w:numPr>
          <w:ilvl w:val="0"/>
          <w:numId w:val="0"/>
        </w:numPr>
      </w:pPr>
      <w:r>
        <w:br w:type="page"/>
      </w:r>
      <w:bookmarkStart w:id="2" w:name="_Toc3370025"/>
      <w:bookmarkStart w:id="3" w:name="_Toc66814529"/>
      <w:r w:rsidR="000B77CA" w:rsidRPr="005910A9">
        <w:lastRenderedPageBreak/>
        <w:t>Ú</w:t>
      </w:r>
      <w:r w:rsidR="000B77CA">
        <w:t>VOD</w:t>
      </w:r>
      <w:bookmarkEnd w:id="2"/>
      <w:bookmarkEnd w:id="3"/>
    </w:p>
    <w:p w14:paraId="2132137E" w14:textId="77777777" w:rsidR="00447203" w:rsidRDefault="00447203" w:rsidP="004560E8">
      <w:pPr>
        <w:spacing w:after="120" w:line="276" w:lineRule="auto"/>
        <w:jc w:val="both"/>
        <w:rPr>
          <w:rFonts w:ascii="Arial" w:hAnsi="Arial" w:cs="Arial"/>
          <w:b/>
          <w:bCs/>
          <w:color w:val="FF0000"/>
        </w:rPr>
      </w:pPr>
    </w:p>
    <w:p w14:paraId="74CC4CB0" w14:textId="25895943" w:rsidR="004560E8" w:rsidRPr="002356E8" w:rsidRDefault="004560E8" w:rsidP="004560E8">
      <w:pPr>
        <w:spacing w:after="120" w:line="276" w:lineRule="auto"/>
        <w:jc w:val="both"/>
        <w:rPr>
          <w:rFonts w:ascii="Arial" w:hAnsi="Arial" w:cs="Arial"/>
        </w:rPr>
      </w:pPr>
      <w:proofErr w:type="spellStart"/>
      <w:r w:rsidRPr="002356E8">
        <w:rPr>
          <w:rFonts w:ascii="Arial" w:hAnsi="Arial" w:cs="Arial"/>
        </w:rPr>
        <w:t>Výroční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zpráva</w:t>
      </w:r>
      <w:proofErr w:type="spellEnd"/>
      <w:r w:rsidRPr="002356E8">
        <w:rPr>
          <w:rFonts w:ascii="Arial" w:hAnsi="Arial" w:cs="Arial"/>
        </w:rPr>
        <w:t xml:space="preserve"> o </w:t>
      </w:r>
      <w:proofErr w:type="spellStart"/>
      <w:r w:rsidRPr="002356E8">
        <w:rPr>
          <w:rFonts w:ascii="Arial" w:hAnsi="Arial" w:cs="Arial"/>
        </w:rPr>
        <w:t>implementaci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Operačního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programu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="00867D12" w:rsidRPr="002356E8">
        <w:rPr>
          <w:rFonts w:ascii="Arial" w:hAnsi="Arial" w:cs="Arial"/>
        </w:rPr>
        <w:t>Zaměstnanost</w:t>
      </w:r>
      <w:proofErr w:type="spellEnd"/>
      <w:r w:rsidR="00867D12" w:rsidRPr="002356E8">
        <w:rPr>
          <w:rFonts w:ascii="Arial" w:hAnsi="Arial" w:cs="Arial"/>
        </w:rPr>
        <w:t xml:space="preserve"> za </w:t>
      </w:r>
      <w:proofErr w:type="spellStart"/>
      <w:r w:rsidR="00867D12" w:rsidRPr="002356E8">
        <w:rPr>
          <w:rFonts w:ascii="Arial" w:hAnsi="Arial" w:cs="Arial"/>
        </w:rPr>
        <w:t>rok</w:t>
      </w:r>
      <w:proofErr w:type="spellEnd"/>
      <w:r w:rsidR="00867D12" w:rsidRPr="002356E8">
        <w:rPr>
          <w:rFonts w:ascii="Arial" w:hAnsi="Arial" w:cs="Arial"/>
        </w:rPr>
        <w:t xml:space="preserve"> 20</w:t>
      </w:r>
      <w:r w:rsidR="002356E8">
        <w:rPr>
          <w:rFonts w:ascii="Arial" w:hAnsi="Arial" w:cs="Arial"/>
        </w:rPr>
        <w:t>20</w:t>
      </w:r>
      <w:r w:rsidR="00867D12" w:rsidRPr="002356E8">
        <w:rPr>
          <w:rFonts w:ascii="Arial" w:hAnsi="Arial" w:cs="Arial"/>
        </w:rPr>
        <w:t xml:space="preserve"> (</w:t>
      </w:r>
      <w:proofErr w:type="spellStart"/>
      <w:r w:rsidR="00867D12" w:rsidRPr="002356E8">
        <w:rPr>
          <w:rFonts w:ascii="Arial" w:hAnsi="Arial" w:cs="Arial"/>
        </w:rPr>
        <w:t>dle</w:t>
      </w:r>
      <w:proofErr w:type="spellEnd"/>
      <w:r w:rsidR="00867D12" w:rsidRPr="002356E8">
        <w:rPr>
          <w:rFonts w:ascii="Arial" w:hAnsi="Arial" w:cs="Arial"/>
        </w:rPr>
        <w:t xml:space="preserve"> </w:t>
      </w:r>
      <w:proofErr w:type="spellStart"/>
      <w:r w:rsidR="00867D12" w:rsidRPr="002356E8">
        <w:rPr>
          <w:rFonts w:ascii="Arial" w:hAnsi="Arial" w:cs="Arial"/>
        </w:rPr>
        <w:t>metodického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pokynu</w:t>
      </w:r>
      <w:proofErr w:type="spellEnd"/>
      <w:r w:rsidRPr="002356E8">
        <w:rPr>
          <w:rFonts w:ascii="Arial" w:hAnsi="Arial" w:cs="Arial"/>
        </w:rPr>
        <w:t xml:space="preserve"> MMR </w:t>
      </w:r>
      <w:proofErr w:type="spellStart"/>
      <w:r w:rsidRPr="002356E8">
        <w:rPr>
          <w:rFonts w:ascii="Arial" w:hAnsi="Arial" w:cs="Arial"/>
        </w:rPr>
        <w:t>jen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Výroční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zpráva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programu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Zaměstnanost</w:t>
      </w:r>
      <w:proofErr w:type="spellEnd"/>
      <w:r w:rsidRPr="002356E8">
        <w:rPr>
          <w:rFonts w:ascii="Arial" w:hAnsi="Arial" w:cs="Arial"/>
        </w:rPr>
        <w:t xml:space="preserve"> za </w:t>
      </w:r>
      <w:proofErr w:type="spellStart"/>
      <w:r w:rsidRPr="002356E8">
        <w:rPr>
          <w:rFonts w:ascii="Arial" w:hAnsi="Arial" w:cs="Arial"/>
        </w:rPr>
        <w:t>rok</w:t>
      </w:r>
      <w:proofErr w:type="spellEnd"/>
      <w:r w:rsidRPr="002356E8">
        <w:rPr>
          <w:rFonts w:ascii="Arial" w:hAnsi="Arial" w:cs="Arial"/>
        </w:rPr>
        <w:t xml:space="preserve"> 20</w:t>
      </w:r>
      <w:r w:rsidR="0051463B">
        <w:rPr>
          <w:rFonts w:ascii="Arial" w:hAnsi="Arial" w:cs="Arial"/>
        </w:rPr>
        <w:t>20</w:t>
      </w:r>
      <w:r w:rsidRPr="002356E8">
        <w:rPr>
          <w:rFonts w:ascii="Arial" w:hAnsi="Arial" w:cs="Arial"/>
        </w:rPr>
        <w:t xml:space="preserve">) je </w:t>
      </w:r>
      <w:proofErr w:type="spellStart"/>
      <w:r w:rsidRPr="002356E8">
        <w:rPr>
          <w:rFonts w:ascii="Arial" w:hAnsi="Arial" w:cs="Arial"/>
        </w:rPr>
        <w:t>uvedena</w:t>
      </w:r>
      <w:proofErr w:type="spellEnd"/>
      <w:r w:rsidRPr="002356E8">
        <w:rPr>
          <w:rFonts w:ascii="Arial" w:hAnsi="Arial" w:cs="Arial"/>
        </w:rPr>
        <w:t xml:space="preserve"> v </w:t>
      </w:r>
      <w:proofErr w:type="spellStart"/>
      <w:r w:rsidRPr="002356E8">
        <w:rPr>
          <w:rFonts w:ascii="Arial" w:hAnsi="Arial" w:cs="Arial"/>
        </w:rPr>
        <w:t>podobě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generované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příslušnou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šablonou</w:t>
      </w:r>
      <w:proofErr w:type="spellEnd"/>
      <w:r w:rsidRPr="002356E8">
        <w:rPr>
          <w:rFonts w:ascii="Arial" w:hAnsi="Arial" w:cs="Arial"/>
        </w:rPr>
        <w:t xml:space="preserve"> v </w:t>
      </w:r>
      <w:proofErr w:type="spellStart"/>
      <w:r w:rsidRPr="002356E8">
        <w:rPr>
          <w:rFonts w:ascii="Arial" w:hAnsi="Arial" w:cs="Arial"/>
        </w:rPr>
        <w:t>informačním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systému</w:t>
      </w:r>
      <w:proofErr w:type="spellEnd"/>
      <w:r w:rsidRPr="002356E8">
        <w:rPr>
          <w:rFonts w:ascii="Arial" w:hAnsi="Arial" w:cs="Arial"/>
        </w:rPr>
        <w:t xml:space="preserve"> MS2014+.</w:t>
      </w:r>
    </w:p>
    <w:p w14:paraId="5E41242D" w14:textId="7F51081D" w:rsidR="00910E46" w:rsidRPr="006D5700" w:rsidRDefault="004560E8" w:rsidP="004560E8">
      <w:pPr>
        <w:spacing w:after="120" w:line="276" w:lineRule="auto"/>
        <w:jc w:val="both"/>
        <w:rPr>
          <w:rFonts w:ascii="Arial" w:hAnsi="Arial" w:cs="Arial"/>
          <w:highlight w:val="lightGray"/>
        </w:rPr>
      </w:pPr>
      <w:proofErr w:type="spellStart"/>
      <w:r w:rsidRPr="002356E8">
        <w:rPr>
          <w:rFonts w:ascii="Arial" w:hAnsi="Arial" w:cs="Arial"/>
        </w:rPr>
        <w:t>Součástí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Výroční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zprávy</w:t>
      </w:r>
      <w:proofErr w:type="spellEnd"/>
      <w:r w:rsidRPr="002356E8">
        <w:rPr>
          <w:rFonts w:ascii="Arial" w:hAnsi="Arial" w:cs="Arial"/>
        </w:rPr>
        <w:t xml:space="preserve"> o </w:t>
      </w:r>
      <w:proofErr w:type="spellStart"/>
      <w:r w:rsidRPr="002356E8">
        <w:rPr>
          <w:rFonts w:ascii="Arial" w:hAnsi="Arial" w:cs="Arial"/>
        </w:rPr>
        <w:t>implementaci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Operačního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programu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Zaměstnanost</w:t>
      </w:r>
      <w:proofErr w:type="spellEnd"/>
      <w:r w:rsidRPr="002356E8">
        <w:rPr>
          <w:rFonts w:ascii="Arial" w:hAnsi="Arial" w:cs="Arial"/>
        </w:rPr>
        <w:t xml:space="preserve"> za </w:t>
      </w:r>
      <w:proofErr w:type="spellStart"/>
      <w:r w:rsidRPr="002356E8">
        <w:rPr>
          <w:rFonts w:ascii="Arial" w:hAnsi="Arial" w:cs="Arial"/>
        </w:rPr>
        <w:t>rok</w:t>
      </w:r>
      <w:proofErr w:type="spellEnd"/>
      <w:r w:rsidRPr="002356E8">
        <w:rPr>
          <w:rFonts w:ascii="Arial" w:hAnsi="Arial" w:cs="Arial"/>
        </w:rPr>
        <w:t xml:space="preserve"> 20</w:t>
      </w:r>
      <w:r w:rsidR="0051463B">
        <w:rPr>
          <w:rFonts w:ascii="Arial" w:hAnsi="Arial" w:cs="Arial"/>
        </w:rPr>
        <w:t>20</w:t>
      </w:r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jsou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přílohy</w:t>
      </w:r>
      <w:proofErr w:type="spellEnd"/>
      <w:r w:rsidRPr="002356E8">
        <w:rPr>
          <w:rFonts w:ascii="Arial" w:hAnsi="Arial" w:cs="Arial"/>
        </w:rPr>
        <w:t xml:space="preserve"> </w:t>
      </w:r>
      <w:r w:rsidRPr="005651FB">
        <w:rPr>
          <w:rFonts w:ascii="Arial" w:hAnsi="Arial" w:cs="Arial"/>
        </w:rPr>
        <w:t xml:space="preserve">č. 1 – 5, </w:t>
      </w:r>
      <w:proofErr w:type="spellStart"/>
      <w:r w:rsidRPr="002356E8">
        <w:rPr>
          <w:rFonts w:ascii="Arial" w:hAnsi="Arial" w:cs="Arial"/>
        </w:rPr>
        <w:t>obsahující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některé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rozsáhlejší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tabulky</w:t>
      </w:r>
      <w:proofErr w:type="spellEnd"/>
      <w:r w:rsidRPr="002356E8">
        <w:rPr>
          <w:rFonts w:ascii="Arial" w:hAnsi="Arial" w:cs="Arial"/>
        </w:rPr>
        <w:t xml:space="preserve"> a </w:t>
      </w:r>
      <w:proofErr w:type="spellStart"/>
      <w:r w:rsidRPr="002356E8">
        <w:rPr>
          <w:rFonts w:ascii="Arial" w:hAnsi="Arial" w:cs="Arial"/>
        </w:rPr>
        <w:t>zároveň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doplňující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informace</w:t>
      </w:r>
      <w:proofErr w:type="spellEnd"/>
      <w:r w:rsidRPr="002356E8">
        <w:rPr>
          <w:rFonts w:ascii="Arial" w:hAnsi="Arial" w:cs="Arial"/>
        </w:rPr>
        <w:t xml:space="preserve">, </w:t>
      </w:r>
      <w:proofErr w:type="spellStart"/>
      <w:r w:rsidRPr="002356E8">
        <w:rPr>
          <w:rFonts w:ascii="Arial" w:hAnsi="Arial" w:cs="Arial"/>
        </w:rPr>
        <w:t>které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vzhledem</w:t>
      </w:r>
      <w:proofErr w:type="spellEnd"/>
      <w:r w:rsidRPr="002356E8">
        <w:rPr>
          <w:rFonts w:ascii="Arial" w:hAnsi="Arial" w:cs="Arial"/>
        </w:rPr>
        <w:t xml:space="preserve"> k </w:t>
      </w:r>
      <w:proofErr w:type="spellStart"/>
      <w:r w:rsidRPr="002356E8">
        <w:rPr>
          <w:rFonts w:ascii="Arial" w:hAnsi="Arial" w:cs="Arial"/>
        </w:rPr>
        <w:t>omezenému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počtu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znaků</w:t>
      </w:r>
      <w:proofErr w:type="spellEnd"/>
      <w:r w:rsidRPr="002356E8">
        <w:rPr>
          <w:rFonts w:ascii="Arial" w:hAnsi="Arial" w:cs="Arial"/>
        </w:rPr>
        <w:t xml:space="preserve"> v </w:t>
      </w:r>
      <w:proofErr w:type="spellStart"/>
      <w:r w:rsidRPr="002356E8">
        <w:rPr>
          <w:rFonts w:ascii="Arial" w:hAnsi="Arial" w:cs="Arial"/>
        </w:rPr>
        <w:t>textových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polích</w:t>
      </w:r>
      <w:proofErr w:type="spellEnd"/>
      <w:r w:rsidRPr="002356E8">
        <w:rPr>
          <w:rFonts w:ascii="Arial" w:hAnsi="Arial" w:cs="Arial"/>
        </w:rPr>
        <w:t xml:space="preserve"> MS2014+ a SFC2014+ </w:t>
      </w:r>
      <w:proofErr w:type="spellStart"/>
      <w:r w:rsidRPr="002356E8">
        <w:rPr>
          <w:rFonts w:ascii="Arial" w:hAnsi="Arial" w:cs="Arial"/>
        </w:rPr>
        <w:t>nebylo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možné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vložit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přímo</w:t>
      </w:r>
      <w:proofErr w:type="spellEnd"/>
      <w:r w:rsidRPr="002356E8">
        <w:rPr>
          <w:rFonts w:ascii="Arial" w:hAnsi="Arial" w:cs="Arial"/>
        </w:rPr>
        <w:t xml:space="preserve"> do </w:t>
      </w:r>
      <w:proofErr w:type="spellStart"/>
      <w:r w:rsidRPr="002356E8">
        <w:rPr>
          <w:rFonts w:ascii="Arial" w:hAnsi="Arial" w:cs="Arial"/>
        </w:rPr>
        <w:t>zprávy</w:t>
      </w:r>
      <w:proofErr w:type="spellEnd"/>
      <w:r w:rsidRPr="002356E8">
        <w:rPr>
          <w:rFonts w:ascii="Arial" w:hAnsi="Arial" w:cs="Arial"/>
        </w:rPr>
        <w:t xml:space="preserve">. Tyto </w:t>
      </w:r>
      <w:proofErr w:type="spellStart"/>
      <w:r w:rsidRPr="002356E8">
        <w:rPr>
          <w:rFonts w:ascii="Arial" w:hAnsi="Arial" w:cs="Arial"/>
        </w:rPr>
        <w:t>přílohy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budou</w:t>
      </w:r>
      <w:proofErr w:type="spellEnd"/>
      <w:r w:rsidRPr="002356E8">
        <w:rPr>
          <w:rFonts w:ascii="Arial" w:hAnsi="Arial" w:cs="Arial"/>
        </w:rPr>
        <w:t xml:space="preserve"> po </w:t>
      </w:r>
      <w:proofErr w:type="spellStart"/>
      <w:r w:rsidRPr="002356E8">
        <w:rPr>
          <w:rFonts w:ascii="Arial" w:hAnsi="Arial" w:cs="Arial"/>
        </w:rPr>
        <w:t>schválení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zprávy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monitorovacím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výborem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nahrány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jako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samostatné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dokumenty</w:t>
      </w:r>
      <w:proofErr w:type="spellEnd"/>
      <w:r w:rsidRPr="002356E8">
        <w:rPr>
          <w:rFonts w:ascii="Arial" w:hAnsi="Arial" w:cs="Arial"/>
        </w:rPr>
        <w:t xml:space="preserve"> do MS2014+ a SFC2014+. </w:t>
      </w:r>
    </w:p>
    <w:p w14:paraId="7CC6FDA4" w14:textId="23342E7B" w:rsidR="009D15E9" w:rsidRDefault="009D15E9" w:rsidP="004560E8">
      <w:pPr>
        <w:spacing w:after="120" w:line="276" w:lineRule="auto"/>
        <w:jc w:val="both"/>
        <w:rPr>
          <w:rFonts w:ascii="Arial" w:hAnsi="Arial" w:cs="Arial"/>
        </w:rPr>
      </w:pPr>
      <w:r w:rsidRPr="002356E8">
        <w:rPr>
          <w:rFonts w:ascii="Arial" w:hAnsi="Arial" w:cs="Arial"/>
        </w:rPr>
        <w:t xml:space="preserve">Ze </w:t>
      </w:r>
      <w:proofErr w:type="spellStart"/>
      <w:r w:rsidRPr="002356E8">
        <w:rPr>
          <w:rFonts w:ascii="Arial" w:hAnsi="Arial" w:cs="Arial"/>
        </w:rPr>
        <w:t>zprávy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byly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smazány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kapitoly</w:t>
      </w:r>
      <w:proofErr w:type="spellEnd"/>
      <w:r w:rsidRPr="002356E8">
        <w:rPr>
          <w:rFonts w:ascii="Arial" w:hAnsi="Arial" w:cs="Arial"/>
        </w:rPr>
        <w:t xml:space="preserve"> 9 a 10, </w:t>
      </w:r>
      <w:proofErr w:type="spellStart"/>
      <w:r w:rsidRPr="002356E8">
        <w:rPr>
          <w:rFonts w:ascii="Arial" w:hAnsi="Arial" w:cs="Arial"/>
        </w:rPr>
        <w:t>které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jsou</w:t>
      </w:r>
      <w:proofErr w:type="spellEnd"/>
      <w:r w:rsidRPr="002356E8">
        <w:rPr>
          <w:rFonts w:ascii="Arial" w:hAnsi="Arial" w:cs="Arial"/>
        </w:rPr>
        <w:t xml:space="preserve"> pro program OPZ </w:t>
      </w:r>
      <w:proofErr w:type="spellStart"/>
      <w:r w:rsidRPr="002356E8">
        <w:rPr>
          <w:rFonts w:ascii="Arial" w:hAnsi="Arial" w:cs="Arial"/>
        </w:rPr>
        <w:t>nerelevantní</w:t>
      </w:r>
      <w:proofErr w:type="spellEnd"/>
      <w:r w:rsidRPr="002356E8">
        <w:rPr>
          <w:rFonts w:ascii="Arial" w:hAnsi="Arial" w:cs="Arial"/>
        </w:rPr>
        <w:t xml:space="preserve">. </w:t>
      </w:r>
      <w:proofErr w:type="spellStart"/>
      <w:r w:rsidRPr="002356E8">
        <w:rPr>
          <w:rFonts w:ascii="Arial" w:hAnsi="Arial" w:cs="Arial"/>
        </w:rPr>
        <w:t>B</w:t>
      </w:r>
      <w:r w:rsidR="00F12F3A" w:rsidRPr="002356E8">
        <w:rPr>
          <w:rFonts w:ascii="Arial" w:hAnsi="Arial" w:cs="Arial"/>
        </w:rPr>
        <w:t>yla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doplněna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kapitola</w:t>
      </w:r>
      <w:proofErr w:type="spellEnd"/>
      <w:r w:rsidRPr="002356E8">
        <w:rPr>
          <w:rFonts w:ascii="Arial" w:hAnsi="Arial" w:cs="Arial"/>
        </w:rPr>
        <w:t xml:space="preserve"> 14, </w:t>
      </w:r>
      <w:proofErr w:type="spellStart"/>
      <w:r w:rsidRPr="002356E8">
        <w:rPr>
          <w:rFonts w:ascii="Arial" w:hAnsi="Arial" w:cs="Arial"/>
        </w:rPr>
        <w:t>která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obsahuje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="00F12F3A" w:rsidRPr="002356E8">
        <w:rPr>
          <w:rFonts w:ascii="Arial" w:hAnsi="Arial" w:cs="Arial"/>
        </w:rPr>
        <w:t>dodatečné</w:t>
      </w:r>
      <w:proofErr w:type="spellEnd"/>
      <w:r w:rsidR="00F12F3A" w:rsidRPr="002356E8">
        <w:rPr>
          <w:rFonts w:ascii="Arial" w:hAnsi="Arial" w:cs="Arial"/>
        </w:rPr>
        <w:t xml:space="preserve"> </w:t>
      </w:r>
      <w:proofErr w:type="spellStart"/>
      <w:r w:rsidR="00F12F3A" w:rsidRPr="002356E8">
        <w:rPr>
          <w:rFonts w:ascii="Arial" w:hAnsi="Arial" w:cs="Arial"/>
        </w:rPr>
        <w:t>infomace</w:t>
      </w:r>
      <w:proofErr w:type="spellEnd"/>
      <w:r w:rsidR="00F12F3A" w:rsidRPr="002356E8">
        <w:rPr>
          <w:rFonts w:ascii="Arial" w:hAnsi="Arial" w:cs="Arial"/>
        </w:rPr>
        <w:t xml:space="preserve"> o </w:t>
      </w:r>
      <w:proofErr w:type="spellStart"/>
      <w:r w:rsidR="00F12F3A" w:rsidRPr="002356E8">
        <w:rPr>
          <w:rFonts w:ascii="Arial" w:hAnsi="Arial" w:cs="Arial"/>
        </w:rPr>
        <w:t>přínosu</w:t>
      </w:r>
      <w:proofErr w:type="spellEnd"/>
      <w:r w:rsidR="00F12F3A" w:rsidRPr="002356E8">
        <w:rPr>
          <w:rFonts w:ascii="Arial" w:hAnsi="Arial" w:cs="Arial"/>
        </w:rPr>
        <w:t xml:space="preserve"> k </w:t>
      </w:r>
      <w:proofErr w:type="spellStart"/>
      <w:r w:rsidR="00F12F3A" w:rsidRPr="002356E8">
        <w:rPr>
          <w:rFonts w:ascii="Arial" w:hAnsi="Arial" w:cs="Arial"/>
        </w:rPr>
        <w:t>makroregionálním</w:t>
      </w:r>
      <w:proofErr w:type="spellEnd"/>
      <w:r w:rsidR="00F12F3A" w:rsidRPr="002356E8">
        <w:rPr>
          <w:rFonts w:ascii="Arial" w:hAnsi="Arial" w:cs="Arial"/>
        </w:rPr>
        <w:t xml:space="preserve"> </w:t>
      </w:r>
      <w:proofErr w:type="spellStart"/>
      <w:r w:rsidR="00F12F3A" w:rsidRPr="002356E8">
        <w:rPr>
          <w:rFonts w:ascii="Arial" w:hAnsi="Arial" w:cs="Arial"/>
        </w:rPr>
        <w:t>strategiím</w:t>
      </w:r>
      <w:proofErr w:type="spellEnd"/>
      <w:r w:rsidR="00F12F3A" w:rsidRPr="002356E8">
        <w:rPr>
          <w:rFonts w:ascii="Arial" w:hAnsi="Arial" w:cs="Arial"/>
        </w:rPr>
        <w:t>.</w:t>
      </w:r>
    </w:p>
    <w:p w14:paraId="23E7D769" w14:textId="236F2B84" w:rsidR="00A67405" w:rsidRDefault="005651FB" w:rsidP="004560E8">
      <w:pPr>
        <w:spacing w:after="120" w:line="276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Zpráva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byla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vygenerována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zpracována</w:t>
      </w:r>
      <w:proofErr w:type="spellEnd"/>
      <w:r>
        <w:rPr>
          <w:rFonts w:ascii="Arial" w:hAnsi="Arial" w:cs="Arial"/>
        </w:rPr>
        <w:t xml:space="preserve"> v MS2014+ </w:t>
      </w:r>
      <w:proofErr w:type="spellStart"/>
      <w:r>
        <w:rPr>
          <w:rFonts w:ascii="Arial" w:hAnsi="Arial" w:cs="Arial"/>
        </w:rPr>
        <w:t>dle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požadavku</w:t>
      </w:r>
      <w:proofErr w:type="spellEnd"/>
      <w:r>
        <w:rPr>
          <w:rFonts w:ascii="Arial" w:hAnsi="Arial" w:cs="Arial"/>
        </w:rPr>
        <w:t xml:space="preserve"> MP </w:t>
      </w:r>
      <w:proofErr w:type="spellStart"/>
      <w:r>
        <w:rPr>
          <w:rFonts w:ascii="Arial" w:hAnsi="Arial" w:cs="Arial"/>
        </w:rPr>
        <w:t>monitorování</w:t>
      </w:r>
      <w:proofErr w:type="spellEnd"/>
      <w:r>
        <w:rPr>
          <w:rFonts w:ascii="Arial" w:hAnsi="Arial" w:cs="Arial"/>
        </w:rPr>
        <w:t xml:space="preserve">. </w:t>
      </w:r>
      <w:proofErr w:type="spellStart"/>
      <w:r w:rsidR="007C0675">
        <w:rPr>
          <w:rFonts w:ascii="Arial" w:hAnsi="Arial" w:cs="Arial"/>
        </w:rPr>
        <w:t>Systém</w:t>
      </w:r>
      <w:proofErr w:type="spellEnd"/>
      <w:r w:rsidR="007C0675">
        <w:rPr>
          <w:rFonts w:ascii="Arial" w:hAnsi="Arial" w:cs="Arial"/>
        </w:rPr>
        <w:t xml:space="preserve"> MS2014+ </w:t>
      </w:r>
      <w:proofErr w:type="spellStart"/>
      <w:r w:rsidR="007C0675">
        <w:rPr>
          <w:rFonts w:ascii="Arial" w:hAnsi="Arial" w:cs="Arial"/>
        </w:rPr>
        <w:t>nezohledňuje</w:t>
      </w:r>
      <w:proofErr w:type="spellEnd"/>
      <w:r w:rsidR="007C0675">
        <w:rPr>
          <w:rFonts w:ascii="Arial" w:hAnsi="Arial" w:cs="Arial"/>
        </w:rPr>
        <w:t xml:space="preserve"> </w:t>
      </w:r>
      <w:proofErr w:type="spellStart"/>
      <w:r w:rsidR="007C0675">
        <w:rPr>
          <w:rFonts w:ascii="Arial" w:hAnsi="Arial" w:cs="Arial"/>
        </w:rPr>
        <w:t>validační</w:t>
      </w:r>
      <w:proofErr w:type="spellEnd"/>
      <w:r w:rsidR="007C0675">
        <w:rPr>
          <w:rFonts w:ascii="Arial" w:hAnsi="Arial" w:cs="Arial"/>
        </w:rPr>
        <w:t xml:space="preserve"> </w:t>
      </w:r>
      <w:proofErr w:type="spellStart"/>
      <w:r w:rsidR="007C0675">
        <w:rPr>
          <w:rFonts w:ascii="Arial" w:hAnsi="Arial" w:cs="Arial"/>
        </w:rPr>
        <w:t>pravidla</w:t>
      </w:r>
      <w:proofErr w:type="spellEnd"/>
      <w:r w:rsidR="007C0675">
        <w:rPr>
          <w:rFonts w:ascii="Arial" w:hAnsi="Arial" w:cs="Arial"/>
        </w:rPr>
        <w:t xml:space="preserve"> </w:t>
      </w:r>
      <w:proofErr w:type="spellStart"/>
      <w:r w:rsidR="007C0675">
        <w:rPr>
          <w:rFonts w:ascii="Arial" w:hAnsi="Arial" w:cs="Arial"/>
        </w:rPr>
        <w:t>požadovaná</w:t>
      </w:r>
      <w:proofErr w:type="spellEnd"/>
      <w:r w:rsidR="007C0675">
        <w:rPr>
          <w:rFonts w:ascii="Arial" w:hAnsi="Arial" w:cs="Arial"/>
        </w:rPr>
        <w:t xml:space="preserve"> v SFC2014+ a proto </w:t>
      </w:r>
      <w:proofErr w:type="spellStart"/>
      <w:r w:rsidR="007C0675">
        <w:rPr>
          <w:rFonts w:ascii="Arial" w:hAnsi="Arial" w:cs="Arial"/>
        </w:rPr>
        <w:t>byly</w:t>
      </w:r>
      <w:proofErr w:type="spellEnd"/>
      <w:r w:rsidR="007C0675">
        <w:rPr>
          <w:rFonts w:ascii="Arial" w:hAnsi="Arial" w:cs="Arial"/>
        </w:rPr>
        <w:t xml:space="preserve"> </w:t>
      </w:r>
      <w:proofErr w:type="spellStart"/>
      <w:r w:rsidR="007C0675">
        <w:rPr>
          <w:rFonts w:ascii="Arial" w:hAnsi="Arial" w:cs="Arial"/>
        </w:rPr>
        <w:t>tabulky</w:t>
      </w:r>
      <w:proofErr w:type="spellEnd"/>
      <w:r w:rsidR="007C0675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obsahující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informace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dosažených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hodnotách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indikátorů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7C0675">
        <w:rPr>
          <w:rFonts w:ascii="Arial" w:hAnsi="Arial" w:cs="Arial"/>
        </w:rPr>
        <w:t>zpracovány</w:t>
      </w:r>
      <w:proofErr w:type="spellEnd"/>
      <w:r w:rsidR="007C0675">
        <w:rPr>
          <w:rFonts w:ascii="Arial" w:hAnsi="Arial" w:cs="Arial"/>
        </w:rPr>
        <w:t xml:space="preserve"> </w:t>
      </w:r>
      <w:proofErr w:type="spellStart"/>
      <w:r w:rsidR="007C0675">
        <w:rPr>
          <w:rFonts w:ascii="Arial" w:hAnsi="Arial" w:cs="Arial"/>
        </w:rPr>
        <w:t>ručně</w:t>
      </w:r>
      <w:proofErr w:type="spellEnd"/>
      <w:r w:rsidR="00014F91">
        <w:rPr>
          <w:rFonts w:ascii="Arial" w:hAnsi="Arial" w:cs="Arial"/>
        </w:rPr>
        <w:t xml:space="preserve"> a to v </w:t>
      </w:r>
      <w:proofErr w:type="spellStart"/>
      <w:r w:rsidR="00014F91">
        <w:rPr>
          <w:rFonts w:ascii="Arial" w:hAnsi="Arial" w:cs="Arial"/>
        </w:rPr>
        <w:t>požadovaném</w:t>
      </w:r>
      <w:proofErr w:type="spellEnd"/>
      <w:r w:rsidR="00014F91">
        <w:rPr>
          <w:rFonts w:ascii="Arial" w:hAnsi="Arial" w:cs="Arial"/>
        </w:rPr>
        <w:t xml:space="preserve"> </w:t>
      </w:r>
      <w:proofErr w:type="spellStart"/>
      <w:r w:rsidR="00014F91">
        <w:rPr>
          <w:rFonts w:ascii="Arial" w:hAnsi="Arial" w:cs="Arial"/>
        </w:rPr>
        <w:t>formátu</w:t>
      </w:r>
      <w:proofErr w:type="spellEnd"/>
      <w:r w:rsidR="007C0675">
        <w:rPr>
          <w:rFonts w:ascii="Arial" w:hAnsi="Arial" w:cs="Arial"/>
        </w:rPr>
        <w:t xml:space="preserve">. </w:t>
      </w:r>
    </w:p>
    <w:p w14:paraId="7AE52D9B" w14:textId="71F9641B" w:rsidR="00602F0C" w:rsidRPr="002356E8" w:rsidRDefault="00602F0C" w:rsidP="004560E8">
      <w:pPr>
        <w:spacing w:after="120" w:line="276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Schválená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zpráva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bude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následně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manuálně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nahrána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systému</w:t>
      </w:r>
      <w:proofErr w:type="spellEnd"/>
      <w:r>
        <w:rPr>
          <w:rFonts w:ascii="Arial" w:hAnsi="Arial" w:cs="Arial"/>
        </w:rPr>
        <w:t xml:space="preserve"> SFC2014+. </w:t>
      </w:r>
    </w:p>
    <w:p w14:paraId="0F354E29" w14:textId="77777777" w:rsidR="00922338" w:rsidRDefault="004560E8" w:rsidP="004560E8">
      <w:pPr>
        <w:spacing w:after="120" w:line="276" w:lineRule="auto"/>
        <w:jc w:val="both"/>
        <w:rPr>
          <w:rFonts w:ascii="Arial" w:hAnsi="Arial" w:cs="Arial"/>
        </w:rPr>
      </w:pPr>
      <w:proofErr w:type="spellStart"/>
      <w:r w:rsidRPr="002356E8">
        <w:rPr>
          <w:rFonts w:ascii="Arial" w:hAnsi="Arial" w:cs="Arial"/>
        </w:rPr>
        <w:t>Příloha</w:t>
      </w:r>
      <w:proofErr w:type="spellEnd"/>
      <w:r w:rsidRPr="002356E8">
        <w:rPr>
          <w:rFonts w:ascii="Arial" w:hAnsi="Arial" w:cs="Arial"/>
        </w:rPr>
        <w:t xml:space="preserve"> č. 1 </w:t>
      </w:r>
      <w:proofErr w:type="spellStart"/>
      <w:r w:rsidRPr="002356E8">
        <w:rPr>
          <w:rFonts w:ascii="Arial" w:hAnsi="Arial" w:cs="Arial"/>
        </w:rPr>
        <w:t>obsahuje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doplňující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informace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ke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kapitole</w:t>
      </w:r>
      <w:proofErr w:type="spellEnd"/>
      <w:r w:rsidRPr="002356E8">
        <w:rPr>
          <w:rFonts w:ascii="Arial" w:hAnsi="Arial" w:cs="Arial"/>
        </w:rPr>
        <w:t xml:space="preserve"> 3.1 </w:t>
      </w:r>
      <w:proofErr w:type="spellStart"/>
      <w:r w:rsidRPr="002356E8">
        <w:rPr>
          <w:rFonts w:ascii="Arial" w:hAnsi="Arial" w:cs="Arial"/>
        </w:rPr>
        <w:t>Přehled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implementace</w:t>
      </w:r>
      <w:proofErr w:type="spellEnd"/>
      <w:r w:rsidRPr="002356E8">
        <w:rPr>
          <w:rFonts w:ascii="Arial" w:hAnsi="Arial" w:cs="Arial"/>
        </w:rPr>
        <w:t xml:space="preserve">, </w:t>
      </w:r>
      <w:proofErr w:type="spellStart"/>
      <w:r w:rsidRPr="002356E8">
        <w:rPr>
          <w:rFonts w:ascii="Arial" w:hAnsi="Arial" w:cs="Arial"/>
        </w:rPr>
        <w:t>kde</w:t>
      </w:r>
      <w:proofErr w:type="spellEnd"/>
      <w:r w:rsidRPr="002356E8">
        <w:rPr>
          <w:rFonts w:ascii="Arial" w:hAnsi="Arial" w:cs="Arial"/>
        </w:rPr>
        <w:t xml:space="preserve"> je </w:t>
      </w:r>
      <w:proofErr w:type="spellStart"/>
      <w:r w:rsidRPr="002356E8">
        <w:rPr>
          <w:rFonts w:ascii="Arial" w:hAnsi="Arial" w:cs="Arial"/>
        </w:rPr>
        <w:t>podrobněji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popsáno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provádění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podle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prioritních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os</w:t>
      </w:r>
      <w:proofErr w:type="spellEnd"/>
      <w:r w:rsidRPr="002356E8">
        <w:rPr>
          <w:rFonts w:ascii="Arial" w:hAnsi="Arial" w:cs="Arial"/>
        </w:rPr>
        <w:t xml:space="preserve"> </w:t>
      </w:r>
      <w:proofErr w:type="gramStart"/>
      <w:r w:rsidRPr="002356E8">
        <w:rPr>
          <w:rFonts w:ascii="Arial" w:hAnsi="Arial" w:cs="Arial"/>
        </w:rPr>
        <w:t>a</w:t>
      </w:r>
      <w:proofErr w:type="gram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investičních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priorit</w:t>
      </w:r>
      <w:proofErr w:type="spellEnd"/>
      <w:r w:rsidRPr="002356E8">
        <w:rPr>
          <w:rFonts w:ascii="Arial" w:hAnsi="Arial" w:cs="Arial"/>
        </w:rPr>
        <w:t xml:space="preserve">, </w:t>
      </w:r>
      <w:proofErr w:type="spellStart"/>
      <w:r w:rsidRPr="002356E8">
        <w:rPr>
          <w:rFonts w:ascii="Arial" w:hAnsi="Arial" w:cs="Arial"/>
        </w:rPr>
        <w:t>které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formát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šablony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neumožňuje</w:t>
      </w:r>
      <w:proofErr w:type="spellEnd"/>
      <w:r w:rsidRPr="002356E8">
        <w:rPr>
          <w:rFonts w:ascii="Arial" w:hAnsi="Arial" w:cs="Arial"/>
        </w:rPr>
        <w:t xml:space="preserve">. </w:t>
      </w:r>
    </w:p>
    <w:p w14:paraId="0B77762C" w14:textId="5A050FA0" w:rsidR="004560E8" w:rsidRPr="002356E8" w:rsidRDefault="008B7797" w:rsidP="004560E8">
      <w:pPr>
        <w:spacing w:after="120" w:line="276" w:lineRule="auto"/>
        <w:jc w:val="both"/>
        <w:rPr>
          <w:rFonts w:ascii="Arial" w:hAnsi="Arial" w:cs="Arial"/>
        </w:rPr>
      </w:pPr>
      <w:proofErr w:type="spellStart"/>
      <w:r w:rsidRPr="002356E8">
        <w:rPr>
          <w:rFonts w:ascii="Arial" w:hAnsi="Arial" w:cs="Arial"/>
        </w:rPr>
        <w:t>Příloha</w:t>
      </w:r>
      <w:proofErr w:type="spellEnd"/>
      <w:r w:rsidRPr="002356E8">
        <w:rPr>
          <w:rFonts w:ascii="Arial" w:hAnsi="Arial" w:cs="Arial"/>
        </w:rPr>
        <w:t xml:space="preserve"> č. 2</w:t>
      </w:r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obsahuje</w:t>
      </w:r>
      <w:proofErr w:type="spellEnd"/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doplňující</w:t>
      </w:r>
      <w:proofErr w:type="spellEnd"/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informace</w:t>
      </w:r>
      <w:proofErr w:type="spellEnd"/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ke</w:t>
      </w:r>
      <w:proofErr w:type="spellEnd"/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kapitole</w:t>
      </w:r>
      <w:proofErr w:type="spellEnd"/>
      <w:r w:rsidR="004560E8" w:rsidRPr="002356E8">
        <w:rPr>
          <w:rFonts w:ascii="Arial" w:hAnsi="Arial" w:cs="Arial"/>
        </w:rPr>
        <w:t xml:space="preserve"> 3.2 </w:t>
      </w:r>
      <w:proofErr w:type="spellStart"/>
      <w:r w:rsidR="004560E8" w:rsidRPr="002356E8">
        <w:rPr>
          <w:rFonts w:ascii="Arial" w:hAnsi="Arial" w:cs="Arial"/>
        </w:rPr>
        <w:t>Společné</w:t>
      </w:r>
      <w:proofErr w:type="spellEnd"/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indikátory</w:t>
      </w:r>
      <w:proofErr w:type="spellEnd"/>
      <w:r w:rsidR="004560E8" w:rsidRPr="002356E8">
        <w:rPr>
          <w:rFonts w:ascii="Arial" w:hAnsi="Arial" w:cs="Arial"/>
        </w:rPr>
        <w:t xml:space="preserve"> </w:t>
      </w:r>
      <w:proofErr w:type="gramStart"/>
      <w:r w:rsidR="004560E8" w:rsidRPr="002356E8">
        <w:rPr>
          <w:rFonts w:ascii="Arial" w:hAnsi="Arial" w:cs="Arial"/>
        </w:rPr>
        <w:t>a</w:t>
      </w:r>
      <w:proofErr w:type="gramEnd"/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indikátory</w:t>
      </w:r>
      <w:proofErr w:type="spellEnd"/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specifické</w:t>
      </w:r>
      <w:proofErr w:type="spellEnd"/>
      <w:r w:rsidR="004560E8" w:rsidRPr="002356E8">
        <w:rPr>
          <w:rFonts w:ascii="Arial" w:hAnsi="Arial" w:cs="Arial"/>
        </w:rPr>
        <w:t xml:space="preserve"> pro </w:t>
      </w:r>
      <w:proofErr w:type="spellStart"/>
      <w:r w:rsidR="004560E8" w:rsidRPr="002356E8">
        <w:rPr>
          <w:rFonts w:ascii="Arial" w:hAnsi="Arial" w:cs="Arial"/>
        </w:rPr>
        <w:t>jednotlivé</w:t>
      </w:r>
      <w:proofErr w:type="spellEnd"/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programy</w:t>
      </w:r>
      <w:proofErr w:type="spellEnd"/>
      <w:r w:rsidR="004560E8" w:rsidRPr="002356E8">
        <w:rPr>
          <w:rFonts w:ascii="Arial" w:hAnsi="Arial" w:cs="Arial"/>
        </w:rPr>
        <w:t xml:space="preserve">. </w:t>
      </w:r>
    </w:p>
    <w:p w14:paraId="0D3A6DE0" w14:textId="2249770F" w:rsidR="004560E8" w:rsidRPr="002356E8" w:rsidRDefault="008B7797" w:rsidP="004560E8">
      <w:pPr>
        <w:spacing w:after="120" w:line="276" w:lineRule="auto"/>
        <w:jc w:val="both"/>
        <w:rPr>
          <w:rFonts w:ascii="Arial" w:hAnsi="Arial" w:cs="Arial"/>
        </w:rPr>
      </w:pPr>
      <w:proofErr w:type="spellStart"/>
      <w:r w:rsidRPr="002356E8">
        <w:rPr>
          <w:rFonts w:ascii="Arial" w:hAnsi="Arial" w:cs="Arial"/>
        </w:rPr>
        <w:t>Příloha</w:t>
      </w:r>
      <w:proofErr w:type="spellEnd"/>
      <w:r w:rsidRPr="002356E8">
        <w:rPr>
          <w:rFonts w:ascii="Arial" w:hAnsi="Arial" w:cs="Arial"/>
        </w:rPr>
        <w:t xml:space="preserve"> č. 3</w:t>
      </w:r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obsahuje</w:t>
      </w:r>
      <w:proofErr w:type="spellEnd"/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tabulku</w:t>
      </w:r>
      <w:proofErr w:type="spellEnd"/>
      <w:r w:rsidR="004560E8" w:rsidRPr="002356E8">
        <w:rPr>
          <w:rFonts w:ascii="Arial" w:hAnsi="Arial" w:cs="Arial"/>
        </w:rPr>
        <w:t xml:space="preserve"> </w:t>
      </w:r>
      <w:r w:rsidR="00B158B8" w:rsidRPr="002356E8">
        <w:rPr>
          <w:rFonts w:ascii="Arial" w:hAnsi="Arial" w:cs="Arial"/>
        </w:rPr>
        <w:t xml:space="preserve">č. </w:t>
      </w:r>
      <w:r w:rsidR="004560E8" w:rsidRPr="002356E8">
        <w:rPr>
          <w:rFonts w:ascii="Arial" w:hAnsi="Arial" w:cs="Arial"/>
        </w:rPr>
        <w:t xml:space="preserve">7 </w:t>
      </w:r>
      <w:proofErr w:type="spellStart"/>
      <w:r w:rsidR="004560E8" w:rsidRPr="002356E8">
        <w:rPr>
          <w:rFonts w:ascii="Arial" w:hAnsi="Arial" w:cs="Arial"/>
        </w:rPr>
        <w:t>Rozdělení</w:t>
      </w:r>
      <w:proofErr w:type="spellEnd"/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kumulativních</w:t>
      </w:r>
      <w:proofErr w:type="spellEnd"/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finančních</w:t>
      </w:r>
      <w:proofErr w:type="spellEnd"/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údajů</w:t>
      </w:r>
      <w:proofErr w:type="spellEnd"/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podle</w:t>
      </w:r>
      <w:proofErr w:type="spellEnd"/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kategorie</w:t>
      </w:r>
      <w:proofErr w:type="spellEnd"/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intervencí</w:t>
      </w:r>
      <w:proofErr w:type="spellEnd"/>
      <w:r w:rsidR="004560E8" w:rsidRPr="002356E8">
        <w:rPr>
          <w:rFonts w:ascii="Arial" w:hAnsi="Arial" w:cs="Arial"/>
        </w:rPr>
        <w:t xml:space="preserve"> u EFRR, ESF a Fondu </w:t>
      </w:r>
      <w:proofErr w:type="spellStart"/>
      <w:r w:rsidR="004560E8" w:rsidRPr="002356E8">
        <w:rPr>
          <w:rFonts w:ascii="Arial" w:hAnsi="Arial" w:cs="Arial"/>
        </w:rPr>
        <w:t>soudržnosti</w:t>
      </w:r>
      <w:proofErr w:type="spellEnd"/>
      <w:r w:rsidR="004560E8" w:rsidRPr="002356E8">
        <w:rPr>
          <w:rFonts w:ascii="Arial" w:hAnsi="Arial" w:cs="Arial"/>
        </w:rPr>
        <w:t xml:space="preserve">, </w:t>
      </w:r>
      <w:proofErr w:type="spellStart"/>
      <w:r w:rsidR="004560E8" w:rsidRPr="002356E8">
        <w:rPr>
          <w:rFonts w:ascii="Arial" w:hAnsi="Arial" w:cs="Arial"/>
        </w:rPr>
        <w:t>která</w:t>
      </w:r>
      <w:proofErr w:type="spellEnd"/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byla</w:t>
      </w:r>
      <w:proofErr w:type="spellEnd"/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vzhledem</w:t>
      </w:r>
      <w:proofErr w:type="spellEnd"/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ke</w:t>
      </w:r>
      <w:proofErr w:type="spellEnd"/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svému</w:t>
      </w:r>
      <w:proofErr w:type="spellEnd"/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rozsahu</w:t>
      </w:r>
      <w:proofErr w:type="spellEnd"/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vyňata</w:t>
      </w:r>
      <w:proofErr w:type="spellEnd"/>
      <w:r w:rsidR="004560E8" w:rsidRPr="002356E8">
        <w:rPr>
          <w:rFonts w:ascii="Arial" w:hAnsi="Arial" w:cs="Arial"/>
        </w:rPr>
        <w:t xml:space="preserve"> z </w:t>
      </w:r>
      <w:proofErr w:type="spellStart"/>
      <w:r w:rsidR="004560E8" w:rsidRPr="002356E8">
        <w:rPr>
          <w:rFonts w:ascii="Arial" w:hAnsi="Arial" w:cs="Arial"/>
        </w:rPr>
        <w:t>vygenerované</w:t>
      </w:r>
      <w:proofErr w:type="spellEnd"/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výroční</w:t>
      </w:r>
      <w:proofErr w:type="spellEnd"/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zprávy</w:t>
      </w:r>
      <w:proofErr w:type="spellEnd"/>
      <w:r w:rsidR="004560E8" w:rsidRPr="002356E8">
        <w:rPr>
          <w:rFonts w:ascii="Arial" w:hAnsi="Arial" w:cs="Arial"/>
        </w:rPr>
        <w:t>.</w:t>
      </w:r>
    </w:p>
    <w:p w14:paraId="14080298" w14:textId="47A655C4" w:rsidR="008B7797" w:rsidRPr="002356E8" w:rsidRDefault="008B7797" w:rsidP="004560E8">
      <w:pPr>
        <w:spacing w:after="120" w:line="276" w:lineRule="auto"/>
        <w:jc w:val="both"/>
        <w:rPr>
          <w:rFonts w:ascii="Arial" w:hAnsi="Arial" w:cs="Arial"/>
        </w:rPr>
      </w:pPr>
      <w:proofErr w:type="spellStart"/>
      <w:r w:rsidRPr="002356E8">
        <w:rPr>
          <w:rFonts w:ascii="Arial" w:hAnsi="Arial" w:cs="Arial"/>
        </w:rPr>
        <w:t>Příloha</w:t>
      </w:r>
      <w:proofErr w:type="spellEnd"/>
      <w:r w:rsidRPr="002356E8">
        <w:rPr>
          <w:rFonts w:ascii="Arial" w:hAnsi="Arial" w:cs="Arial"/>
        </w:rPr>
        <w:t xml:space="preserve"> č. 4 </w:t>
      </w:r>
      <w:proofErr w:type="spellStart"/>
      <w:r w:rsidRPr="002356E8">
        <w:rPr>
          <w:rFonts w:ascii="Arial" w:hAnsi="Arial" w:cs="Arial"/>
        </w:rPr>
        <w:t>obsahuje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doplňující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informace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ke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kapitole</w:t>
      </w:r>
      <w:proofErr w:type="spellEnd"/>
      <w:r w:rsidRPr="002356E8">
        <w:rPr>
          <w:rFonts w:ascii="Arial" w:hAnsi="Arial" w:cs="Arial"/>
        </w:rPr>
        <w:t xml:space="preserve"> 4 </w:t>
      </w:r>
      <w:proofErr w:type="spellStart"/>
      <w:r w:rsidRPr="002356E8">
        <w:rPr>
          <w:rFonts w:ascii="Arial" w:hAnsi="Arial" w:cs="Arial"/>
        </w:rPr>
        <w:t>Shrnutí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evaluací</w:t>
      </w:r>
      <w:proofErr w:type="spellEnd"/>
      <w:r w:rsidRPr="002356E8">
        <w:rPr>
          <w:rFonts w:ascii="Arial" w:hAnsi="Arial" w:cs="Arial"/>
        </w:rPr>
        <w:t>.</w:t>
      </w:r>
    </w:p>
    <w:p w14:paraId="1CEF5B94" w14:textId="1BB49E75" w:rsidR="0028798C" w:rsidRPr="006D5700" w:rsidRDefault="0028798C" w:rsidP="004560E8">
      <w:pPr>
        <w:spacing w:after="120" w:line="276" w:lineRule="auto"/>
        <w:jc w:val="both"/>
        <w:rPr>
          <w:rFonts w:ascii="Arial" w:hAnsi="Arial" w:cs="Arial"/>
          <w:highlight w:val="lightGray"/>
        </w:rPr>
      </w:pPr>
      <w:proofErr w:type="spellStart"/>
      <w:r w:rsidRPr="002356E8">
        <w:rPr>
          <w:rFonts w:ascii="Arial" w:hAnsi="Arial" w:cs="Arial"/>
        </w:rPr>
        <w:t>Příloha</w:t>
      </w:r>
      <w:proofErr w:type="spellEnd"/>
      <w:r w:rsidRPr="002356E8">
        <w:rPr>
          <w:rFonts w:ascii="Arial" w:hAnsi="Arial" w:cs="Arial"/>
        </w:rPr>
        <w:t xml:space="preserve"> č. </w:t>
      </w:r>
      <w:r w:rsidR="00101CBF" w:rsidRPr="00447203">
        <w:rPr>
          <w:rFonts w:ascii="Arial" w:hAnsi="Arial" w:cs="Arial"/>
        </w:rPr>
        <w:t>5</w:t>
      </w:r>
      <w:r w:rsidRPr="00447203">
        <w:rPr>
          <w:rFonts w:ascii="Arial" w:hAnsi="Arial" w:cs="Arial"/>
        </w:rPr>
        <w:t xml:space="preserve"> </w:t>
      </w:r>
      <w:proofErr w:type="spellStart"/>
      <w:r w:rsidR="00817954">
        <w:rPr>
          <w:rFonts w:ascii="Arial" w:hAnsi="Arial" w:cs="Arial"/>
        </w:rPr>
        <w:t>obsahuje</w:t>
      </w:r>
      <w:proofErr w:type="spellEnd"/>
      <w:r w:rsidR="00817954">
        <w:rPr>
          <w:rFonts w:ascii="Arial" w:hAnsi="Arial" w:cs="Arial"/>
        </w:rPr>
        <w:t xml:space="preserve"> </w:t>
      </w:r>
      <w:proofErr w:type="spellStart"/>
      <w:r w:rsidR="00B158B8" w:rsidRPr="00447203">
        <w:rPr>
          <w:rFonts w:ascii="Arial" w:hAnsi="Arial" w:cs="Arial"/>
        </w:rPr>
        <w:t>Z</w:t>
      </w:r>
      <w:r w:rsidRPr="00447203">
        <w:rPr>
          <w:rFonts w:ascii="Arial" w:hAnsi="Arial" w:cs="Arial"/>
        </w:rPr>
        <w:t>právu</w:t>
      </w:r>
      <w:proofErr w:type="spellEnd"/>
      <w:r w:rsidRPr="00447203">
        <w:rPr>
          <w:rFonts w:ascii="Arial" w:hAnsi="Arial" w:cs="Arial"/>
        </w:rPr>
        <w:t xml:space="preserve"> o </w:t>
      </w:r>
      <w:proofErr w:type="spellStart"/>
      <w:r w:rsidRPr="00447203">
        <w:rPr>
          <w:rFonts w:ascii="Arial" w:hAnsi="Arial" w:cs="Arial"/>
        </w:rPr>
        <w:t>implementaci</w:t>
      </w:r>
      <w:proofErr w:type="spellEnd"/>
      <w:r w:rsidRPr="00447203">
        <w:rPr>
          <w:rFonts w:ascii="Arial" w:hAnsi="Arial" w:cs="Arial"/>
        </w:rPr>
        <w:t xml:space="preserve"> </w:t>
      </w:r>
      <w:proofErr w:type="spellStart"/>
      <w:r w:rsidRPr="00447203">
        <w:rPr>
          <w:rFonts w:ascii="Arial" w:hAnsi="Arial" w:cs="Arial"/>
        </w:rPr>
        <w:t>finančních</w:t>
      </w:r>
      <w:proofErr w:type="spellEnd"/>
      <w:r w:rsidRPr="00447203">
        <w:rPr>
          <w:rFonts w:ascii="Arial" w:hAnsi="Arial" w:cs="Arial"/>
        </w:rPr>
        <w:t xml:space="preserve"> </w:t>
      </w:r>
      <w:proofErr w:type="spellStart"/>
      <w:r w:rsidRPr="00447203">
        <w:rPr>
          <w:rFonts w:ascii="Arial" w:hAnsi="Arial" w:cs="Arial"/>
        </w:rPr>
        <w:t>nástrojů</w:t>
      </w:r>
      <w:proofErr w:type="spellEnd"/>
      <w:r w:rsidR="00447203" w:rsidRPr="00447203">
        <w:rPr>
          <w:rFonts w:ascii="Arial" w:hAnsi="Arial" w:cs="Arial"/>
        </w:rPr>
        <w:t xml:space="preserve">, </w:t>
      </w:r>
      <w:proofErr w:type="spellStart"/>
      <w:r w:rsidR="00447203" w:rsidRPr="00447203">
        <w:rPr>
          <w:rFonts w:ascii="Arial" w:hAnsi="Arial" w:cs="Arial"/>
        </w:rPr>
        <w:t>která</w:t>
      </w:r>
      <w:proofErr w:type="spellEnd"/>
      <w:r w:rsidR="00447203" w:rsidRPr="00447203">
        <w:rPr>
          <w:rFonts w:ascii="Arial" w:hAnsi="Arial" w:cs="Arial"/>
        </w:rPr>
        <w:t xml:space="preserve"> se z MS2014+ </w:t>
      </w:r>
      <w:proofErr w:type="spellStart"/>
      <w:r w:rsidR="00447203" w:rsidRPr="00447203">
        <w:rPr>
          <w:rFonts w:ascii="Arial" w:hAnsi="Arial" w:cs="Arial"/>
        </w:rPr>
        <w:t>generuje</w:t>
      </w:r>
      <w:proofErr w:type="spellEnd"/>
      <w:r w:rsidR="00447203" w:rsidRPr="00447203">
        <w:rPr>
          <w:rFonts w:ascii="Arial" w:hAnsi="Arial" w:cs="Arial"/>
        </w:rPr>
        <w:t xml:space="preserve"> </w:t>
      </w:r>
      <w:proofErr w:type="spellStart"/>
      <w:r w:rsidR="00447203" w:rsidRPr="00447203">
        <w:rPr>
          <w:rFonts w:ascii="Arial" w:hAnsi="Arial" w:cs="Arial"/>
        </w:rPr>
        <w:t>jako</w:t>
      </w:r>
      <w:proofErr w:type="spellEnd"/>
      <w:r w:rsidR="00447203" w:rsidRPr="00447203">
        <w:rPr>
          <w:rFonts w:ascii="Arial" w:hAnsi="Arial" w:cs="Arial"/>
        </w:rPr>
        <w:t xml:space="preserve"> </w:t>
      </w:r>
      <w:proofErr w:type="spellStart"/>
      <w:r w:rsidR="00447203" w:rsidRPr="00447203">
        <w:rPr>
          <w:rFonts w:ascii="Arial" w:hAnsi="Arial" w:cs="Arial"/>
        </w:rPr>
        <w:t>samostatný</w:t>
      </w:r>
      <w:proofErr w:type="spellEnd"/>
      <w:r w:rsidR="00447203" w:rsidRPr="00447203">
        <w:rPr>
          <w:rFonts w:ascii="Arial" w:hAnsi="Arial" w:cs="Arial"/>
        </w:rPr>
        <w:t xml:space="preserve"> </w:t>
      </w:r>
      <w:proofErr w:type="spellStart"/>
      <w:r w:rsidR="00447203">
        <w:rPr>
          <w:rFonts w:ascii="Arial" w:hAnsi="Arial" w:cs="Arial"/>
        </w:rPr>
        <w:t>do</w:t>
      </w:r>
      <w:r w:rsidR="00922338">
        <w:rPr>
          <w:rFonts w:ascii="Arial" w:hAnsi="Arial" w:cs="Arial"/>
        </w:rPr>
        <w:t>k</w:t>
      </w:r>
      <w:r w:rsidR="00447203">
        <w:rPr>
          <w:rFonts w:ascii="Arial" w:hAnsi="Arial" w:cs="Arial"/>
        </w:rPr>
        <w:t>ument</w:t>
      </w:r>
      <w:proofErr w:type="spellEnd"/>
      <w:r w:rsidR="00447203">
        <w:rPr>
          <w:rFonts w:ascii="Arial" w:hAnsi="Arial" w:cs="Arial"/>
        </w:rPr>
        <w:t>.</w:t>
      </w:r>
      <w:r w:rsidR="00D53A90" w:rsidRPr="00447203">
        <w:rPr>
          <w:rFonts w:ascii="Arial" w:hAnsi="Arial" w:cs="Arial"/>
        </w:rPr>
        <w:t xml:space="preserve"> </w:t>
      </w:r>
      <w:r w:rsidRPr="002356E8">
        <w:rPr>
          <w:rFonts w:ascii="Arial" w:hAnsi="Arial" w:cs="Arial"/>
        </w:rPr>
        <w:t xml:space="preserve">Tato </w:t>
      </w:r>
      <w:proofErr w:type="spellStart"/>
      <w:r w:rsidRPr="002356E8">
        <w:rPr>
          <w:rFonts w:ascii="Arial" w:hAnsi="Arial" w:cs="Arial"/>
        </w:rPr>
        <w:t>zpráva</w:t>
      </w:r>
      <w:proofErr w:type="spellEnd"/>
      <w:r w:rsidRPr="002356E8">
        <w:rPr>
          <w:rFonts w:ascii="Arial" w:hAnsi="Arial" w:cs="Arial"/>
        </w:rPr>
        <w:t xml:space="preserve"> je v SFC2014+ </w:t>
      </w:r>
      <w:proofErr w:type="spellStart"/>
      <w:r w:rsidRPr="002356E8">
        <w:rPr>
          <w:rFonts w:ascii="Arial" w:hAnsi="Arial" w:cs="Arial"/>
        </w:rPr>
        <w:t>součástí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kapitoly</w:t>
      </w:r>
      <w:proofErr w:type="spellEnd"/>
      <w:r w:rsidRPr="002356E8">
        <w:rPr>
          <w:rFonts w:ascii="Arial" w:hAnsi="Arial" w:cs="Arial"/>
        </w:rPr>
        <w:t xml:space="preserve"> 8. </w:t>
      </w:r>
      <w:proofErr w:type="spellStart"/>
      <w:r w:rsidRPr="002356E8">
        <w:rPr>
          <w:rFonts w:ascii="Arial" w:hAnsi="Arial" w:cs="Arial"/>
        </w:rPr>
        <w:t>Nicméně</w:t>
      </w:r>
      <w:proofErr w:type="spellEnd"/>
      <w:r w:rsidRPr="002356E8">
        <w:rPr>
          <w:rFonts w:ascii="Arial" w:hAnsi="Arial" w:cs="Arial"/>
        </w:rPr>
        <w:t xml:space="preserve"> v MS2014+ </w:t>
      </w:r>
      <w:proofErr w:type="spellStart"/>
      <w:r w:rsidRPr="002356E8">
        <w:rPr>
          <w:rFonts w:ascii="Arial" w:hAnsi="Arial" w:cs="Arial"/>
        </w:rPr>
        <w:t>probíhá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generování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tohoto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dokumentu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odděleně</w:t>
      </w:r>
      <w:proofErr w:type="spellEnd"/>
      <w:r w:rsidRPr="002356E8">
        <w:rPr>
          <w:rFonts w:ascii="Arial" w:hAnsi="Arial" w:cs="Arial"/>
        </w:rPr>
        <w:t xml:space="preserve">. </w:t>
      </w:r>
    </w:p>
    <w:p w14:paraId="1595EA85" w14:textId="77777777" w:rsidR="004560E8" w:rsidRPr="00447203" w:rsidRDefault="004560E8" w:rsidP="004560E8">
      <w:pPr>
        <w:spacing w:after="120" w:line="276" w:lineRule="auto"/>
        <w:rPr>
          <w:rFonts w:ascii="Arial" w:hAnsi="Arial" w:cs="Arial"/>
          <w:u w:val="single"/>
        </w:rPr>
      </w:pPr>
      <w:proofErr w:type="spellStart"/>
      <w:r w:rsidRPr="00447203">
        <w:rPr>
          <w:rFonts w:ascii="Arial" w:hAnsi="Arial" w:cs="Arial"/>
          <w:u w:val="single"/>
        </w:rPr>
        <w:t>Seznam</w:t>
      </w:r>
      <w:proofErr w:type="spellEnd"/>
      <w:r w:rsidRPr="00447203">
        <w:rPr>
          <w:rFonts w:ascii="Arial" w:hAnsi="Arial" w:cs="Arial"/>
          <w:u w:val="single"/>
        </w:rPr>
        <w:t xml:space="preserve"> </w:t>
      </w:r>
      <w:proofErr w:type="spellStart"/>
      <w:r w:rsidRPr="00447203">
        <w:rPr>
          <w:rFonts w:ascii="Arial" w:hAnsi="Arial" w:cs="Arial"/>
          <w:u w:val="single"/>
        </w:rPr>
        <w:t>příloh</w:t>
      </w:r>
      <w:proofErr w:type="spellEnd"/>
    </w:p>
    <w:p w14:paraId="33529B83" w14:textId="77777777" w:rsidR="004560E8" w:rsidRPr="002356E8" w:rsidRDefault="004560E8" w:rsidP="004560E8">
      <w:pPr>
        <w:spacing w:after="120" w:line="276" w:lineRule="auto"/>
        <w:rPr>
          <w:rFonts w:ascii="Arial" w:hAnsi="Arial" w:cs="Arial"/>
        </w:rPr>
      </w:pPr>
      <w:proofErr w:type="spellStart"/>
      <w:r w:rsidRPr="002356E8">
        <w:rPr>
          <w:rFonts w:ascii="Arial" w:hAnsi="Arial" w:cs="Arial"/>
        </w:rPr>
        <w:t>Příloha</w:t>
      </w:r>
      <w:proofErr w:type="spellEnd"/>
      <w:r w:rsidRPr="002356E8">
        <w:rPr>
          <w:rFonts w:ascii="Arial" w:hAnsi="Arial" w:cs="Arial"/>
        </w:rPr>
        <w:t xml:space="preserve"> č. 1 – </w:t>
      </w:r>
      <w:proofErr w:type="spellStart"/>
      <w:r w:rsidRPr="002356E8">
        <w:rPr>
          <w:rFonts w:ascii="Arial" w:hAnsi="Arial" w:cs="Arial"/>
        </w:rPr>
        <w:t>Doplňující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informace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ke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kapitole</w:t>
      </w:r>
      <w:proofErr w:type="spellEnd"/>
      <w:r w:rsidRPr="002356E8">
        <w:rPr>
          <w:rFonts w:ascii="Arial" w:hAnsi="Arial" w:cs="Arial"/>
        </w:rPr>
        <w:t xml:space="preserve"> 3.1 </w:t>
      </w:r>
      <w:proofErr w:type="spellStart"/>
      <w:r w:rsidRPr="002356E8">
        <w:rPr>
          <w:rFonts w:ascii="Arial" w:hAnsi="Arial" w:cs="Arial"/>
        </w:rPr>
        <w:t>Přehled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implementace</w:t>
      </w:r>
      <w:proofErr w:type="spellEnd"/>
      <w:r w:rsidRPr="002356E8">
        <w:rPr>
          <w:rFonts w:ascii="Arial" w:hAnsi="Arial" w:cs="Arial"/>
        </w:rPr>
        <w:t xml:space="preserve"> </w:t>
      </w:r>
    </w:p>
    <w:p w14:paraId="7549BAD3" w14:textId="387399F2" w:rsidR="000D66FF" w:rsidRPr="002356E8" w:rsidRDefault="004560E8" w:rsidP="000D66FF">
      <w:pPr>
        <w:spacing w:after="120" w:line="276" w:lineRule="auto"/>
        <w:rPr>
          <w:rFonts w:ascii="Arial" w:hAnsi="Arial" w:cs="Arial"/>
        </w:rPr>
      </w:pPr>
      <w:proofErr w:type="spellStart"/>
      <w:r w:rsidRPr="002356E8">
        <w:rPr>
          <w:rFonts w:ascii="Arial" w:hAnsi="Arial" w:cs="Arial"/>
        </w:rPr>
        <w:t>Příloha</w:t>
      </w:r>
      <w:proofErr w:type="spellEnd"/>
      <w:r w:rsidR="008B7797" w:rsidRPr="002356E8">
        <w:rPr>
          <w:rFonts w:ascii="Arial" w:hAnsi="Arial" w:cs="Arial"/>
        </w:rPr>
        <w:t xml:space="preserve"> č. 2</w:t>
      </w:r>
      <w:r w:rsidRPr="002356E8">
        <w:rPr>
          <w:rFonts w:ascii="Arial" w:hAnsi="Arial" w:cs="Arial"/>
        </w:rPr>
        <w:t xml:space="preserve"> – </w:t>
      </w:r>
      <w:proofErr w:type="spellStart"/>
      <w:r w:rsidRPr="002356E8">
        <w:rPr>
          <w:rFonts w:ascii="Arial" w:hAnsi="Arial" w:cs="Arial"/>
        </w:rPr>
        <w:t>Doplňující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informace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k</w:t>
      </w:r>
      <w:r w:rsidR="000D66FF" w:rsidRPr="002356E8">
        <w:rPr>
          <w:rFonts w:ascii="Arial" w:hAnsi="Arial" w:cs="Arial"/>
        </w:rPr>
        <w:t>e</w:t>
      </w:r>
      <w:proofErr w:type="spellEnd"/>
      <w:r w:rsidR="000D66FF" w:rsidRPr="002356E8">
        <w:rPr>
          <w:rFonts w:ascii="Arial" w:hAnsi="Arial" w:cs="Arial"/>
        </w:rPr>
        <w:t xml:space="preserve"> </w:t>
      </w:r>
      <w:proofErr w:type="spellStart"/>
      <w:r w:rsidR="000D66FF" w:rsidRPr="002356E8">
        <w:rPr>
          <w:rFonts w:ascii="Arial" w:hAnsi="Arial" w:cs="Arial"/>
        </w:rPr>
        <w:t>kapitole</w:t>
      </w:r>
      <w:proofErr w:type="spellEnd"/>
      <w:r w:rsidR="000D66FF" w:rsidRPr="002356E8">
        <w:rPr>
          <w:rFonts w:ascii="Arial" w:hAnsi="Arial" w:cs="Arial"/>
        </w:rPr>
        <w:t xml:space="preserve"> 3.2</w:t>
      </w:r>
      <w:r w:rsidRPr="002356E8">
        <w:rPr>
          <w:rFonts w:ascii="Arial" w:hAnsi="Arial" w:cs="Arial"/>
        </w:rPr>
        <w:t xml:space="preserve"> </w:t>
      </w:r>
      <w:proofErr w:type="spellStart"/>
      <w:r w:rsidR="000D66FF" w:rsidRPr="002356E8">
        <w:rPr>
          <w:rFonts w:ascii="Arial" w:hAnsi="Arial" w:cs="Arial"/>
        </w:rPr>
        <w:t>Společné</w:t>
      </w:r>
      <w:proofErr w:type="spellEnd"/>
      <w:r w:rsidR="000D66FF" w:rsidRPr="002356E8">
        <w:rPr>
          <w:rFonts w:ascii="Arial" w:hAnsi="Arial" w:cs="Arial"/>
        </w:rPr>
        <w:t xml:space="preserve"> </w:t>
      </w:r>
      <w:proofErr w:type="spellStart"/>
      <w:r w:rsidR="000D66FF" w:rsidRPr="002356E8">
        <w:rPr>
          <w:rFonts w:ascii="Arial" w:hAnsi="Arial" w:cs="Arial"/>
        </w:rPr>
        <w:t>indikátory</w:t>
      </w:r>
      <w:proofErr w:type="spellEnd"/>
      <w:r w:rsidR="000D66FF" w:rsidRPr="002356E8">
        <w:rPr>
          <w:rFonts w:ascii="Arial" w:hAnsi="Arial" w:cs="Arial"/>
        </w:rPr>
        <w:t xml:space="preserve"> </w:t>
      </w:r>
      <w:proofErr w:type="gramStart"/>
      <w:r w:rsidR="000D66FF" w:rsidRPr="002356E8">
        <w:rPr>
          <w:rFonts w:ascii="Arial" w:hAnsi="Arial" w:cs="Arial"/>
        </w:rPr>
        <w:t>a</w:t>
      </w:r>
      <w:proofErr w:type="gramEnd"/>
      <w:r w:rsidR="000D66FF" w:rsidRPr="002356E8">
        <w:rPr>
          <w:rFonts w:ascii="Arial" w:hAnsi="Arial" w:cs="Arial"/>
        </w:rPr>
        <w:t xml:space="preserve"> </w:t>
      </w:r>
      <w:proofErr w:type="spellStart"/>
      <w:r w:rsidR="000D66FF" w:rsidRPr="002356E8">
        <w:rPr>
          <w:rFonts w:ascii="Arial" w:hAnsi="Arial" w:cs="Arial"/>
        </w:rPr>
        <w:t>indikátory</w:t>
      </w:r>
      <w:proofErr w:type="spellEnd"/>
      <w:r w:rsidR="000D66FF" w:rsidRPr="002356E8">
        <w:rPr>
          <w:rFonts w:ascii="Arial" w:hAnsi="Arial" w:cs="Arial"/>
        </w:rPr>
        <w:t xml:space="preserve"> </w:t>
      </w:r>
      <w:proofErr w:type="spellStart"/>
      <w:r w:rsidR="000D66FF" w:rsidRPr="002356E8">
        <w:rPr>
          <w:rFonts w:ascii="Arial" w:hAnsi="Arial" w:cs="Arial"/>
        </w:rPr>
        <w:t>specifické</w:t>
      </w:r>
      <w:proofErr w:type="spellEnd"/>
      <w:r w:rsidR="000D66FF" w:rsidRPr="002356E8">
        <w:rPr>
          <w:rFonts w:ascii="Arial" w:hAnsi="Arial" w:cs="Arial"/>
        </w:rPr>
        <w:t xml:space="preserve"> pro </w:t>
      </w:r>
      <w:proofErr w:type="spellStart"/>
      <w:r w:rsidR="000D66FF" w:rsidRPr="002356E8">
        <w:rPr>
          <w:rFonts w:ascii="Arial" w:hAnsi="Arial" w:cs="Arial"/>
        </w:rPr>
        <w:t>jednotlivé</w:t>
      </w:r>
      <w:proofErr w:type="spellEnd"/>
      <w:r w:rsidR="000D66FF" w:rsidRPr="002356E8">
        <w:rPr>
          <w:rFonts w:ascii="Arial" w:hAnsi="Arial" w:cs="Arial"/>
        </w:rPr>
        <w:t xml:space="preserve"> </w:t>
      </w:r>
      <w:proofErr w:type="spellStart"/>
      <w:r w:rsidR="000D66FF" w:rsidRPr="002356E8">
        <w:rPr>
          <w:rFonts w:ascii="Arial" w:hAnsi="Arial" w:cs="Arial"/>
        </w:rPr>
        <w:t>programy</w:t>
      </w:r>
      <w:proofErr w:type="spellEnd"/>
      <w:r w:rsidR="000D66FF" w:rsidRPr="002356E8">
        <w:rPr>
          <w:rFonts w:ascii="Arial" w:hAnsi="Arial" w:cs="Arial"/>
        </w:rPr>
        <w:t xml:space="preserve"> </w:t>
      </w:r>
    </w:p>
    <w:p w14:paraId="5125D51E" w14:textId="6B165886" w:rsidR="004560E8" w:rsidRPr="002356E8" w:rsidRDefault="008B7797" w:rsidP="004560E8">
      <w:pPr>
        <w:spacing w:after="120" w:line="276" w:lineRule="auto"/>
        <w:rPr>
          <w:rFonts w:ascii="Arial" w:hAnsi="Arial" w:cs="Arial"/>
        </w:rPr>
      </w:pPr>
      <w:proofErr w:type="spellStart"/>
      <w:r w:rsidRPr="002356E8">
        <w:rPr>
          <w:rFonts w:ascii="Arial" w:hAnsi="Arial" w:cs="Arial"/>
        </w:rPr>
        <w:t>Příloha</w:t>
      </w:r>
      <w:proofErr w:type="spellEnd"/>
      <w:r w:rsidRPr="002356E8">
        <w:rPr>
          <w:rFonts w:ascii="Arial" w:hAnsi="Arial" w:cs="Arial"/>
        </w:rPr>
        <w:t xml:space="preserve"> č. 3</w:t>
      </w:r>
      <w:r w:rsidR="004560E8" w:rsidRPr="002356E8">
        <w:rPr>
          <w:rFonts w:ascii="Arial" w:hAnsi="Arial" w:cs="Arial"/>
        </w:rPr>
        <w:t xml:space="preserve"> </w:t>
      </w:r>
      <w:r w:rsidR="00101CBF" w:rsidRPr="002356E8">
        <w:rPr>
          <w:rFonts w:ascii="Arial" w:hAnsi="Arial" w:cs="Arial"/>
        </w:rPr>
        <w:t>–</w:t>
      </w:r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Doplňující</w:t>
      </w:r>
      <w:proofErr w:type="spellEnd"/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informace</w:t>
      </w:r>
      <w:proofErr w:type="spellEnd"/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ke</w:t>
      </w:r>
      <w:proofErr w:type="spellEnd"/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kapitole</w:t>
      </w:r>
      <w:proofErr w:type="spellEnd"/>
      <w:r w:rsidR="004560E8" w:rsidRPr="002356E8">
        <w:rPr>
          <w:rFonts w:ascii="Arial" w:hAnsi="Arial" w:cs="Arial"/>
        </w:rPr>
        <w:t xml:space="preserve"> 3.4 </w:t>
      </w:r>
      <w:proofErr w:type="spellStart"/>
      <w:r w:rsidR="004560E8" w:rsidRPr="002356E8">
        <w:rPr>
          <w:rFonts w:ascii="Arial" w:hAnsi="Arial" w:cs="Arial"/>
        </w:rPr>
        <w:t>Finanční</w:t>
      </w:r>
      <w:proofErr w:type="spellEnd"/>
      <w:r w:rsidR="004560E8" w:rsidRPr="002356E8">
        <w:rPr>
          <w:rFonts w:ascii="Arial" w:hAnsi="Arial" w:cs="Arial"/>
        </w:rPr>
        <w:t xml:space="preserve"> </w:t>
      </w:r>
      <w:proofErr w:type="spellStart"/>
      <w:r w:rsidR="004560E8" w:rsidRPr="002356E8">
        <w:rPr>
          <w:rFonts w:ascii="Arial" w:hAnsi="Arial" w:cs="Arial"/>
        </w:rPr>
        <w:t>údaje</w:t>
      </w:r>
      <w:proofErr w:type="spellEnd"/>
    </w:p>
    <w:p w14:paraId="599037BD" w14:textId="2F2759A8" w:rsidR="008B7797" w:rsidRPr="002356E8" w:rsidRDefault="008B7797" w:rsidP="004560E8">
      <w:pPr>
        <w:spacing w:after="120" w:line="276" w:lineRule="auto"/>
        <w:rPr>
          <w:rFonts w:ascii="Arial" w:hAnsi="Arial" w:cs="Arial"/>
        </w:rPr>
      </w:pPr>
      <w:proofErr w:type="spellStart"/>
      <w:r w:rsidRPr="002356E8">
        <w:rPr>
          <w:rFonts w:ascii="Arial" w:hAnsi="Arial" w:cs="Arial"/>
        </w:rPr>
        <w:t>Příloha</w:t>
      </w:r>
      <w:proofErr w:type="spellEnd"/>
      <w:r w:rsidRPr="002356E8">
        <w:rPr>
          <w:rFonts w:ascii="Arial" w:hAnsi="Arial" w:cs="Arial"/>
        </w:rPr>
        <w:t xml:space="preserve"> č. 4 – </w:t>
      </w:r>
      <w:proofErr w:type="spellStart"/>
      <w:r w:rsidRPr="002356E8">
        <w:rPr>
          <w:rFonts w:ascii="Arial" w:hAnsi="Arial" w:cs="Arial"/>
        </w:rPr>
        <w:t>Doplňující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informace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ke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kapitole</w:t>
      </w:r>
      <w:proofErr w:type="spellEnd"/>
      <w:r w:rsidRPr="002356E8">
        <w:rPr>
          <w:rFonts w:ascii="Arial" w:hAnsi="Arial" w:cs="Arial"/>
        </w:rPr>
        <w:t xml:space="preserve"> 4 </w:t>
      </w:r>
      <w:proofErr w:type="spellStart"/>
      <w:r w:rsidRPr="002356E8">
        <w:rPr>
          <w:rFonts w:ascii="Arial" w:hAnsi="Arial" w:cs="Arial"/>
        </w:rPr>
        <w:t>Shrnutí</w:t>
      </w:r>
      <w:proofErr w:type="spellEnd"/>
      <w:r w:rsidRPr="002356E8">
        <w:rPr>
          <w:rFonts w:ascii="Arial" w:hAnsi="Arial" w:cs="Arial"/>
        </w:rPr>
        <w:t xml:space="preserve"> </w:t>
      </w:r>
      <w:proofErr w:type="spellStart"/>
      <w:r w:rsidRPr="002356E8">
        <w:rPr>
          <w:rFonts w:ascii="Arial" w:hAnsi="Arial" w:cs="Arial"/>
        </w:rPr>
        <w:t>evaluací</w:t>
      </w:r>
      <w:proofErr w:type="spellEnd"/>
      <w:r w:rsidRPr="002356E8">
        <w:rPr>
          <w:rFonts w:ascii="Arial" w:hAnsi="Arial" w:cs="Arial"/>
        </w:rPr>
        <w:t xml:space="preserve"> </w:t>
      </w:r>
    </w:p>
    <w:p w14:paraId="1A94BCC5" w14:textId="667B745F" w:rsidR="004560E8" w:rsidRDefault="00101CBF" w:rsidP="004560E8">
      <w:pPr>
        <w:spacing w:after="120" w:line="276" w:lineRule="auto"/>
        <w:rPr>
          <w:rFonts w:ascii="Arial" w:hAnsi="Arial" w:cs="Arial"/>
        </w:rPr>
      </w:pPr>
      <w:proofErr w:type="spellStart"/>
      <w:r w:rsidRPr="00447203">
        <w:rPr>
          <w:rFonts w:ascii="Arial" w:hAnsi="Arial" w:cs="Arial"/>
        </w:rPr>
        <w:t>Příloha</w:t>
      </w:r>
      <w:proofErr w:type="spellEnd"/>
      <w:r w:rsidRPr="00447203">
        <w:rPr>
          <w:rFonts w:ascii="Arial" w:hAnsi="Arial" w:cs="Arial"/>
        </w:rPr>
        <w:t xml:space="preserve"> č. 5 – </w:t>
      </w:r>
      <w:proofErr w:type="spellStart"/>
      <w:r w:rsidR="00D53A90" w:rsidRPr="00447203">
        <w:rPr>
          <w:rFonts w:ascii="Arial" w:hAnsi="Arial" w:cs="Arial"/>
        </w:rPr>
        <w:t>Doplňující</w:t>
      </w:r>
      <w:proofErr w:type="spellEnd"/>
      <w:r w:rsidR="00D53A90" w:rsidRPr="00447203">
        <w:rPr>
          <w:rFonts w:ascii="Arial" w:hAnsi="Arial" w:cs="Arial"/>
        </w:rPr>
        <w:t xml:space="preserve"> </w:t>
      </w:r>
      <w:proofErr w:type="spellStart"/>
      <w:r w:rsidR="00D53A90" w:rsidRPr="00447203">
        <w:rPr>
          <w:rFonts w:ascii="Arial" w:hAnsi="Arial" w:cs="Arial"/>
        </w:rPr>
        <w:t>informace</w:t>
      </w:r>
      <w:proofErr w:type="spellEnd"/>
      <w:r w:rsidR="00D53A90" w:rsidRPr="00447203">
        <w:rPr>
          <w:rFonts w:ascii="Arial" w:hAnsi="Arial" w:cs="Arial"/>
        </w:rPr>
        <w:t xml:space="preserve"> </w:t>
      </w:r>
      <w:proofErr w:type="spellStart"/>
      <w:r w:rsidR="00D53A90" w:rsidRPr="00447203">
        <w:rPr>
          <w:rFonts w:ascii="Arial" w:hAnsi="Arial" w:cs="Arial"/>
        </w:rPr>
        <w:t>ke</w:t>
      </w:r>
      <w:proofErr w:type="spellEnd"/>
      <w:r w:rsidR="00D53A90" w:rsidRPr="00447203">
        <w:rPr>
          <w:rFonts w:ascii="Arial" w:hAnsi="Arial" w:cs="Arial"/>
        </w:rPr>
        <w:t xml:space="preserve"> </w:t>
      </w:r>
      <w:proofErr w:type="spellStart"/>
      <w:r w:rsidR="00D53A90" w:rsidRPr="00447203">
        <w:rPr>
          <w:rFonts w:ascii="Arial" w:hAnsi="Arial" w:cs="Arial"/>
        </w:rPr>
        <w:t>kapitole</w:t>
      </w:r>
      <w:proofErr w:type="spellEnd"/>
      <w:r w:rsidR="00D53A90" w:rsidRPr="00447203">
        <w:rPr>
          <w:rFonts w:ascii="Arial" w:hAnsi="Arial" w:cs="Arial"/>
        </w:rPr>
        <w:t xml:space="preserve"> 8 </w:t>
      </w:r>
      <w:proofErr w:type="spellStart"/>
      <w:r w:rsidR="00D53A90" w:rsidRPr="00447203">
        <w:rPr>
          <w:rFonts w:ascii="Arial" w:hAnsi="Arial" w:cs="Arial"/>
        </w:rPr>
        <w:t>Zpráva</w:t>
      </w:r>
      <w:proofErr w:type="spellEnd"/>
      <w:r w:rsidR="00D53A90" w:rsidRPr="00447203">
        <w:rPr>
          <w:rFonts w:ascii="Arial" w:hAnsi="Arial" w:cs="Arial"/>
        </w:rPr>
        <w:t xml:space="preserve"> o </w:t>
      </w:r>
      <w:proofErr w:type="spellStart"/>
      <w:r w:rsidR="00D53A90" w:rsidRPr="00447203">
        <w:rPr>
          <w:rFonts w:ascii="Arial" w:hAnsi="Arial" w:cs="Arial"/>
        </w:rPr>
        <w:t>implementaci</w:t>
      </w:r>
      <w:proofErr w:type="spellEnd"/>
      <w:r w:rsidR="00D53A90" w:rsidRPr="00447203">
        <w:rPr>
          <w:rFonts w:ascii="Arial" w:hAnsi="Arial" w:cs="Arial"/>
        </w:rPr>
        <w:t xml:space="preserve"> </w:t>
      </w:r>
      <w:proofErr w:type="spellStart"/>
      <w:r w:rsidR="00D53A90" w:rsidRPr="00447203">
        <w:rPr>
          <w:rFonts w:ascii="Arial" w:hAnsi="Arial" w:cs="Arial"/>
        </w:rPr>
        <w:t>finančních</w:t>
      </w:r>
      <w:proofErr w:type="spellEnd"/>
      <w:r w:rsidR="00D53A90" w:rsidRPr="00447203">
        <w:rPr>
          <w:rFonts w:ascii="Arial" w:hAnsi="Arial" w:cs="Arial"/>
        </w:rPr>
        <w:t xml:space="preserve"> </w:t>
      </w:r>
      <w:proofErr w:type="spellStart"/>
      <w:r w:rsidR="00D53A90" w:rsidRPr="00447203">
        <w:rPr>
          <w:rFonts w:ascii="Arial" w:hAnsi="Arial" w:cs="Arial"/>
        </w:rPr>
        <w:t>nástrojů</w:t>
      </w:r>
      <w:proofErr w:type="spellEnd"/>
    </w:p>
    <w:p w14:paraId="7CEE0B8A" w14:textId="77777777" w:rsidR="00D53A90" w:rsidRPr="004560E8" w:rsidRDefault="00D53A90" w:rsidP="004560E8">
      <w:pPr>
        <w:spacing w:after="120" w:line="276" w:lineRule="auto"/>
        <w:rPr>
          <w:rFonts w:ascii="Arial" w:hAnsi="Arial" w:cs="Arial"/>
        </w:rPr>
      </w:pPr>
    </w:p>
    <w:p w14:paraId="0B2D4B93" w14:textId="3C461A5B" w:rsidR="000B77CA" w:rsidRDefault="000B77CA" w:rsidP="004560E8">
      <w:pPr>
        <w:spacing w:after="120" w:line="276" w:lineRule="auto"/>
        <w:rPr>
          <w:rFonts w:ascii="Arial" w:hAnsi="Arial" w:cs="Arial"/>
          <w:highlight w:val="lightGray"/>
        </w:rPr>
      </w:pPr>
    </w:p>
    <w:p w14:paraId="686DEF7F" w14:textId="5C89BE31" w:rsidR="007F497E" w:rsidRDefault="007F497E" w:rsidP="004560E8">
      <w:pPr>
        <w:spacing w:after="120" w:line="276" w:lineRule="auto"/>
        <w:rPr>
          <w:rFonts w:ascii="Arial" w:hAnsi="Arial" w:cs="Arial"/>
          <w:highlight w:val="lightGray"/>
        </w:rPr>
      </w:pPr>
    </w:p>
    <w:p w14:paraId="2B523C96" w14:textId="77777777" w:rsidR="007F497E" w:rsidRPr="006004C9" w:rsidRDefault="007F497E" w:rsidP="004560E8">
      <w:pPr>
        <w:spacing w:after="120" w:line="276" w:lineRule="auto"/>
        <w:rPr>
          <w:rFonts w:ascii="Arial" w:hAnsi="Arial" w:cs="Arial"/>
          <w:highlight w:val="lightGray"/>
        </w:rPr>
      </w:pPr>
    </w:p>
    <w:p w14:paraId="0093B525" w14:textId="77777777" w:rsidR="00A2351A" w:rsidRDefault="00A2351A"/>
    <w:p w14:paraId="4FEC6DDC" w14:textId="7506F809" w:rsidR="000B77CA" w:rsidRDefault="000B77CA"/>
    <w:p w14:paraId="27666E8D" w14:textId="77777777" w:rsidR="004D0A85" w:rsidRDefault="004D0A85"/>
    <w:p w14:paraId="480AE603" w14:textId="3F833CF0" w:rsidR="008C046D" w:rsidRDefault="008C046D"/>
    <w:p w14:paraId="3D98ED69" w14:textId="77777777" w:rsidR="00A2351A" w:rsidRDefault="002D5C25" w:rsidP="00496C84">
      <w:pPr>
        <w:pStyle w:val="Nadpis1"/>
      </w:pPr>
      <w:bookmarkStart w:id="4" w:name="_Toc66814530"/>
      <w:r w:rsidRPr="00496C84">
        <w:lastRenderedPageBreak/>
        <w:t>IDENTIFIKACE</w:t>
      </w:r>
      <w:r>
        <w:t xml:space="preserve"> VÝROČNÍ/ZÁVĚREČNÉ ZPRÁVY O IMPLEMENTACI</w:t>
      </w:r>
      <w:bookmarkEnd w:id="4"/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6096"/>
      </w:tblGrid>
      <w:tr w:rsidR="00A2351A" w14:paraId="57E13D52" w14:textId="77777777" w:rsidTr="00313C14">
        <w:trPr>
          <w:cantSplit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D8ABFD" w14:textId="77777777" w:rsidR="00A2351A" w:rsidRDefault="002D5C25">
            <w:pPr>
              <w:keepLines/>
              <w:spacing w:before="120"/>
              <w:ind w:left="108" w:right="108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CCI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4ADBDB" w14:textId="77777777" w:rsidR="00A2351A" w:rsidRPr="00313C14" w:rsidRDefault="002D5C25" w:rsidP="00313C14">
            <w:pPr>
              <w:keepLines/>
              <w:spacing w:before="120"/>
              <w:ind w:left="108" w:right="108"/>
              <w:rPr>
                <w:rFonts w:ascii="Arial" w:eastAsia="Arial" w:hAnsi="Arial" w:cs="Arial"/>
                <w:color w:val="000000"/>
              </w:rPr>
            </w:pPr>
            <w:r w:rsidRPr="00313C14">
              <w:rPr>
                <w:rFonts w:ascii="Arial" w:eastAsia="Arial" w:hAnsi="Arial" w:cs="Arial"/>
                <w:color w:val="000000"/>
              </w:rPr>
              <w:t>2014CZ05M9OP001</w:t>
            </w:r>
          </w:p>
        </w:tc>
      </w:tr>
      <w:tr w:rsidR="00A2351A" w14:paraId="6DE5477F" w14:textId="77777777" w:rsidTr="00313C14">
        <w:trPr>
          <w:cantSplit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FA47AE" w14:textId="77777777" w:rsidR="00A2351A" w:rsidRDefault="002D5C25">
            <w:pPr>
              <w:keepLines/>
              <w:spacing w:before="120"/>
              <w:ind w:left="108" w:right="108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Název</w:t>
            </w:r>
            <w:proofErr w:type="spellEnd"/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9CD6B1" w14:textId="08C01249" w:rsidR="00A2351A" w:rsidRPr="00313C14" w:rsidRDefault="002D5C25" w:rsidP="00313C14">
            <w:pPr>
              <w:keepLines/>
              <w:spacing w:before="120"/>
              <w:ind w:left="108" w:right="108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313C14">
              <w:rPr>
                <w:rFonts w:ascii="Arial" w:eastAsia="Arial" w:hAnsi="Arial" w:cs="Arial"/>
                <w:color w:val="000000"/>
              </w:rPr>
              <w:t>Výroční</w:t>
            </w:r>
            <w:proofErr w:type="spellEnd"/>
            <w:r w:rsidRPr="00313C14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313C14">
              <w:rPr>
                <w:rFonts w:ascii="Arial" w:eastAsia="Arial" w:hAnsi="Arial" w:cs="Arial"/>
                <w:color w:val="000000"/>
              </w:rPr>
              <w:t>zpráva</w:t>
            </w:r>
            <w:proofErr w:type="spellEnd"/>
            <w:r w:rsidRPr="00313C14">
              <w:rPr>
                <w:rFonts w:ascii="Arial" w:eastAsia="Arial" w:hAnsi="Arial" w:cs="Arial"/>
                <w:color w:val="000000"/>
              </w:rPr>
              <w:t xml:space="preserve"> o </w:t>
            </w:r>
            <w:proofErr w:type="spellStart"/>
            <w:r w:rsidRPr="00313C14">
              <w:rPr>
                <w:rFonts w:ascii="Arial" w:eastAsia="Arial" w:hAnsi="Arial" w:cs="Arial"/>
                <w:color w:val="000000"/>
              </w:rPr>
              <w:t>implementaci</w:t>
            </w:r>
            <w:proofErr w:type="spellEnd"/>
            <w:r w:rsidRPr="00313C14"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 w:rsidRPr="00313C14">
              <w:rPr>
                <w:rFonts w:ascii="Arial" w:eastAsia="Arial" w:hAnsi="Arial" w:cs="Arial"/>
                <w:color w:val="000000"/>
              </w:rPr>
              <w:t>programu</w:t>
            </w:r>
            <w:proofErr w:type="spellEnd"/>
            <w:r w:rsidRPr="00313C14">
              <w:rPr>
                <w:rFonts w:ascii="Arial" w:eastAsia="Arial" w:hAnsi="Arial" w:cs="Arial"/>
                <w:color w:val="000000"/>
              </w:rPr>
              <w:t xml:space="preserve"> 03 </w:t>
            </w:r>
            <w:proofErr w:type="spellStart"/>
            <w:r w:rsidRPr="00313C14">
              <w:rPr>
                <w:rFonts w:ascii="Arial" w:eastAsia="Arial" w:hAnsi="Arial" w:cs="Arial"/>
                <w:color w:val="000000"/>
              </w:rPr>
              <w:t>Operační</w:t>
            </w:r>
            <w:proofErr w:type="spellEnd"/>
            <w:r w:rsidRPr="00313C14">
              <w:rPr>
                <w:rFonts w:ascii="Arial" w:eastAsia="Arial" w:hAnsi="Arial" w:cs="Arial"/>
                <w:color w:val="000000"/>
              </w:rPr>
              <w:t xml:space="preserve"> </w:t>
            </w:r>
            <w:r w:rsidR="00D2226E" w:rsidRPr="00313C14">
              <w:rPr>
                <w:rFonts w:ascii="Arial" w:eastAsia="Arial" w:hAnsi="Arial" w:cs="Arial"/>
                <w:color w:val="000000"/>
              </w:rPr>
              <w:t xml:space="preserve">program </w:t>
            </w:r>
            <w:proofErr w:type="spellStart"/>
            <w:r w:rsidR="00D2226E" w:rsidRPr="00313C14">
              <w:rPr>
                <w:rFonts w:ascii="Arial" w:eastAsia="Arial" w:hAnsi="Arial" w:cs="Arial"/>
                <w:color w:val="000000"/>
              </w:rPr>
              <w:t>Zaměstnanost</w:t>
            </w:r>
            <w:proofErr w:type="spellEnd"/>
            <w:r w:rsidR="00D2226E" w:rsidRPr="00313C14">
              <w:rPr>
                <w:rFonts w:ascii="Arial" w:eastAsia="Arial" w:hAnsi="Arial" w:cs="Arial"/>
                <w:color w:val="000000"/>
              </w:rPr>
              <w:t xml:space="preserve"> za </w:t>
            </w:r>
            <w:proofErr w:type="spellStart"/>
            <w:r w:rsidR="00D2226E" w:rsidRPr="00313C14">
              <w:rPr>
                <w:rFonts w:ascii="Arial" w:eastAsia="Arial" w:hAnsi="Arial" w:cs="Arial"/>
                <w:color w:val="000000"/>
              </w:rPr>
              <w:t>rok</w:t>
            </w:r>
            <w:proofErr w:type="spellEnd"/>
            <w:r w:rsidR="00D2226E" w:rsidRPr="00313C14">
              <w:rPr>
                <w:rFonts w:ascii="Arial" w:eastAsia="Arial" w:hAnsi="Arial" w:cs="Arial"/>
                <w:color w:val="000000"/>
              </w:rPr>
              <w:t xml:space="preserve"> 20</w:t>
            </w:r>
            <w:r w:rsidR="006D5700">
              <w:rPr>
                <w:rFonts w:ascii="Arial" w:eastAsia="Arial" w:hAnsi="Arial" w:cs="Arial"/>
                <w:color w:val="000000"/>
              </w:rPr>
              <w:t>20</w:t>
            </w:r>
          </w:p>
        </w:tc>
      </w:tr>
      <w:tr w:rsidR="00A2351A" w14:paraId="0DB52BFF" w14:textId="77777777">
        <w:trPr>
          <w:cantSplit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F4D571" w14:textId="77777777" w:rsidR="00A2351A" w:rsidRDefault="002D5C25">
            <w:pPr>
              <w:keepLines/>
              <w:spacing w:before="120"/>
              <w:ind w:left="108" w:right="108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Verze</w:t>
            </w:r>
            <w:proofErr w:type="spellEnd"/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ACFEBB" w14:textId="2096D825" w:rsidR="00A2351A" w:rsidRPr="00EA54EC" w:rsidRDefault="00313C14">
            <w:pPr>
              <w:keepLines/>
              <w:ind w:left="108" w:right="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Draft </w:t>
            </w:r>
            <w:r w:rsidR="004D0A85">
              <w:rPr>
                <w:rFonts w:ascii="Arial" w:hAnsi="Arial" w:cs="Arial"/>
              </w:rPr>
              <w:t>2</w:t>
            </w:r>
          </w:p>
        </w:tc>
      </w:tr>
      <w:tr w:rsidR="00A2351A" w14:paraId="1C29A94D" w14:textId="77777777">
        <w:trPr>
          <w:cantSplit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6583DD" w14:textId="77777777" w:rsidR="00A2351A" w:rsidRDefault="002D5C25">
            <w:pPr>
              <w:keepLines/>
              <w:spacing w:before="120"/>
              <w:ind w:left="108" w:right="108"/>
              <w:rPr>
                <w:rFonts w:ascii="Arial" w:eastAsia="Arial" w:hAnsi="Arial" w:cs="Arial"/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Vykazovaný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rok</w:t>
            </w:r>
            <w:proofErr w:type="spellEnd"/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80B843" w14:textId="16EC3050" w:rsidR="00A2351A" w:rsidRDefault="00D2226E">
            <w:pPr>
              <w:keepLines/>
              <w:spacing w:before="120"/>
              <w:ind w:left="108" w:right="10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20</w:t>
            </w:r>
            <w:r w:rsidR="006D5700">
              <w:rPr>
                <w:rFonts w:ascii="Arial" w:eastAsia="Arial" w:hAnsi="Arial" w:cs="Arial"/>
                <w:color w:val="000000"/>
                <w:sz w:val="20"/>
              </w:rPr>
              <w:t>20</w:t>
            </w:r>
          </w:p>
        </w:tc>
      </w:tr>
      <w:tr w:rsidR="00A2351A" w14:paraId="00CCE568" w14:textId="77777777">
        <w:trPr>
          <w:cantSplit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50A2FA" w14:textId="77777777" w:rsidR="00A2351A" w:rsidRDefault="002D5C25">
            <w:pPr>
              <w:keepLines/>
              <w:spacing w:before="120"/>
              <w:ind w:left="108" w:right="108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Datum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schválení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zprávy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monitorovacím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výborem</w:t>
            </w:r>
            <w:proofErr w:type="spellEnd"/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89068C" w14:textId="6F9A4F72" w:rsidR="00A2351A" w:rsidRDefault="005651FB">
            <w:pPr>
              <w:keepLines/>
              <w:spacing w:before="120"/>
              <w:ind w:left="108" w:right="108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12. 5. 2021</w:t>
            </w:r>
          </w:p>
        </w:tc>
      </w:tr>
    </w:tbl>
    <w:p w14:paraId="4F897144" w14:textId="77777777" w:rsidR="00A2351A" w:rsidRDefault="002D5C25" w:rsidP="00496C84">
      <w:pPr>
        <w:pStyle w:val="Nadpis1"/>
      </w:pPr>
      <w:bookmarkStart w:id="5" w:name="_Toc66814531"/>
      <w:r>
        <w:t>PŘEHLED IMPLEMENTACE OPERAČNÍHO PROGRAMU (</w:t>
      </w:r>
      <w:proofErr w:type="spellStart"/>
      <w:r>
        <w:t>čl</w:t>
      </w:r>
      <w:proofErr w:type="spellEnd"/>
      <w:r>
        <w:t xml:space="preserve">. 50 </w:t>
      </w:r>
      <w:proofErr w:type="spellStart"/>
      <w:r>
        <w:t>odst</w:t>
      </w:r>
      <w:proofErr w:type="spellEnd"/>
      <w:r>
        <w:t>. 2 a </w:t>
      </w:r>
      <w:proofErr w:type="spellStart"/>
      <w:r>
        <w:t>čl</w:t>
      </w:r>
      <w:proofErr w:type="spellEnd"/>
      <w:r>
        <w:t xml:space="preserve">. 111 </w:t>
      </w:r>
      <w:proofErr w:type="spellStart"/>
      <w:r>
        <w:t>odst</w:t>
      </w:r>
      <w:proofErr w:type="spellEnd"/>
      <w:r>
        <w:t xml:space="preserve">. 3 </w:t>
      </w:r>
      <w:proofErr w:type="spellStart"/>
      <w:r>
        <w:t>písm</w:t>
      </w:r>
      <w:proofErr w:type="spellEnd"/>
      <w:r>
        <w:t xml:space="preserve">. a) </w:t>
      </w:r>
      <w:proofErr w:type="spellStart"/>
      <w:r>
        <w:t>nařízení</w:t>
      </w:r>
      <w:proofErr w:type="spellEnd"/>
      <w:r>
        <w:t xml:space="preserve"> (EU) č. 1303/2013)</w:t>
      </w:r>
      <w:bookmarkEnd w:id="5"/>
    </w:p>
    <w:p w14:paraId="28650A3A" w14:textId="3BA607BD" w:rsidR="00EA54EC" w:rsidRDefault="00EA54EC" w:rsidP="005E7F40">
      <w:pPr>
        <w:spacing w:after="120" w:line="276" w:lineRule="auto"/>
        <w:ind w:right="105"/>
        <w:jc w:val="both"/>
        <w:rPr>
          <w:rFonts w:ascii="Arial" w:eastAsia="Arial" w:hAnsi="Arial" w:cs="Arial"/>
          <w:color w:val="000000"/>
          <w:lang w:val="cs-CZ"/>
        </w:rPr>
      </w:pPr>
    </w:p>
    <w:p w14:paraId="149DBF50" w14:textId="1ED82188" w:rsidR="005C5E28" w:rsidRPr="002A059C" w:rsidRDefault="005C5E28" w:rsidP="005C5E28">
      <w:pPr>
        <w:spacing w:after="120" w:line="276" w:lineRule="auto"/>
        <w:ind w:right="105"/>
        <w:jc w:val="both"/>
        <w:rPr>
          <w:rFonts w:ascii="Arial" w:eastAsia="Arial" w:hAnsi="Arial" w:cs="Arial"/>
          <w:color w:val="000000"/>
          <w:lang w:val="cs-CZ"/>
        </w:rPr>
      </w:pPr>
      <w:r w:rsidRPr="002A059C">
        <w:rPr>
          <w:rFonts w:ascii="Arial" w:eastAsia="Arial" w:hAnsi="Arial" w:cs="Arial"/>
          <w:color w:val="000000"/>
          <w:lang w:val="cs-CZ"/>
        </w:rPr>
        <w:t>V Operačním programu Zaměstnanost (OPZ) bylo k 31. 12. 2020 vyhlášeno celkem 127 výzev v celkovém objemu 3 420 mil. EUR, tj. 118 % celkové alokace programu (v MS2014+ bylo evidováno 128 vyhlášených výzev, výzva č. 41 je z technických důvodů vedena pod dvěma záznamy jako 03_15_041 a 03_99_041 a zde je započtena pouze 1x jako 03_99_041). Ve vyhlášených výzvách bylo zaregistrováno celkem 17 158 žádostí o podporu (údaj bez započtení výzvy 03_15_041) a vydáno celkem 9 60</w:t>
      </w:r>
      <w:r w:rsidR="00A465A3">
        <w:rPr>
          <w:rFonts w:ascii="Arial" w:eastAsia="Arial" w:hAnsi="Arial" w:cs="Arial"/>
          <w:color w:val="000000"/>
          <w:lang w:val="cs-CZ"/>
        </w:rPr>
        <w:t>0</w:t>
      </w:r>
      <w:r w:rsidRPr="002A059C">
        <w:rPr>
          <w:rFonts w:ascii="Arial" w:eastAsia="Arial" w:hAnsi="Arial" w:cs="Arial"/>
          <w:color w:val="000000"/>
          <w:lang w:val="cs-CZ"/>
        </w:rPr>
        <w:t xml:space="preserve"> právních aktů o poskytnutí podpory (9 200 bez negativních stavů).</w:t>
      </w:r>
    </w:p>
    <w:p w14:paraId="2F0543DC" w14:textId="150F905A" w:rsidR="005C5E28" w:rsidRDefault="00C92E3F" w:rsidP="005C5E28">
      <w:pPr>
        <w:spacing w:after="120" w:line="276" w:lineRule="auto"/>
        <w:ind w:right="105"/>
        <w:jc w:val="both"/>
        <w:rPr>
          <w:rFonts w:ascii="Arial" w:eastAsia="Arial" w:hAnsi="Arial" w:cs="Arial"/>
          <w:color w:val="000000"/>
          <w:lang w:val="cs-CZ"/>
        </w:rPr>
      </w:pPr>
      <w:bookmarkStart w:id="6" w:name="_Hlk67313629"/>
      <w:r>
        <w:rPr>
          <w:rFonts w:ascii="Arial" w:eastAsia="Arial" w:hAnsi="Arial" w:cs="Arial"/>
          <w:color w:val="000000"/>
          <w:lang w:val="cs-CZ"/>
        </w:rPr>
        <w:t>C</w:t>
      </w:r>
      <w:r w:rsidR="00582F46">
        <w:rPr>
          <w:rFonts w:ascii="Arial" w:eastAsia="Arial" w:hAnsi="Arial" w:cs="Arial"/>
          <w:color w:val="000000"/>
          <w:lang w:val="cs-CZ"/>
        </w:rPr>
        <w:t xml:space="preserve">elkový objem </w:t>
      </w:r>
      <w:r w:rsidRPr="00C92E3F">
        <w:rPr>
          <w:rFonts w:ascii="Arial" w:eastAsia="Arial" w:hAnsi="Arial" w:cs="Arial"/>
          <w:color w:val="000000"/>
          <w:lang w:val="cs-CZ"/>
        </w:rPr>
        <w:t xml:space="preserve">vydaných právních aktů na projekty </w:t>
      </w:r>
      <w:r>
        <w:rPr>
          <w:rFonts w:ascii="Arial" w:eastAsia="Arial" w:hAnsi="Arial" w:cs="Arial"/>
          <w:color w:val="000000"/>
          <w:lang w:val="cs-CZ"/>
        </w:rPr>
        <w:t xml:space="preserve">dosáhl </w:t>
      </w:r>
      <w:r w:rsidR="005C5E28" w:rsidRPr="002A059C">
        <w:rPr>
          <w:rFonts w:ascii="Arial" w:eastAsia="Arial" w:hAnsi="Arial" w:cs="Arial"/>
          <w:color w:val="000000"/>
          <w:lang w:val="cs-CZ"/>
        </w:rPr>
        <w:t>2 8</w:t>
      </w:r>
      <w:r w:rsidR="00A465A3">
        <w:rPr>
          <w:rFonts w:ascii="Arial" w:eastAsia="Arial" w:hAnsi="Arial" w:cs="Arial"/>
          <w:color w:val="000000"/>
          <w:lang w:val="cs-CZ"/>
        </w:rPr>
        <w:t>11</w:t>
      </w:r>
      <w:r w:rsidR="005C5E28" w:rsidRPr="002A059C">
        <w:rPr>
          <w:rFonts w:ascii="Arial" w:eastAsia="Arial" w:hAnsi="Arial" w:cs="Arial"/>
          <w:color w:val="000000"/>
          <w:lang w:val="cs-CZ"/>
        </w:rPr>
        <w:t xml:space="preserve"> mil. EUR </w:t>
      </w:r>
      <w:r>
        <w:rPr>
          <w:rFonts w:ascii="Arial" w:eastAsia="Arial" w:hAnsi="Arial" w:cs="Arial"/>
          <w:color w:val="000000"/>
          <w:lang w:val="cs-CZ"/>
        </w:rPr>
        <w:t xml:space="preserve">a </w:t>
      </w:r>
      <w:r w:rsidR="005C5E28" w:rsidRPr="002A059C">
        <w:rPr>
          <w:rFonts w:ascii="Arial" w:eastAsia="Arial" w:hAnsi="Arial" w:cs="Arial"/>
          <w:color w:val="000000"/>
          <w:lang w:val="cs-CZ"/>
        </w:rPr>
        <w:t>pokryl již 9</w:t>
      </w:r>
      <w:r w:rsidR="00A465A3">
        <w:rPr>
          <w:rFonts w:ascii="Arial" w:eastAsia="Arial" w:hAnsi="Arial" w:cs="Arial"/>
          <w:color w:val="000000"/>
          <w:lang w:val="cs-CZ"/>
        </w:rPr>
        <w:t>7</w:t>
      </w:r>
      <w:r w:rsidR="005C5E28" w:rsidRPr="002A059C">
        <w:rPr>
          <w:rFonts w:ascii="Arial" w:eastAsia="Arial" w:hAnsi="Arial" w:cs="Arial"/>
          <w:color w:val="000000"/>
          <w:lang w:val="cs-CZ"/>
        </w:rPr>
        <w:t xml:space="preserve"> % alokace</w:t>
      </w:r>
      <w:r w:rsidR="00582F46">
        <w:rPr>
          <w:rFonts w:ascii="Arial" w:eastAsia="Arial" w:hAnsi="Arial" w:cs="Arial"/>
          <w:color w:val="000000"/>
          <w:lang w:val="cs-CZ"/>
        </w:rPr>
        <w:t xml:space="preserve"> programu</w:t>
      </w:r>
      <w:r w:rsidR="005C5E28" w:rsidRPr="002A059C">
        <w:rPr>
          <w:rFonts w:ascii="Arial" w:eastAsia="Arial" w:hAnsi="Arial" w:cs="Arial"/>
          <w:color w:val="000000"/>
          <w:lang w:val="cs-CZ"/>
        </w:rPr>
        <w:t>. Finanční prostředky vyúčtované v žádostech o platbu dosáhly výše 1 56</w:t>
      </w:r>
      <w:r w:rsidR="00A465A3">
        <w:rPr>
          <w:rFonts w:ascii="Arial" w:eastAsia="Arial" w:hAnsi="Arial" w:cs="Arial"/>
          <w:color w:val="000000"/>
          <w:lang w:val="cs-CZ"/>
        </w:rPr>
        <w:t>9</w:t>
      </w:r>
      <w:r w:rsidR="005C5E28" w:rsidRPr="002A059C">
        <w:rPr>
          <w:rFonts w:ascii="Arial" w:eastAsia="Arial" w:hAnsi="Arial" w:cs="Arial"/>
          <w:color w:val="000000"/>
          <w:lang w:val="cs-CZ"/>
        </w:rPr>
        <w:t xml:space="preserve"> mil. EUR (celkové výdaje), resp. 54 % alokace, z toho prostředky zahrnuté v souhrnných žádostech autorizovaných řídicím orgánem představují přes 53 % alokace OPZ. V roce 2020 proběhlo šest certifikací výdajů a výdaje certifikované Platebním a certifikačním orgánem (PCO) a následně vyžádané na Evropské komisi (EK) přesáhly 1 2</w:t>
      </w:r>
      <w:r w:rsidR="00E500E3" w:rsidRPr="002A059C">
        <w:rPr>
          <w:rFonts w:ascii="Arial" w:eastAsia="Arial" w:hAnsi="Arial" w:cs="Arial"/>
          <w:color w:val="000000"/>
          <w:lang w:val="cs-CZ"/>
        </w:rPr>
        <w:t>42</w:t>
      </w:r>
      <w:r w:rsidR="005C5E28" w:rsidRPr="002A059C">
        <w:rPr>
          <w:rFonts w:ascii="Arial" w:eastAsia="Arial" w:hAnsi="Arial" w:cs="Arial"/>
          <w:color w:val="000000"/>
          <w:lang w:val="cs-CZ"/>
        </w:rPr>
        <w:t xml:space="preserve"> mil. EUR (EU podíl), tj. 52 % celkové alokace OPZ.</w:t>
      </w:r>
      <w:r w:rsidR="00582F46">
        <w:rPr>
          <w:rFonts w:ascii="Arial" w:eastAsia="Arial" w:hAnsi="Arial" w:cs="Arial"/>
          <w:color w:val="000000"/>
          <w:lang w:val="cs-CZ"/>
        </w:rPr>
        <w:t xml:space="preserve"> </w:t>
      </w:r>
      <w:r w:rsidR="00582F46" w:rsidRPr="00582F46">
        <w:rPr>
          <w:rFonts w:ascii="Arial" w:eastAsia="Arial" w:hAnsi="Arial" w:cs="Arial"/>
          <w:color w:val="000000"/>
          <w:lang w:val="cs-CZ"/>
        </w:rPr>
        <w:t xml:space="preserve">Podpořeno bylo již </w:t>
      </w:r>
      <w:r w:rsidR="005F2040">
        <w:rPr>
          <w:rFonts w:ascii="Arial" w:eastAsia="Arial" w:hAnsi="Arial" w:cs="Arial"/>
          <w:color w:val="000000"/>
          <w:lang w:val="cs-CZ"/>
        </w:rPr>
        <w:t xml:space="preserve">přes </w:t>
      </w:r>
      <w:r w:rsidR="00582F46" w:rsidRPr="003662DC">
        <w:rPr>
          <w:rFonts w:ascii="Arial" w:eastAsia="Arial" w:hAnsi="Arial" w:cs="Arial"/>
          <w:color w:val="000000"/>
          <w:lang w:val="cs-CZ"/>
        </w:rPr>
        <w:t>4</w:t>
      </w:r>
      <w:r w:rsidR="00467828">
        <w:rPr>
          <w:rFonts w:ascii="Arial" w:eastAsia="Arial" w:hAnsi="Arial" w:cs="Arial"/>
          <w:color w:val="000000"/>
          <w:lang w:val="cs-CZ"/>
        </w:rPr>
        <w:t>98</w:t>
      </w:r>
      <w:r w:rsidR="00582F46" w:rsidRPr="003662DC">
        <w:rPr>
          <w:rFonts w:ascii="Arial" w:eastAsia="Arial" w:hAnsi="Arial" w:cs="Arial"/>
          <w:color w:val="000000"/>
          <w:lang w:val="cs-CZ"/>
        </w:rPr>
        <w:t xml:space="preserve"> tisíc účastníků.</w:t>
      </w:r>
    </w:p>
    <w:bookmarkEnd w:id="6"/>
    <w:p w14:paraId="35EB2A77" w14:textId="030A9175" w:rsidR="00294991" w:rsidRPr="009572B6" w:rsidRDefault="00294991" w:rsidP="005C5E28">
      <w:pPr>
        <w:spacing w:after="120" w:line="276" w:lineRule="auto"/>
        <w:ind w:right="105"/>
        <w:jc w:val="both"/>
        <w:rPr>
          <w:rFonts w:ascii="Arial" w:eastAsia="Arial" w:hAnsi="Arial" w:cs="Arial"/>
          <w:color w:val="000000"/>
          <w:lang w:val="cs-CZ"/>
        </w:rPr>
      </w:pPr>
      <w:r>
        <w:rPr>
          <w:rFonts w:ascii="Arial" w:eastAsia="Arial" w:hAnsi="Arial" w:cs="Arial"/>
          <w:color w:val="000000"/>
          <w:lang w:val="cs-CZ"/>
        </w:rPr>
        <w:t>Finanční údaje jsou rovněž obsaženy v tabulce 6 v kapitole 3.4. Tyto údaje zahrnují pouze projekty bez negativních stavů a jsou generovány ze systému MS2014+. Údaje vypl</w:t>
      </w:r>
      <w:r w:rsidR="004A3FC0">
        <w:rPr>
          <w:rFonts w:ascii="Arial" w:eastAsia="Arial" w:hAnsi="Arial" w:cs="Arial"/>
          <w:color w:val="000000"/>
          <w:lang w:val="cs-CZ"/>
        </w:rPr>
        <w:t>ý</w:t>
      </w:r>
      <w:r>
        <w:rPr>
          <w:rFonts w:ascii="Arial" w:eastAsia="Arial" w:hAnsi="Arial" w:cs="Arial"/>
          <w:color w:val="000000"/>
          <w:lang w:val="cs-CZ"/>
        </w:rPr>
        <w:t xml:space="preserve">vají z nastaveného algoritmu v systému.   </w:t>
      </w:r>
    </w:p>
    <w:p w14:paraId="748C63DC" w14:textId="324D6369" w:rsidR="00B24976" w:rsidRPr="001F04A6" w:rsidRDefault="007942DD" w:rsidP="00551EFB">
      <w:pPr>
        <w:spacing w:after="120" w:line="276" w:lineRule="auto"/>
        <w:jc w:val="both"/>
        <w:rPr>
          <w:rFonts w:ascii="Arial" w:eastAsia="Calibri" w:hAnsi="Arial" w:cs="Arial"/>
          <w:iCs/>
          <w:lang w:eastAsia="en-US"/>
        </w:rPr>
      </w:pPr>
      <w:proofErr w:type="spellStart"/>
      <w:r w:rsidRPr="001F04A6">
        <w:rPr>
          <w:rFonts w:ascii="Arial" w:eastAsia="Calibri" w:hAnsi="Arial" w:cs="Arial"/>
          <w:iCs/>
          <w:lang w:eastAsia="en-US"/>
        </w:rPr>
        <w:t>Metodika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provádění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programu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byla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v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roce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2020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několikrát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aktualizována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,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avšak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věcné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nastavení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zůstalo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zachováno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.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Revize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metodiky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s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účinností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od 1. 5. 2020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zapracovávala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zejména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opatření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v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reakci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na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doporučení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plynoucí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z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auditu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EK,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zohlednila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zpřesňující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výklad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Úřadu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na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ochranu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hospodářské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soutěže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ve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věci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určování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okamžiku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poskytnutí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veřejné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podpory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/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podpory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de minimis a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tak</w:t>
      </w:r>
      <w:r w:rsidR="00C11F1A" w:rsidRPr="001F04A6">
        <w:rPr>
          <w:rFonts w:ascii="Arial" w:eastAsia="Calibri" w:hAnsi="Arial" w:cs="Arial"/>
          <w:iCs/>
          <w:lang w:eastAsia="en-US"/>
        </w:rPr>
        <w:t>é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jeho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požadavek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na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formální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úpravu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právních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aktů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a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zapracovala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aktu</w:t>
      </w:r>
      <w:r w:rsidR="00A26FC9">
        <w:rPr>
          <w:rFonts w:ascii="Arial" w:eastAsia="Calibri" w:hAnsi="Arial" w:cs="Arial"/>
          <w:iCs/>
          <w:lang w:eastAsia="en-US"/>
        </w:rPr>
        <w:t>á</w:t>
      </w:r>
      <w:r w:rsidR="0027409C" w:rsidRPr="001F04A6">
        <w:rPr>
          <w:rFonts w:ascii="Arial" w:eastAsia="Calibri" w:hAnsi="Arial" w:cs="Arial"/>
          <w:iCs/>
          <w:lang w:eastAsia="en-US"/>
        </w:rPr>
        <w:t>lní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judikaturu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v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oblasti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postupů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dle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§ 14e a § 14f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rozpočtových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pravidel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. V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pravidlech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pro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žadatele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a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příjemce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byla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upravena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pravidla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pro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výběr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dodavatele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.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Aktualizace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metodiky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účinná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od 1. 10. 2020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souvisela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zejména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s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doplněním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postupů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poskytování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veřejné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podpory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dle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tzv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.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Dočasného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rámce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a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dalším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upřesněním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pro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postup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dle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§ 14f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rozpočtových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pravidel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. Do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pravidel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pro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projekty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financované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v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režimu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skutečně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vzniklých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výdajů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a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případně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tak</w:t>
      </w:r>
      <w:r w:rsidR="001F04A6" w:rsidRPr="001F04A6">
        <w:rPr>
          <w:rFonts w:ascii="Arial" w:eastAsia="Calibri" w:hAnsi="Arial" w:cs="Arial"/>
          <w:iCs/>
          <w:lang w:eastAsia="en-US"/>
        </w:rPr>
        <w:t>é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s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nepřímými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náklady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a pro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projekty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financované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s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využitím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40%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paušální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sazby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byl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zapracován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postup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pro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posuzování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způsobilosti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výdajů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z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důvodu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zásahu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vyšší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27409C" w:rsidRPr="001F04A6">
        <w:rPr>
          <w:rFonts w:ascii="Arial" w:eastAsia="Calibri" w:hAnsi="Arial" w:cs="Arial"/>
          <w:iCs/>
          <w:lang w:eastAsia="en-US"/>
        </w:rPr>
        <w:t>moci</w:t>
      </w:r>
      <w:proofErr w:type="spellEnd"/>
      <w:r w:rsidR="0027409C" w:rsidRPr="001F04A6">
        <w:rPr>
          <w:rFonts w:ascii="Arial" w:eastAsia="Calibri" w:hAnsi="Arial" w:cs="Arial"/>
          <w:iCs/>
          <w:lang w:eastAsia="en-US"/>
        </w:rPr>
        <w:t>.</w:t>
      </w:r>
    </w:p>
    <w:p w14:paraId="41AA5A9A" w14:textId="5DEB9167" w:rsidR="00AC5874" w:rsidRPr="00551EFB" w:rsidRDefault="0027409C" w:rsidP="00551EFB">
      <w:pPr>
        <w:spacing w:after="120" w:line="276" w:lineRule="auto"/>
        <w:jc w:val="both"/>
        <w:rPr>
          <w:rFonts w:ascii="Arial" w:eastAsia="Calibri" w:hAnsi="Arial" w:cs="Arial"/>
          <w:iCs/>
          <w:lang w:eastAsia="en-US"/>
        </w:rPr>
      </w:pPr>
      <w:proofErr w:type="spellStart"/>
      <w:r w:rsidRPr="001F04A6">
        <w:rPr>
          <w:rFonts w:ascii="Arial" w:eastAsia="Calibri" w:hAnsi="Arial" w:cs="Arial"/>
          <w:iCs/>
          <w:lang w:eastAsia="en-US"/>
        </w:rPr>
        <w:t>Vedle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revizí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Pr="001F04A6">
        <w:rPr>
          <w:rFonts w:ascii="Arial" w:eastAsia="Calibri" w:hAnsi="Arial" w:cs="Arial"/>
          <w:iCs/>
          <w:lang w:eastAsia="en-US"/>
        </w:rPr>
        <w:t>metodiky</w:t>
      </w:r>
      <w:proofErr w:type="spellEnd"/>
      <w:r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musel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ŘO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řešit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dopady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epidemie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onemocnění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COVID-19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na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realizaci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projektů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,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neboť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z</w:t>
      </w:r>
      <w:r w:rsidR="00B24976" w:rsidRPr="001F04A6">
        <w:rPr>
          <w:rFonts w:ascii="Arial" w:eastAsia="Calibri" w:hAnsi="Arial" w:cs="Arial"/>
          <w:iCs/>
          <w:lang w:eastAsia="en-US"/>
        </w:rPr>
        <w:t> 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důvodu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protiepidemických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opatření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přijatých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vládou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ČR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došlo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k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omezení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či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přerušení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realizace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B24976" w:rsidRPr="001F04A6">
        <w:rPr>
          <w:rFonts w:ascii="Arial" w:eastAsia="Calibri" w:hAnsi="Arial" w:cs="Arial"/>
          <w:iCs/>
          <w:lang w:eastAsia="en-US"/>
        </w:rPr>
        <w:t>projektových</w:t>
      </w:r>
      <w:proofErr w:type="spellEnd"/>
      <w:r w:rsidR="00B24976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aktivit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. Tyto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okolnosti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mohly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mít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zásadní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dopad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na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realizaci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OPZ, a proto </w:t>
      </w:r>
      <w:r w:rsidR="00B24976" w:rsidRPr="001F04A6">
        <w:rPr>
          <w:rFonts w:ascii="Arial" w:eastAsia="Calibri" w:hAnsi="Arial" w:cs="Arial"/>
          <w:iCs/>
          <w:lang w:eastAsia="en-US"/>
        </w:rPr>
        <w:t xml:space="preserve">ŘO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upravil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formou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výjimek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z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řídicí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dokumentace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pravidla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pro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realizaci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projektů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a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posuzování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způsobilosti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výdajů</w:t>
      </w:r>
      <w:proofErr w:type="spellEnd"/>
      <w:r w:rsidR="00B24976" w:rsidRPr="001F04A6">
        <w:rPr>
          <w:rFonts w:ascii="Arial" w:eastAsia="Calibri" w:hAnsi="Arial" w:cs="Arial"/>
          <w:iCs/>
          <w:lang w:eastAsia="en-US"/>
        </w:rPr>
        <w:t>,</w:t>
      </w:r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které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umožnily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příjemcům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realizovat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aktivity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jiným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vhodným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způsobem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r w:rsidR="00B24976" w:rsidRPr="001F04A6">
        <w:rPr>
          <w:rFonts w:ascii="Arial" w:eastAsia="Calibri" w:hAnsi="Arial" w:cs="Arial"/>
          <w:iCs/>
          <w:lang w:eastAsia="en-US"/>
        </w:rPr>
        <w:t>(</w:t>
      </w:r>
      <w:proofErr w:type="spellStart"/>
      <w:r w:rsidR="00B24976" w:rsidRPr="001F04A6">
        <w:rPr>
          <w:rFonts w:ascii="Arial" w:eastAsia="Calibri" w:hAnsi="Arial" w:cs="Arial"/>
          <w:iCs/>
          <w:lang w:eastAsia="en-US"/>
        </w:rPr>
        <w:t>např</w:t>
      </w:r>
      <w:proofErr w:type="spellEnd"/>
      <w:r w:rsidR="00B24976" w:rsidRPr="001F04A6">
        <w:rPr>
          <w:rFonts w:ascii="Arial" w:eastAsia="Calibri" w:hAnsi="Arial" w:cs="Arial"/>
          <w:iCs/>
          <w:lang w:eastAsia="en-US"/>
        </w:rPr>
        <w:t xml:space="preserve">. </w:t>
      </w:r>
      <w:proofErr w:type="spellStart"/>
      <w:r w:rsidR="00B24976" w:rsidRPr="001F04A6">
        <w:rPr>
          <w:rFonts w:ascii="Arial" w:eastAsia="Calibri" w:hAnsi="Arial" w:cs="Arial"/>
          <w:iCs/>
          <w:lang w:eastAsia="en-US"/>
        </w:rPr>
        <w:t>bylo</w:t>
      </w:r>
      <w:proofErr w:type="spellEnd"/>
      <w:r w:rsidR="00B24976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B24976" w:rsidRPr="001F04A6">
        <w:rPr>
          <w:rFonts w:ascii="Arial" w:eastAsia="Calibri" w:hAnsi="Arial" w:cs="Arial"/>
          <w:iCs/>
          <w:lang w:eastAsia="en-US"/>
        </w:rPr>
        <w:t>umožněno</w:t>
      </w:r>
      <w:proofErr w:type="spellEnd"/>
      <w:r w:rsidR="00B24976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B24976" w:rsidRPr="001F04A6">
        <w:rPr>
          <w:rFonts w:ascii="Arial" w:eastAsia="Calibri" w:hAnsi="Arial" w:cs="Arial"/>
          <w:iCs/>
          <w:lang w:eastAsia="en-US"/>
        </w:rPr>
        <w:t>realizovat</w:t>
      </w:r>
      <w:proofErr w:type="spellEnd"/>
      <w:r w:rsidR="00B24976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B24976" w:rsidRPr="001F04A6">
        <w:rPr>
          <w:rFonts w:ascii="Arial" w:eastAsia="Calibri" w:hAnsi="Arial" w:cs="Arial"/>
          <w:iCs/>
          <w:lang w:eastAsia="en-US"/>
        </w:rPr>
        <w:t>aktivity</w:t>
      </w:r>
      <w:proofErr w:type="spellEnd"/>
      <w:r w:rsidR="00B24976" w:rsidRPr="001F04A6">
        <w:rPr>
          <w:rFonts w:ascii="Arial" w:eastAsia="Calibri" w:hAnsi="Arial" w:cs="Arial"/>
          <w:iCs/>
          <w:lang w:eastAsia="en-US"/>
        </w:rPr>
        <w:t xml:space="preserve"> v </w:t>
      </w:r>
      <w:proofErr w:type="spellStart"/>
      <w:r w:rsidR="00B24976" w:rsidRPr="001F04A6">
        <w:rPr>
          <w:rFonts w:ascii="Arial" w:eastAsia="Calibri" w:hAnsi="Arial" w:cs="Arial"/>
          <w:iCs/>
          <w:lang w:eastAsia="en-US"/>
        </w:rPr>
        <w:t>elektronické</w:t>
      </w:r>
      <w:proofErr w:type="spellEnd"/>
      <w:r w:rsidR="00B24976" w:rsidRPr="001F04A6">
        <w:rPr>
          <w:rFonts w:ascii="Arial" w:eastAsia="Calibri" w:hAnsi="Arial" w:cs="Arial"/>
          <w:iCs/>
          <w:lang w:eastAsia="en-US"/>
        </w:rPr>
        <w:t xml:space="preserve"> a </w:t>
      </w:r>
      <w:proofErr w:type="spellStart"/>
      <w:r w:rsidR="00B24976" w:rsidRPr="001F04A6">
        <w:rPr>
          <w:rFonts w:ascii="Arial" w:eastAsia="Calibri" w:hAnsi="Arial" w:cs="Arial"/>
          <w:iCs/>
          <w:lang w:eastAsia="en-US"/>
        </w:rPr>
        <w:t>telefonické</w:t>
      </w:r>
      <w:proofErr w:type="spellEnd"/>
      <w:r w:rsidR="00B24976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B24976" w:rsidRPr="001F04A6">
        <w:rPr>
          <w:rFonts w:ascii="Arial" w:eastAsia="Calibri" w:hAnsi="Arial" w:cs="Arial"/>
          <w:iCs/>
          <w:lang w:eastAsia="en-US"/>
        </w:rPr>
        <w:t>formě</w:t>
      </w:r>
      <w:proofErr w:type="spellEnd"/>
      <w:r w:rsidR="00B24976" w:rsidRPr="001F04A6">
        <w:rPr>
          <w:rFonts w:ascii="Arial" w:eastAsia="Calibri" w:hAnsi="Arial" w:cs="Arial"/>
          <w:iCs/>
          <w:lang w:eastAsia="en-US"/>
        </w:rPr>
        <w:t xml:space="preserve">) </w:t>
      </w:r>
      <w:r w:rsidR="00F968AD" w:rsidRPr="001F04A6">
        <w:rPr>
          <w:rFonts w:ascii="Arial" w:eastAsia="Calibri" w:hAnsi="Arial" w:cs="Arial"/>
          <w:iCs/>
          <w:lang w:eastAsia="en-US"/>
        </w:rPr>
        <w:t xml:space="preserve">a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hradit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vynaložené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náklady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i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při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B24976" w:rsidRPr="001F04A6">
        <w:rPr>
          <w:rFonts w:ascii="Arial" w:eastAsia="Calibri" w:hAnsi="Arial" w:cs="Arial"/>
          <w:iCs/>
          <w:lang w:eastAsia="en-US"/>
        </w:rPr>
        <w:t>ztížených</w:t>
      </w:r>
      <w:proofErr w:type="spellEnd"/>
      <w:r w:rsidR="00B24976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B24976" w:rsidRPr="001F04A6">
        <w:rPr>
          <w:rFonts w:ascii="Arial" w:eastAsia="Calibri" w:hAnsi="Arial" w:cs="Arial"/>
          <w:iCs/>
          <w:lang w:eastAsia="en-US"/>
        </w:rPr>
        <w:t>podmínkách</w:t>
      </w:r>
      <w:proofErr w:type="spellEnd"/>
      <w:r w:rsidR="00B24976" w:rsidRPr="001F04A6">
        <w:rPr>
          <w:rFonts w:ascii="Arial" w:eastAsia="Calibri" w:hAnsi="Arial" w:cs="Arial"/>
          <w:iCs/>
          <w:lang w:eastAsia="en-US"/>
        </w:rPr>
        <w:t xml:space="preserve"> pro</w:t>
      </w:r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realizac</w:t>
      </w:r>
      <w:r w:rsidR="00B24976" w:rsidRPr="001F04A6">
        <w:rPr>
          <w:rFonts w:ascii="Arial" w:eastAsia="Calibri" w:hAnsi="Arial" w:cs="Arial"/>
          <w:iCs/>
          <w:lang w:eastAsia="en-US"/>
        </w:rPr>
        <w:t>i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F968AD" w:rsidRPr="001F04A6">
        <w:rPr>
          <w:rFonts w:ascii="Arial" w:eastAsia="Calibri" w:hAnsi="Arial" w:cs="Arial"/>
          <w:iCs/>
          <w:lang w:eastAsia="en-US"/>
        </w:rPr>
        <w:t>aktivit</w:t>
      </w:r>
      <w:proofErr w:type="spellEnd"/>
      <w:r w:rsidR="00B24976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B24976" w:rsidRPr="001F04A6">
        <w:rPr>
          <w:rFonts w:ascii="Arial" w:eastAsia="Calibri" w:hAnsi="Arial" w:cs="Arial"/>
          <w:iCs/>
          <w:lang w:eastAsia="en-US"/>
        </w:rPr>
        <w:t>projektu</w:t>
      </w:r>
      <w:proofErr w:type="spellEnd"/>
      <w:r w:rsidR="00F968AD" w:rsidRPr="001F04A6">
        <w:rPr>
          <w:rFonts w:ascii="Arial" w:eastAsia="Calibri" w:hAnsi="Arial" w:cs="Arial"/>
          <w:iCs/>
          <w:lang w:eastAsia="en-US"/>
        </w:rPr>
        <w:t xml:space="preserve">. </w:t>
      </w:r>
      <w:r w:rsidR="00B24976" w:rsidRPr="001F04A6">
        <w:rPr>
          <w:rFonts w:ascii="Arial" w:eastAsia="Calibri" w:hAnsi="Arial" w:cs="Arial"/>
          <w:iCs/>
          <w:lang w:eastAsia="en-US"/>
        </w:rPr>
        <w:t xml:space="preserve">ŘO </w:t>
      </w:r>
      <w:proofErr w:type="spellStart"/>
      <w:r w:rsidR="00B24976" w:rsidRPr="001F04A6">
        <w:rPr>
          <w:rFonts w:ascii="Arial" w:eastAsia="Calibri" w:hAnsi="Arial" w:cs="Arial"/>
          <w:iCs/>
          <w:lang w:eastAsia="en-US"/>
        </w:rPr>
        <w:t>tak</w:t>
      </w:r>
      <w:r w:rsidR="00A26FC9">
        <w:rPr>
          <w:rFonts w:ascii="Arial" w:eastAsia="Calibri" w:hAnsi="Arial" w:cs="Arial"/>
          <w:iCs/>
          <w:lang w:eastAsia="en-US"/>
        </w:rPr>
        <w:t>é</w:t>
      </w:r>
      <w:proofErr w:type="spellEnd"/>
      <w:r w:rsidR="00B24976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B24976" w:rsidRPr="001F04A6">
        <w:rPr>
          <w:rFonts w:ascii="Arial" w:eastAsia="Calibri" w:hAnsi="Arial" w:cs="Arial"/>
          <w:iCs/>
          <w:lang w:eastAsia="en-US"/>
        </w:rPr>
        <w:t>umožnil</w:t>
      </w:r>
      <w:proofErr w:type="spellEnd"/>
      <w:r w:rsidR="00B24976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B24976" w:rsidRPr="001F04A6">
        <w:rPr>
          <w:rFonts w:ascii="Arial" w:eastAsia="Calibri" w:hAnsi="Arial" w:cs="Arial"/>
          <w:iCs/>
          <w:lang w:eastAsia="en-US"/>
        </w:rPr>
        <w:t>příjemcům</w:t>
      </w:r>
      <w:proofErr w:type="spellEnd"/>
      <w:r w:rsidR="00B24976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B24976" w:rsidRPr="001F04A6">
        <w:rPr>
          <w:rFonts w:ascii="Arial" w:eastAsia="Calibri" w:hAnsi="Arial" w:cs="Arial"/>
          <w:iCs/>
          <w:lang w:eastAsia="en-US"/>
        </w:rPr>
        <w:t>využít</w:t>
      </w:r>
      <w:proofErr w:type="spellEnd"/>
      <w:r w:rsidR="00B24976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B24976" w:rsidRPr="001F04A6">
        <w:rPr>
          <w:rFonts w:ascii="Arial" w:eastAsia="Calibri" w:hAnsi="Arial" w:cs="Arial"/>
          <w:iCs/>
          <w:lang w:eastAsia="en-US"/>
        </w:rPr>
        <w:t>podporu</w:t>
      </w:r>
      <w:proofErr w:type="spellEnd"/>
      <w:r w:rsidR="00B24976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B24976" w:rsidRPr="001F04A6">
        <w:rPr>
          <w:rFonts w:ascii="Arial" w:eastAsia="Calibri" w:hAnsi="Arial" w:cs="Arial"/>
          <w:iCs/>
          <w:lang w:eastAsia="en-US"/>
        </w:rPr>
        <w:t>dle</w:t>
      </w:r>
      <w:proofErr w:type="spellEnd"/>
      <w:r w:rsidR="00B24976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B24976" w:rsidRPr="001F04A6">
        <w:rPr>
          <w:rFonts w:ascii="Arial" w:eastAsia="Calibri" w:hAnsi="Arial" w:cs="Arial"/>
          <w:iCs/>
          <w:lang w:eastAsia="en-US"/>
        </w:rPr>
        <w:t>tzv</w:t>
      </w:r>
      <w:proofErr w:type="spellEnd"/>
      <w:r w:rsidR="00B24976" w:rsidRPr="001F04A6">
        <w:rPr>
          <w:rFonts w:ascii="Arial" w:eastAsia="Calibri" w:hAnsi="Arial" w:cs="Arial"/>
          <w:iCs/>
          <w:lang w:eastAsia="en-US"/>
        </w:rPr>
        <w:t xml:space="preserve">. </w:t>
      </w:r>
      <w:proofErr w:type="spellStart"/>
      <w:r w:rsidR="00B24976" w:rsidRPr="001F04A6">
        <w:rPr>
          <w:rFonts w:ascii="Arial" w:eastAsia="Calibri" w:hAnsi="Arial" w:cs="Arial"/>
          <w:iCs/>
          <w:lang w:eastAsia="en-US"/>
        </w:rPr>
        <w:t>Dočasného</w:t>
      </w:r>
      <w:proofErr w:type="spellEnd"/>
      <w:r w:rsidR="00B24976" w:rsidRPr="001F04A6">
        <w:rPr>
          <w:rFonts w:ascii="Arial" w:eastAsia="Calibri" w:hAnsi="Arial" w:cs="Arial"/>
          <w:iCs/>
          <w:lang w:eastAsia="en-US"/>
        </w:rPr>
        <w:t xml:space="preserve"> </w:t>
      </w:r>
      <w:proofErr w:type="spellStart"/>
      <w:r w:rsidR="00B24976" w:rsidRPr="001F04A6">
        <w:rPr>
          <w:rFonts w:ascii="Arial" w:eastAsia="Calibri" w:hAnsi="Arial" w:cs="Arial"/>
          <w:iCs/>
          <w:lang w:eastAsia="en-US"/>
        </w:rPr>
        <w:t>rámce</w:t>
      </w:r>
      <w:proofErr w:type="spellEnd"/>
      <w:r w:rsidR="00B24976" w:rsidRPr="001F04A6">
        <w:rPr>
          <w:rFonts w:ascii="Arial" w:eastAsia="Calibri" w:hAnsi="Arial" w:cs="Arial"/>
          <w:iCs/>
          <w:lang w:eastAsia="en-US"/>
        </w:rPr>
        <w:t xml:space="preserve">. </w:t>
      </w:r>
      <w:proofErr w:type="spellStart"/>
      <w:r w:rsidR="00B24976" w:rsidRPr="001F04A6">
        <w:rPr>
          <w:rFonts w:ascii="Arial" w:eastAsia="Calibri" w:hAnsi="Arial" w:cs="Arial"/>
          <w:iCs/>
          <w:lang w:eastAsia="en-US"/>
        </w:rPr>
        <w:t>Více</w:t>
      </w:r>
      <w:proofErr w:type="spellEnd"/>
      <w:r w:rsidR="00B24976" w:rsidRPr="001F04A6">
        <w:rPr>
          <w:rFonts w:ascii="Arial" w:eastAsia="Calibri" w:hAnsi="Arial" w:cs="Arial"/>
          <w:iCs/>
          <w:lang w:eastAsia="en-US"/>
        </w:rPr>
        <w:t xml:space="preserve"> viz </w:t>
      </w:r>
      <w:proofErr w:type="spellStart"/>
      <w:r w:rsidR="00B24976" w:rsidRPr="001F04A6">
        <w:rPr>
          <w:rFonts w:ascii="Arial" w:eastAsia="Calibri" w:hAnsi="Arial" w:cs="Arial"/>
          <w:iCs/>
          <w:lang w:eastAsia="en-US"/>
        </w:rPr>
        <w:t>kap</w:t>
      </w:r>
      <w:proofErr w:type="spellEnd"/>
      <w:r w:rsidR="00B24976" w:rsidRPr="001F04A6">
        <w:rPr>
          <w:rFonts w:ascii="Arial" w:eastAsia="Calibri" w:hAnsi="Arial" w:cs="Arial"/>
          <w:iCs/>
          <w:lang w:eastAsia="en-US"/>
        </w:rPr>
        <w:t>. 6.</w:t>
      </w:r>
    </w:p>
    <w:p w14:paraId="01B64826" w14:textId="0B76E800" w:rsidR="005B4F30" w:rsidRPr="005228CE" w:rsidRDefault="005B4F30" w:rsidP="00551EFB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 </w:t>
      </w:r>
      <w:proofErr w:type="spellStart"/>
      <w:r>
        <w:rPr>
          <w:rFonts w:ascii="Arial" w:hAnsi="Arial" w:cs="Arial"/>
        </w:rPr>
        <w:t>roce</w:t>
      </w:r>
      <w:proofErr w:type="spellEnd"/>
      <w:r>
        <w:rPr>
          <w:rFonts w:ascii="Arial" w:hAnsi="Arial" w:cs="Arial"/>
        </w:rPr>
        <w:t xml:space="preserve"> 2020 </w:t>
      </w:r>
      <w:proofErr w:type="spellStart"/>
      <w:r>
        <w:rPr>
          <w:rFonts w:ascii="Arial" w:hAnsi="Arial" w:cs="Arial"/>
        </w:rPr>
        <w:t>probíhala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realizace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finanční</w:t>
      </w:r>
      <w:r>
        <w:rPr>
          <w:rFonts w:ascii="Arial" w:hAnsi="Arial" w:cs="Arial"/>
        </w:rPr>
        <w:t>ho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nástroj</w:t>
      </w:r>
      <w:r>
        <w:rPr>
          <w:rFonts w:ascii="Arial" w:hAnsi="Arial" w:cs="Arial"/>
        </w:rPr>
        <w:t>e</w:t>
      </w:r>
      <w:proofErr w:type="spellEnd"/>
      <w:r>
        <w:rPr>
          <w:rFonts w:ascii="Arial" w:hAnsi="Arial" w:cs="Arial"/>
        </w:rPr>
        <w:t xml:space="preserve">, v </w:t>
      </w:r>
      <w:proofErr w:type="spellStart"/>
      <w:r>
        <w:rPr>
          <w:rFonts w:ascii="Arial" w:hAnsi="Arial" w:cs="Arial"/>
        </w:rPr>
        <w:t>rámci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kterého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jsou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poskytovány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zvýhodněn</w:t>
      </w:r>
      <w:r>
        <w:rPr>
          <w:rFonts w:ascii="Arial" w:hAnsi="Arial" w:cs="Arial"/>
        </w:rPr>
        <w:t>é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bezúročn</w:t>
      </w:r>
      <w:r>
        <w:rPr>
          <w:rFonts w:ascii="Arial" w:hAnsi="Arial" w:cs="Arial"/>
        </w:rPr>
        <w:t>é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úvěr</w:t>
      </w:r>
      <w:r>
        <w:rPr>
          <w:rFonts w:ascii="Arial" w:hAnsi="Arial" w:cs="Arial"/>
        </w:rPr>
        <w:t>y</w:t>
      </w:r>
      <w:proofErr w:type="spellEnd"/>
      <w:r w:rsidRPr="005228CE">
        <w:rPr>
          <w:rFonts w:ascii="Arial" w:hAnsi="Arial" w:cs="Arial"/>
        </w:rPr>
        <w:t xml:space="preserve"> pro </w:t>
      </w:r>
      <w:proofErr w:type="spellStart"/>
      <w:r w:rsidRPr="005228CE">
        <w:rPr>
          <w:rFonts w:ascii="Arial" w:hAnsi="Arial" w:cs="Arial"/>
        </w:rPr>
        <w:t>sociální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podnikatele</w:t>
      </w:r>
      <w:proofErr w:type="spellEnd"/>
      <w:r w:rsidRPr="005228CE">
        <w:rPr>
          <w:rFonts w:ascii="Arial" w:hAnsi="Arial" w:cs="Arial"/>
        </w:rPr>
        <w:t xml:space="preserve"> a </w:t>
      </w:r>
      <w:proofErr w:type="spellStart"/>
      <w:r w:rsidRPr="005228CE">
        <w:rPr>
          <w:rFonts w:ascii="Arial" w:hAnsi="Arial" w:cs="Arial"/>
        </w:rPr>
        <w:t>zájemce</w:t>
      </w:r>
      <w:proofErr w:type="spellEnd"/>
      <w:r w:rsidRPr="005228CE">
        <w:rPr>
          <w:rFonts w:ascii="Arial" w:hAnsi="Arial" w:cs="Arial"/>
        </w:rPr>
        <w:t xml:space="preserve"> o </w:t>
      </w:r>
      <w:proofErr w:type="spellStart"/>
      <w:r w:rsidRPr="005228CE">
        <w:rPr>
          <w:rFonts w:ascii="Arial" w:hAnsi="Arial" w:cs="Arial"/>
        </w:rPr>
        <w:t>sociální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podnikání</w:t>
      </w:r>
      <w:proofErr w:type="spellEnd"/>
      <w:r w:rsidRPr="005228CE">
        <w:rPr>
          <w:rFonts w:ascii="Arial" w:hAnsi="Arial" w:cs="Arial"/>
        </w:rPr>
        <w:t xml:space="preserve">. </w:t>
      </w:r>
      <w:proofErr w:type="spellStart"/>
      <w:r w:rsidRPr="005228CE">
        <w:rPr>
          <w:rFonts w:ascii="Arial" w:hAnsi="Arial" w:cs="Arial"/>
        </w:rPr>
        <w:t>Zprostředkovatelem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úvěrů</w:t>
      </w:r>
      <w:proofErr w:type="spellEnd"/>
      <w:r w:rsidRPr="005228CE">
        <w:rPr>
          <w:rFonts w:ascii="Arial" w:hAnsi="Arial" w:cs="Arial"/>
        </w:rPr>
        <w:t xml:space="preserve"> je </w:t>
      </w:r>
      <w:proofErr w:type="spellStart"/>
      <w:r w:rsidR="00013CC4">
        <w:rPr>
          <w:rFonts w:ascii="Arial" w:hAnsi="Arial" w:cs="Arial"/>
        </w:rPr>
        <w:t>Českomoravská</w:t>
      </w:r>
      <w:proofErr w:type="spellEnd"/>
      <w:r w:rsidR="00013CC4">
        <w:rPr>
          <w:rFonts w:ascii="Arial" w:hAnsi="Arial" w:cs="Arial"/>
        </w:rPr>
        <w:t xml:space="preserve"> </w:t>
      </w:r>
      <w:proofErr w:type="spellStart"/>
      <w:r w:rsidR="00013CC4">
        <w:rPr>
          <w:rFonts w:ascii="Arial" w:hAnsi="Arial" w:cs="Arial"/>
        </w:rPr>
        <w:t>záruční</w:t>
      </w:r>
      <w:proofErr w:type="spellEnd"/>
      <w:r w:rsidR="00013CC4">
        <w:rPr>
          <w:rFonts w:ascii="Arial" w:hAnsi="Arial" w:cs="Arial"/>
        </w:rPr>
        <w:t xml:space="preserve"> a </w:t>
      </w:r>
      <w:proofErr w:type="spellStart"/>
      <w:r w:rsidR="00013CC4">
        <w:rPr>
          <w:rFonts w:ascii="Arial" w:hAnsi="Arial" w:cs="Arial"/>
        </w:rPr>
        <w:t>rozvojová</w:t>
      </w:r>
      <w:proofErr w:type="spellEnd"/>
      <w:r w:rsidR="00013CC4">
        <w:rPr>
          <w:rFonts w:ascii="Arial" w:hAnsi="Arial" w:cs="Arial"/>
        </w:rPr>
        <w:t xml:space="preserve"> </w:t>
      </w:r>
      <w:proofErr w:type="spellStart"/>
      <w:r w:rsidR="00013CC4">
        <w:rPr>
          <w:rFonts w:ascii="Arial" w:hAnsi="Arial" w:cs="Arial"/>
        </w:rPr>
        <w:t>banka</w:t>
      </w:r>
      <w:proofErr w:type="spellEnd"/>
      <w:r w:rsidR="00013CC4">
        <w:rPr>
          <w:rFonts w:ascii="Arial" w:hAnsi="Arial" w:cs="Arial"/>
        </w:rPr>
        <w:t xml:space="preserve">, </w:t>
      </w:r>
      <w:proofErr w:type="spellStart"/>
      <w:r w:rsidR="00013CC4">
        <w:rPr>
          <w:rFonts w:ascii="Arial" w:hAnsi="Arial" w:cs="Arial"/>
        </w:rPr>
        <w:t>a.s.</w:t>
      </w:r>
      <w:proofErr w:type="spellEnd"/>
      <w:r w:rsidR="00013CC4">
        <w:rPr>
          <w:rFonts w:ascii="Arial" w:hAnsi="Arial" w:cs="Arial"/>
        </w:rPr>
        <w:t xml:space="preserve"> (</w:t>
      </w:r>
      <w:r w:rsidRPr="005228CE">
        <w:rPr>
          <w:rFonts w:ascii="Arial" w:hAnsi="Arial" w:cs="Arial"/>
        </w:rPr>
        <w:t>ČMRZB</w:t>
      </w:r>
      <w:r w:rsidR="00013CC4">
        <w:rPr>
          <w:rFonts w:ascii="Arial" w:hAnsi="Arial" w:cs="Arial"/>
        </w:rPr>
        <w:t>)</w:t>
      </w:r>
      <w:r w:rsidRPr="005228CE">
        <w:rPr>
          <w:rFonts w:ascii="Arial" w:hAnsi="Arial" w:cs="Arial"/>
        </w:rPr>
        <w:t xml:space="preserve">. </w:t>
      </w:r>
      <w:proofErr w:type="spellStart"/>
      <w:r w:rsidRPr="005228CE">
        <w:rPr>
          <w:rFonts w:ascii="Arial" w:hAnsi="Arial" w:cs="Arial"/>
        </w:rPr>
        <w:t>Hlavním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cílem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finančního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nástroje</w:t>
      </w:r>
      <w:proofErr w:type="spellEnd"/>
      <w:r w:rsidRPr="005228CE">
        <w:rPr>
          <w:rFonts w:ascii="Arial" w:hAnsi="Arial" w:cs="Arial"/>
        </w:rPr>
        <w:t xml:space="preserve"> je </w:t>
      </w:r>
      <w:proofErr w:type="spellStart"/>
      <w:r w:rsidRPr="005228CE">
        <w:rPr>
          <w:rFonts w:ascii="Arial" w:hAnsi="Arial" w:cs="Arial"/>
        </w:rPr>
        <w:t>umožnit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realizaci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projektů</w:t>
      </w:r>
      <w:proofErr w:type="spellEnd"/>
      <w:r w:rsidRPr="005228CE">
        <w:rPr>
          <w:rFonts w:ascii="Arial" w:hAnsi="Arial" w:cs="Arial"/>
        </w:rPr>
        <w:t xml:space="preserve">, </w:t>
      </w:r>
      <w:proofErr w:type="spellStart"/>
      <w:r w:rsidRPr="005228CE">
        <w:rPr>
          <w:rFonts w:ascii="Arial" w:hAnsi="Arial" w:cs="Arial"/>
        </w:rPr>
        <w:t>které</w:t>
      </w:r>
      <w:proofErr w:type="spellEnd"/>
      <w:r w:rsidRPr="005228CE">
        <w:rPr>
          <w:rFonts w:ascii="Arial" w:hAnsi="Arial" w:cs="Arial"/>
        </w:rPr>
        <w:t xml:space="preserve"> by </w:t>
      </w:r>
      <w:proofErr w:type="spellStart"/>
      <w:r w:rsidRPr="005228CE">
        <w:rPr>
          <w:rFonts w:ascii="Arial" w:hAnsi="Arial" w:cs="Arial"/>
        </w:rPr>
        <w:t>pravděpodobně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nebyly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realizovány</w:t>
      </w:r>
      <w:proofErr w:type="spellEnd"/>
      <w:r w:rsidRPr="005228CE">
        <w:rPr>
          <w:rFonts w:ascii="Arial" w:hAnsi="Arial" w:cs="Arial"/>
        </w:rPr>
        <w:t xml:space="preserve"> z </w:t>
      </w:r>
      <w:proofErr w:type="spellStart"/>
      <w:r w:rsidRPr="005228CE">
        <w:rPr>
          <w:rFonts w:ascii="Arial" w:hAnsi="Arial" w:cs="Arial"/>
        </w:rPr>
        <w:t>důvodu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tržního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selhání</w:t>
      </w:r>
      <w:proofErr w:type="spellEnd"/>
      <w:r w:rsidRPr="005228CE">
        <w:rPr>
          <w:rFonts w:ascii="Arial" w:hAnsi="Arial" w:cs="Arial"/>
        </w:rPr>
        <w:t xml:space="preserve">. Pro </w:t>
      </w:r>
      <w:proofErr w:type="spellStart"/>
      <w:r w:rsidRPr="005228CE">
        <w:rPr>
          <w:rFonts w:ascii="Arial" w:hAnsi="Arial" w:cs="Arial"/>
        </w:rPr>
        <w:t>realizaci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finančního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nástroje</w:t>
      </w:r>
      <w:proofErr w:type="spellEnd"/>
      <w:r w:rsidRPr="005228CE">
        <w:rPr>
          <w:rFonts w:ascii="Arial" w:hAnsi="Arial" w:cs="Arial"/>
        </w:rPr>
        <w:t xml:space="preserve"> je </w:t>
      </w:r>
      <w:proofErr w:type="spellStart"/>
      <w:r w:rsidRPr="005228CE">
        <w:rPr>
          <w:rFonts w:ascii="Arial" w:hAnsi="Arial" w:cs="Arial"/>
        </w:rPr>
        <w:t>alokováno</w:t>
      </w:r>
      <w:proofErr w:type="spellEnd"/>
      <w:r w:rsidRPr="005228CE">
        <w:rPr>
          <w:rFonts w:ascii="Arial" w:hAnsi="Arial" w:cs="Arial"/>
        </w:rPr>
        <w:t xml:space="preserve"> </w:t>
      </w:r>
      <w:r w:rsidR="004C49E8">
        <w:rPr>
          <w:rFonts w:ascii="Arial" w:hAnsi="Arial" w:cs="Arial"/>
        </w:rPr>
        <w:t xml:space="preserve">15 </w:t>
      </w:r>
      <w:r w:rsidR="00FA2FEF">
        <w:rPr>
          <w:rFonts w:ascii="Arial" w:hAnsi="Arial" w:cs="Arial"/>
        </w:rPr>
        <w:t>mil.</w:t>
      </w:r>
      <w:r w:rsidR="004C49E8">
        <w:rPr>
          <w:rFonts w:ascii="Arial" w:hAnsi="Arial" w:cs="Arial"/>
        </w:rPr>
        <w:t xml:space="preserve"> EUR.</w:t>
      </w:r>
      <w:r w:rsidR="007F497E">
        <w:rPr>
          <w:rFonts w:ascii="Arial" w:hAnsi="Arial" w:cs="Arial"/>
        </w:rPr>
        <w:t xml:space="preserve"> </w:t>
      </w:r>
      <w:r w:rsidR="007F497E" w:rsidRPr="005E7F40">
        <w:rPr>
          <w:rFonts w:ascii="Arial" w:eastAsia="Arial" w:hAnsi="Arial" w:cs="Arial"/>
          <w:color w:val="000000"/>
          <w:lang w:val="cs-CZ"/>
        </w:rPr>
        <w:t xml:space="preserve">Ve finančních nástrojích bude využito křížové financování. Další informace </w:t>
      </w:r>
      <w:r w:rsidR="006365EF">
        <w:rPr>
          <w:rFonts w:ascii="Arial" w:eastAsia="Arial" w:hAnsi="Arial" w:cs="Arial"/>
          <w:color w:val="000000"/>
          <w:lang w:val="cs-CZ"/>
        </w:rPr>
        <w:t xml:space="preserve">k finančním nástrojům </w:t>
      </w:r>
      <w:r w:rsidR="007F497E" w:rsidRPr="005E7F40">
        <w:rPr>
          <w:rFonts w:ascii="Arial" w:eastAsia="Arial" w:hAnsi="Arial" w:cs="Arial"/>
          <w:color w:val="000000"/>
          <w:lang w:val="cs-CZ"/>
        </w:rPr>
        <w:t>jsou uvedeny v příloze č. 5</w:t>
      </w:r>
      <w:r w:rsidR="007E1659">
        <w:rPr>
          <w:rFonts w:ascii="Arial" w:eastAsia="Arial" w:hAnsi="Arial" w:cs="Arial"/>
          <w:color w:val="000000"/>
          <w:lang w:val="cs-CZ"/>
        </w:rPr>
        <w:t>.</w:t>
      </w:r>
    </w:p>
    <w:p w14:paraId="48FA7EBE" w14:textId="31F0FAF8" w:rsidR="005B4F30" w:rsidRPr="005228CE" w:rsidRDefault="005B4F30" w:rsidP="00AC5874">
      <w:pPr>
        <w:spacing w:line="276" w:lineRule="auto"/>
        <w:jc w:val="both"/>
        <w:rPr>
          <w:rFonts w:ascii="Arial" w:hAnsi="Arial" w:cs="Arial"/>
        </w:rPr>
      </w:pPr>
      <w:proofErr w:type="spellStart"/>
      <w:r w:rsidRPr="005228CE">
        <w:rPr>
          <w:rFonts w:ascii="Arial" w:hAnsi="Arial" w:cs="Arial"/>
        </w:rPr>
        <w:t>Ke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dni</w:t>
      </w:r>
      <w:proofErr w:type="spellEnd"/>
      <w:r w:rsidRPr="005228CE">
        <w:rPr>
          <w:rFonts w:ascii="Arial" w:hAnsi="Arial" w:cs="Arial"/>
        </w:rPr>
        <w:t xml:space="preserve"> 1. 8. 2020 </w:t>
      </w:r>
      <w:proofErr w:type="spellStart"/>
      <w:r w:rsidRPr="005228CE">
        <w:rPr>
          <w:rFonts w:ascii="Arial" w:hAnsi="Arial" w:cs="Arial"/>
        </w:rPr>
        <w:t>došlo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také</w:t>
      </w:r>
      <w:proofErr w:type="spellEnd"/>
      <w:r w:rsidRPr="005228CE">
        <w:rPr>
          <w:rFonts w:ascii="Arial" w:hAnsi="Arial" w:cs="Arial"/>
        </w:rPr>
        <w:t xml:space="preserve"> v </w:t>
      </w:r>
      <w:proofErr w:type="spellStart"/>
      <w:r w:rsidRPr="005228CE">
        <w:rPr>
          <w:rFonts w:ascii="Arial" w:hAnsi="Arial" w:cs="Arial"/>
        </w:rPr>
        <w:t>souvislosti</w:t>
      </w:r>
      <w:proofErr w:type="spellEnd"/>
      <w:r w:rsidRPr="005228CE">
        <w:rPr>
          <w:rFonts w:ascii="Arial" w:hAnsi="Arial" w:cs="Arial"/>
        </w:rPr>
        <w:t xml:space="preserve"> s </w:t>
      </w:r>
      <w:proofErr w:type="spellStart"/>
      <w:r w:rsidRPr="005228CE">
        <w:rPr>
          <w:rFonts w:ascii="Arial" w:hAnsi="Arial" w:cs="Arial"/>
        </w:rPr>
        <w:t>dopady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pandemie</w:t>
      </w:r>
      <w:proofErr w:type="spellEnd"/>
      <w:r w:rsidRPr="005228CE">
        <w:rPr>
          <w:rFonts w:ascii="Arial" w:hAnsi="Arial" w:cs="Arial"/>
        </w:rPr>
        <w:t xml:space="preserve"> koronaviru k </w:t>
      </w:r>
      <w:proofErr w:type="spellStart"/>
      <w:r w:rsidRPr="005228CE">
        <w:rPr>
          <w:rFonts w:ascii="Arial" w:hAnsi="Arial" w:cs="Arial"/>
        </w:rPr>
        <w:t>revizi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pravidel</w:t>
      </w:r>
      <w:proofErr w:type="spellEnd"/>
      <w:r w:rsidRPr="005228CE">
        <w:rPr>
          <w:rFonts w:ascii="Arial" w:hAnsi="Arial" w:cs="Arial"/>
        </w:rPr>
        <w:t xml:space="preserve"> pro </w:t>
      </w:r>
      <w:proofErr w:type="spellStart"/>
      <w:r w:rsidRPr="005228CE">
        <w:rPr>
          <w:rFonts w:ascii="Arial" w:hAnsi="Arial" w:cs="Arial"/>
        </w:rPr>
        <w:t>čerpání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úvěrů</w:t>
      </w:r>
      <w:proofErr w:type="spellEnd"/>
      <w:r w:rsidRPr="005228CE">
        <w:rPr>
          <w:rFonts w:ascii="Arial" w:hAnsi="Arial" w:cs="Arial"/>
        </w:rPr>
        <w:t xml:space="preserve">. </w:t>
      </w:r>
      <w:proofErr w:type="spellStart"/>
      <w:r w:rsidRPr="005228CE">
        <w:rPr>
          <w:rFonts w:ascii="Arial" w:hAnsi="Arial" w:cs="Arial"/>
        </w:rPr>
        <w:t>Úvěry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mohou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nově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čerpat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nejen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malé</w:t>
      </w:r>
      <w:proofErr w:type="spellEnd"/>
      <w:r w:rsidRPr="005228CE">
        <w:rPr>
          <w:rFonts w:ascii="Arial" w:hAnsi="Arial" w:cs="Arial"/>
        </w:rPr>
        <w:t xml:space="preserve"> a </w:t>
      </w:r>
      <w:proofErr w:type="spellStart"/>
      <w:r w:rsidRPr="005228CE">
        <w:rPr>
          <w:rFonts w:ascii="Arial" w:hAnsi="Arial" w:cs="Arial"/>
        </w:rPr>
        <w:t>střední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podniky</w:t>
      </w:r>
      <w:proofErr w:type="spellEnd"/>
      <w:r w:rsidRPr="005228CE">
        <w:rPr>
          <w:rFonts w:ascii="Arial" w:hAnsi="Arial" w:cs="Arial"/>
        </w:rPr>
        <w:t xml:space="preserve">, ale </w:t>
      </w:r>
      <w:proofErr w:type="spellStart"/>
      <w:r w:rsidRPr="005228CE">
        <w:rPr>
          <w:rFonts w:ascii="Arial" w:hAnsi="Arial" w:cs="Arial"/>
        </w:rPr>
        <w:t>všechny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podniky</w:t>
      </w:r>
      <w:proofErr w:type="spellEnd"/>
      <w:r w:rsidRPr="005228CE">
        <w:rPr>
          <w:rFonts w:ascii="Arial" w:hAnsi="Arial" w:cs="Arial"/>
        </w:rPr>
        <w:t xml:space="preserve">, </w:t>
      </w:r>
      <w:proofErr w:type="spellStart"/>
      <w:r w:rsidRPr="005228CE">
        <w:rPr>
          <w:rFonts w:ascii="Arial" w:hAnsi="Arial" w:cs="Arial"/>
        </w:rPr>
        <w:t>které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splňují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definici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sociálního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podniku</w:t>
      </w:r>
      <w:proofErr w:type="spellEnd"/>
      <w:r w:rsidRPr="005228CE">
        <w:rPr>
          <w:rFonts w:ascii="Arial" w:hAnsi="Arial" w:cs="Arial"/>
        </w:rPr>
        <w:t xml:space="preserve">, bez </w:t>
      </w:r>
      <w:proofErr w:type="spellStart"/>
      <w:r w:rsidRPr="005228CE">
        <w:rPr>
          <w:rFonts w:ascii="Arial" w:hAnsi="Arial" w:cs="Arial"/>
        </w:rPr>
        <w:t>ohledu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na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svou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velikost</w:t>
      </w:r>
      <w:proofErr w:type="spellEnd"/>
      <w:r w:rsidRPr="005228CE">
        <w:rPr>
          <w:rFonts w:ascii="Arial" w:hAnsi="Arial" w:cs="Arial"/>
        </w:rPr>
        <w:t xml:space="preserve">. </w:t>
      </w:r>
      <w:bookmarkStart w:id="7" w:name="_Hlk66177398"/>
      <w:proofErr w:type="spellStart"/>
      <w:r w:rsidRPr="005228CE">
        <w:rPr>
          <w:rFonts w:ascii="Arial" w:hAnsi="Arial" w:cs="Arial"/>
        </w:rPr>
        <w:t>Došlo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ke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snížení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minimální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výše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poskytnuté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podpory</w:t>
      </w:r>
      <w:proofErr w:type="spellEnd"/>
      <w:r w:rsidRPr="005228CE">
        <w:rPr>
          <w:rFonts w:ascii="Arial" w:hAnsi="Arial" w:cs="Arial"/>
        </w:rPr>
        <w:t xml:space="preserve"> z</w:t>
      </w:r>
      <w:r w:rsidR="00CD4D1D">
        <w:rPr>
          <w:rFonts w:ascii="Arial" w:hAnsi="Arial" w:cs="Arial"/>
        </w:rPr>
        <w:t> </w:t>
      </w:r>
      <w:proofErr w:type="spellStart"/>
      <w:r w:rsidR="00526068">
        <w:rPr>
          <w:rFonts w:ascii="Arial" w:hAnsi="Arial" w:cs="Arial"/>
        </w:rPr>
        <w:t>cca</w:t>
      </w:r>
      <w:proofErr w:type="spellEnd"/>
      <w:r w:rsidR="00526068">
        <w:rPr>
          <w:rFonts w:ascii="Arial" w:hAnsi="Arial" w:cs="Arial"/>
        </w:rPr>
        <w:t xml:space="preserve"> </w:t>
      </w:r>
      <w:r w:rsidR="00526068" w:rsidRPr="00526068">
        <w:rPr>
          <w:rFonts w:ascii="Arial" w:hAnsi="Arial" w:cs="Arial"/>
        </w:rPr>
        <w:t>25 tis. EUR</w:t>
      </w:r>
      <w:r w:rsidRPr="00526068">
        <w:rPr>
          <w:rFonts w:ascii="Arial" w:hAnsi="Arial" w:cs="Arial"/>
        </w:rPr>
        <w:t xml:space="preserve"> </w:t>
      </w:r>
      <w:proofErr w:type="spellStart"/>
      <w:r w:rsidRPr="00526068">
        <w:rPr>
          <w:rFonts w:ascii="Arial" w:hAnsi="Arial" w:cs="Arial"/>
        </w:rPr>
        <w:t>na</w:t>
      </w:r>
      <w:proofErr w:type="spellEnd"/>
      <w:r w:rsidRPr="00526068">
        <w:rPr>
          <w:rFonts w:ascii="Arial" w:hAnsi="Arial" w:cs="Arial"/>
        </w:rPr>
        <w:t xml:space="preserve"> </w:t>
      </w:r>
      <w:r w:rsidR="00526068" w:rsidRPr="00526068">
        <w:rPr>
          <w:rFonts w:ascii="Arial" w:hAnsi="Arial" w:cs="Arial"/>
        </w:rPr>
        <w:t>15</w:t>
      </w:r>
      <w:r w:rsidRPr="00526068">
        <w:rPr>
          <w:rFonts w:ascii="Arial" w:hAnsi="Arial" w:cs="Arial"/>
        </w:rPr>
        <w:t xml:space="preserve"> tis.</w:t>
      </w:r>
      <w:r w:rsidRPr="005228CE">
        <w:rPr>
          <w:rFonts w:ascii="Arial" w:hAnsi="Arial" w:cs="Arial"/>
        </w:rPr>
        <w:t xml:space="preserve"> </w:t>
      </w:r>
      <w:r w:rsidR="00526068">
        <w:rPr>
          <w:rFonts w:ascii="Arial" w:hAnsi="Arial" w:cs="Arial"/>
        </w:rPr>
        <w:t>EUR</w:t>
      </w:r>
      <w:r w:rsidRPr="005228CE">
        <w:rPr>
          <w:rFonts w:ascii="Arial" w:hAnsi="Arial" w:cs="Arial"/>
        </w:rPr>
        <w:t xml:space="preserve"> a </w:t>
      </w:r>
      <w:proofErr w:type="spellStart"/>
      <w:r w:rsidRPr="005228CE">
        <w:rPr>
          <w:rFonts w:ascii="Arial" w:hAnsi="Arial" w:cs="Arial"/>
        </w:rPr>
        <w:t>rozšíření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možnosti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žádat</w:t>
      </w:r>
      <w:proofErr w:type="spellEnd"/>
      <w:r w:rsidRPr="005228CE">
        <w:rPr>
          <w:rFonts w:ascii="Arial" w:hAnsi="Arial" w:cs="Arial"/>
        </w:rPr>
        <w:t xml:space="preserve"> o </w:t>
      </w:r>
      <w:proofErr w:type="spellStart"/>
      <w:r w:rsidRPr="005228CE">
        <w:rPr>
          <w:rFonts w:ascii="Arial" w:hAnsi="Arial" w:cs="Arial"/>
        </w:rPr>
        <w:t>úvěr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nejen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na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investice</w:t>
      </w:r>
      <w:proofErr w:type="spellEnd"/>
      <w:r w:rsidRPr="005228CE">
        <w:rPr>
          <w:rFonts w:ascii="Arial" w:hAnsi="Arial" w:cs="Arial"/>
        </w:rPr>
        <w:t xml:space="preserve">, ale </w:t>
      </w:r>
      <w:proofErr w:type="spellStart"/>
      <w:r w:rsidRPr="005228CE">
        <w:rPr>
          <w:rFonts w:ascii="Arial" w:hAnsi="Arial" w:cs="Arial"/>
        </w:rPr>
        <w:t>i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provoz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podniku</w:t>
      </w:r>
      <w:proofErr w:type="spellEnd"/>
      <w:r w:rsidRPr="005228CE">
        <w:rPr>
          <w:rFonts w:ascii="Arial" w:hAnsi="Arial" w:cs="Arial"/>
        </w:rPr>
        <w:t>.</w:t>
      </w:r>
    </w:p>
    <w:bookmarkEnd w:id="7"/>
    <w:p w14:paraId="670C05BF" w14:textId="5757FE4D" w:rsidR="00551EFB" w:rsidRPr="00551EFB" w:rsidRDefault="005B4F30" w:rsidP="00551EFB">
      <w:pPr>
        <w:spacing w:after="120" w:line="276" w:lineRule="auto"/>
        <w:jc w:val="both"/>
        <w:rPr>
          <w:rFonts w:ascii="Arial" w:hAnsi="Arial" w:cs="Arial"/>
        </w:rPr>
      </w:pPr>
      <w:r w:rsidRPr="005228CE">
        <w:rPr>
          <w:rFonts w:ascii="Arial" w:hAnsi="Arial" w:cs="Arial"/>
        </w:rPr>
        <w:t>V </w:t>
      </w:r>
      <w:proofErr w:type="spellStart"/>
      <w:r w:rsidRPr="005228CE">
        <w:rPr>
          <w:rFonts w:ascii="Arial" w:hAnsi="Arial" w:cs="Arial"/>
        </w:rPr>
        <w:t>roce</w:t>
      </w:r>
      <w:proofErr w:type="spellEnd"/>
      <w:r w:rsidRPr="005228CE">
        <w:rPr>
          <w:rFonts w:ascii="Arial" w:hAnsi="Arial" w:cs="Arial"/>
        </w:rPr>
        <w:t xml:space="preserve"> 2020 </w:t>
      </w:r>
      <w:proofErr w:type="spellStart"/>
      <w:r w:rsidRPr="005228CE">
        <w:rPr>
          <w:rFonts w:ascii="Arial" w:hAnsi="Arial" w:cs="Arial"/>
        </w:rPr>
        <w:t>byla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také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vyhlášena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veřejná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zakázka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na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druhý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produkt</w:t>
      </w:r>
      <w:proofErr w:type="spellEnd"/>
      <w:r w:rsidRPr="005228CE">
        <w:rPr>
          <w:rFonts w:ascii="Arial" w:hAnsi="Arial" w:cs="Arial"/>
        </w:rPr>
        <w:t xml:space="preserve"> – </w:t>
      </w:r>
      <w:proofErr w:type="spellStart"/>
      <w:r w:rsidRPr="005228CE">
        <w:rPr>
          <w:rFonts w:ascii="Arial" w:hAnsi="Arial" w:cs="Arial"/>
        </w:rPr>
        <w:t>poradenství</w:t>
      </w:r>
      <w:proofErr w:type="spellEnd"/>
      <w:r w:rsidRPr="005228CE">
        <w:rPr>
          <w:rFonts w:ascii="Arial" w:hAnsi="Arial" w:cs="Arial"/>
        </w:rPr>
        <w:t xml:space="preserve">, </w:t>
      </w:r>
      <w:proofErr w:type="spellStart"/>
      <w:r w:rsidRPr="005228CE">
        <w:rPr>
          <w:rFonts w:ascii="Arial" w:hAnsi="Arial" w:cs="Arial"/>
        </w:rPr>
        <w:t>které</w:t>
      </w:r>
      <w:proofErr w:type="spellEnd"/>
      <w:r w:rsidRPr="005228CE">
        <w:rPr>
          <w:rFonts w:ascii="Arial" w:hAnsi="Arial" w:cs="Arial"/>
        </w:rPr>
        <w:t xml:space="preserve"> by </w:t>
      </w:r>
      <w:proofErr w:type="spellStart"/>
      <w:r w:rsidRPr="005228CE">
        <w:rPr>
          <w:rFonts w:ascii="Arial" w:hAnsi="Arial" w:cs="Arial"/>
        </w:rPr>
        <w:t>mělo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být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sociálním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podnikům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poskytováno</w:t>
      </w:r>
      <w:proofErr w:type="spellEnd"/>
      <w:r w:rsidRPr="005228CE">
        <w:rPr>
          <w:rFonts w:ascii="Arial" w:hAnsi="Arial" w:cs="Arial"/>
        </w:rPr>
        <w:t xml:space="preserve"> v </w:t>
      </w:r>
      <w:proofErr w:type="spellStart"/>
      <w:r w:rsidRPr="005228CE">
        <w:rPr>
          <w:rFonts w:ascii="Arial" w:hAnsi="Arial" w:cs="Arial"/>
        </w:rPr>
        <w:t>oblastech</w:t>
      </w:r>
      <w:proofErr w:type="spellEnd"/>
      <w:r w:rsidRPr="005228CE">
        <w:rPr>
          <w:rFonts w:ascii="Arial" w:hAnsi="Arial" w:cs="Arial"/>
        </w:rPr>
        <w:t xml:space="preserve">: management </w:t>
      </w:r>
      <w:proofErr w:type="spellStart"/>
      <w:r w:rsidRPr="005228CE">
        <w:rPr>
          <w:rFonts w:ascii="Arial" w:hAnsi="Arial" w:cs="Arial"/>
        </w:rPr>
        <w:t>sociálního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podniku</w:t>
      </w:r>
      <w:proofErr w:type="spellEnd"/>
      <w:r w:rsidRPr="005228CE">
        <w:rPr>
          <w:rFonts w:ascii="Arial" w:hAnsi="Arial" w:cs="Arial"/>
        </w:rPr>
        <w:t xml:space="preserve">, </w:t>
      </w:r>
      <w:proofErr w:type="spellStart"/>
      <w:r w:rsidRPr="005228CE">
        <w:rPr>
          <w:rFonts w:ascii="Arial" w:hAnsi="Arial" w:cs="Arial"/>
        </w:rPr>
        <w:t>organizace</w:t>
      </w:r>
      <w:proofErr w:type="spellEnd"/>
      <w:r w:rsidRPr="005228CE">
        <w:rPr>
          <w:rFonts w:ascii="Arial" w:hAnsi="Arial" w:cs="Arial"/>
        </w:rPr>
        <w:t xml:space="preserve"> a </w:t>
      </w:r>
      <w:proofErr w:type="spellStart"/>
      <w:r w:rsidRPr="005228CE">
        <w:rPr>
          <w:rFonts w:ascii="Arial" w:hAnsi="Arial" w:cs="Arial"/>
        </w:rPr>
        <w:t>výroba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sociálního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podniku</w:t>
      </w:r>
      <w:proofErr w:type="spellEnd"/>
      <w:r w:rsidRPr="005228CE">
        <w:rPr>
          <w:rFonts w:ascii="Arial" w:hAnsi="Arial" w:cs="Arial"/>
        </w:rPr>
        <w:t xml:space="preserve">, marketing a public relations </w:t>
      </w:r>
      <w:proofErr w:type="spellStart"/>
      <w:r w:rsidRPr="005228CE">
        <w:rPr>
          <w:rFonts w:ascii="Arial" w:hAnsi="Arial" w:cs="Arial"/>
        </w:rPr>
        <w:t>sociálního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podniku</w:t>
      </w:r>
      <w:proofErr w:type="spellEnd"/>
      <w:r w:rsidRPr="005228CE">
        <w:rPr>
          <w:rFonts w:ascii="Arial" w:hAnsi="Arial" w:cs="Arial"/>
        </w:rPr>
        <w:t xml:space="preserve">, </w:t>
      </w:r>
      <w:proofErr w:type="spellStart"/>
      <w:r w:rsidRPr="005228CE">
        <w:rPr>
          <w:rFonts w:ascii="Arial" w:hAnsi="Arial" w:cs="Arial"/>
        </w:rPr>
        <w:t>finanční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řízení</w:t>
      </w:r>
      <w:proofErr w:type="spellEnd"/>
      <w:r w:rsidRPr="005228CE">
        <w:rPr>
          <w:rFonts w:ascii="Arial" w:hAnsi="Arial" w:cs="Arial"/>
        </w:rPr>
        <w:t xml:space="preserve"> </w:t>
      </w:r>
      <w:proofErr w:type="spellStart"/>
      <w:r w:rsidRPr="005228CE">
        <w:rPr>
          <w:rFonts w:ascii="Arial" w:hAnsi="Arial" w:cs="Arial"/>
        </w:rPr>
        <w:t>podniku</w:t>
      </w:r>
      <w:proofErr w:type="spellEnd"/>
      <w:r w:rsidRPr="005228CE">
        <w:rPr>
          <w:rFonts w:ascii="Arial" w:hAnsi="Arial" w:cs="Arial"/>
        </w:rPr>
        <w:t>.</w:t>
      </w:r>
    </w:p>
    <w:p w14:paraId="3B8ED29B" w14:textId="04D8D4F6" w:rsidR="00B55163" w:rsidRDefault="00DF6B5F" w:rsidP="00DF6B5F">
      <w:pPr>
        <w:spacing w:after="120" w:line="276" w:lineRule="auto"/>
        <w:ind w:right="105"/>
        <w:jc w:val="both"/>
        <w:rPr>
          <w:rFonts w:ascii="Arial" w:eastAsia="Arial" w:hAnsi="Arial" w:cs="Arial"/>
          <w:color w:val="000000"/>
          <w:lang w:val="cs-CZ"/>
        </w:rPr>
      </w:pPr>
      <w:r w:rsidRPr="005E7F40">
        <w:rPr>
          <w:rFonts w:ascii="Arial" w:eastAsia="Arial" w:hAnsi="Arial" w:cs="Arial"/>
          <w:color w:val="000000"/>
          <w:lang w:val="cs-CZ"/>
        </w:rPr>
        <w:t>V roce 20</w:t>
      </w:r>
      <w:r>
        <w:rPr>
          <w:rFonts w:ascii="Arial" w:eastAsia="Arial" w:hAnsi="Arial" w:cs="Arial"/>
          <w:color w:val="000000"/>
          <w:lang w:val="cs-CZ"/>
        </w:rPr>
        <w:t>20</w:t>
      </w:r>
      <w:r w:rsidRPr="005E7F40">
        <w:rPr>
          <w:rFonts w:ascii="Arial" w:eastAsia="Arial" w:hAnsi="Arial" w:cs="Arial"/>
          <w:color w:val="000000"/>
          <w:lang w:val="cs-CZ"/>
        </w:rPr>
        <w:t xml:space="preserve"> proběhla auditní mise Evropské komise (dále jen „EK“) </w:t>
      </w:r>
      <w:r w:rsidR="00B55163">
        <w:rPr>
          <w:rFonts w:ascii="Arial" w:eastAsia="Arial" w:hAnsi="Arial" w:cs="Arial"/>
          <w:color w:val="000000"/>
          <w:lang w:val="cs-CZ"/>
        </w:rPr>
        <w:t xml:space="preserve">č. </w:t>
      </w:r>
      <w:r w:rsidRPr="00DF6B5F">
        <w:rPr>
          <w:rFonts w:ascii="Arial" w:eastAsia="Arial" w:hAnsi="Arial" w:cs="Arial"/>
          <w:color w:val="000000"/>
          <w:lang w:val="cs-CZ"/>
        </w:rPr>
        <w:t>REGC414CZ0153</w:t>
      </w:r>
      <w:r w:rsidRPr="005E7F40">
        <w:rPr>
          <w:rFonts w:ascii="Arial" w:eastAsia="Arial" w:hAnsi="Arial" w:cs="Arial"/>
          <w:color w:val="000000"/>
          <w:lang w:val="cs-CZ"/>
        </w:rPr>
        <w:t xml:space="preserve"> ověřující </w:t>
      </w:r>
      <w:r>
        <w:rPr>
          <w:rFonts w:ascii="Arial" w:eastAsia="Arial" w:hAnsi="Arial" w:cs="Arial"/>
          <w:color w:val="000000"/>
          <w:lang w:val="cs-CZ"/>
        </w:rPr>
        <w:t>p</w:t>
      </w:r>
      <w:r w:rsidRPr="00DF6B5F">
        <w:rPr>
          <w:rFonts w:ascii="Arial" w:eastAsia="Arial" w:hAnsi="Arial" w:cs="Arial"/>
          <w:color w:val="000000"/>
          <w:lang w:val="cs-CZ"/>
        </w:rPr>
        <w:t>ostupy zadávání veřejných zakázek v Operačním programu Výzkum, vývoj a vzdělávání, Operačním programu Praha – pól růstu a Operačním programu Zaměstnanost.</w:t>
      </w:r>
      <w:r>
        <w:rPr>
          <w:rFonts w:ascii="Arial" w:eastAsia="Arial" w:hAnsi="Arial" w:cs="Arial"/>
          <w:color w:val="000000"/>
          <w:lang w:val="cs-CZ"/>
        </w:rPr>
        <w:t xml:space="preserve"> </w:t>
      </w:r>
      <w:r w:rsidR="00B55163">
        <w:rPr>
          <w:rFonts w:ascii="Arial" w:eastAsia="Arial" w:hAnsi="Arial" w:cs="Arial"/>
          <w:color w:val="000000"/>
          <w:lang w:val="cs-CZ"/>
        </w:rPr>
        <w:t xml:space="preserve">V návrhu závěrečné auditní zprávy je uveden </w:t>
      </w:r>
      <w:r w:rsidRPr="005E7F40">
        <w:rPr>
          <w:rFonts w:ascii="Arial" w:eastAsia="Arial" w:hAnsi="Arial" w:cs="Arial"/>
          <w:color w:val="000000"/>
          <w:lang w:val="cs-CZ"/>
        </w:rPr>
        <w:t>výrok auditora s výhradou. Celkem bylo v rámci této auditní mise identifikováno 1</w:t>
      </w:r>
      <w:r>
        <w:rPr>
          <w:rFonts w:ascii="Arial" w:eastAsia="Arial" w:hAnsi="Arial" w:cs="Arial"/>
          <w:color w:val="000000"/>
          <w:lang w:val="cs-CZ"/>
        </w:rPr>
        <w:t>0</w:t>
      </w:r>
      <w:r w:rsidRPr="005E7F40">
        <w:rPr>
          <w:rFonts w:ascii="Arial" w:eastAsia="Arial" w:hAnsi="Arial" w:cs="Arial"/>
          <w:color w:val="000000"/>
          <w:lang w:val="cs-CZ"/>
        </w:rPr>
        <w:t xml:space="preserve"> zjištění</w:t>
      </w:r>
      <w:r>
        <w:rPr>
          <w:rFonts w:ascii="Arial" w:eastAsia="Arial" w:hAnsi="Arial" w:cs="Arial"/>
          <w:color w:val="000000"/>
          <w:lang w:val="cs-CZ"/>
        </w:rPr>
        <w:t>, z toho 4 zjištění se týkal</w:t>
      </w:r>
      <w:r w:rsidR="00B55163">
        <w:rPr>
          <w:rFonts w:ascii="Arial" w:eastAsia="Arial" w:hAnsi="Arial" w:cs="Arial"/>
          <w:color w:val="000000"/>
          <w:lang w:val="cs-CZ"/>
        </w:rPr>
        <w:t>a OPZ</w:t>
      </w:r>
      <w:r w:rsidRPr="005E7F40">
        <w:rPr>
          <w:rFonts w:ascii="Arial" w:eastAsia="Arial" w:hAnsi="Arial" w:cs="Arial"/>
          <w:color w:val="000000"/>
          <w:lang w:val="cs-CZ"/>
        </w:rPr>
        <w:t>.</w:t>
      </w:r>
    </w:p>
    <w:p w14:paraId="088BB392" w14:textId="3DC30C50" w:rsidR="00B55163" w:rsidRDefault="002777AD" w:rsidP="00D57074">
      <w:pPr>
        <w:spacing w:after="120" w:line="276" w:lineRule="auto"/>
        <w:ind w:right="105"/>
        <w:jc w:val="both"/>
        <w:rPr>
          <w:rFonts w:ascii="Arial" w:eastAsia="Arial" w:hAnsi="Arial" w:cs="Arial"/>
          <w:color w:val="000000"/>
          <w:lang w:val="cs-CZ"/>
        </w:rPr>
      </w:pPr>
      <w:r>
        <w:rPr>
          <w:rFonts w:ascii="Arial" w:eastAsia="Arial" w:hAnsi="Arial" w:cs="Arial"/>
          <w:color w:val="000000"/>
          <w:lang w:val="cs-CZ"/>
        </w:rPr>
        <w:t>Také byla obdržena závěrečná zpráva</w:t>
      </w:r>
      <w:r w:rsidR="00B55163">
        <w:rPr>
          <w:rFonts w:ascii="Arial" w:eastAsia="Arial" w:hAnsi="Arial" w:cs="Arial"/>
          <w:color w:val="000000"/>
          <w:lang w:val="cs-CZ"/>
        </w:rPr>
        <w:t xml:space="preserve"> z auditu</w:t>
      </w:r>
      <w:r>
        <w:rPr>
          <w:rFonts w:ascii="Arial" w:eastAsia="Arial" w:hAnsi="Arial" w:cs="Arial"/>
          <w:color w:val="000000"/>
          <w:lang w:val="cs-CZ"/>
        </w:rPr>
        <w:t xml:space="preserve"> EK </w:t>
      </w:r>
      <w:r w:rsidR="00B55163">
        <w:rPr>
          <w:rFonts w:ascii="Arial" w:eastAsia="Arial" w:hAnsi="Arial" w:cs="Arial"/>
          <w:color w:val="000000"/>
          <w:lang w:val="cs-CZ"/>
        </w:rPr>
        <w:t xml:space="preserve">č. </w:t>
      </w:r>
      <w:r w:rsidRPr="005E7F40">
        <w:rPr>
          <w:rFonts w:ascii="Arial" w:eastAsia="Arial" w:hAnsi="Arial" w:cs="Arial"/>
          <w:color w:val="000000"/>
          <w:lang w:val="cs-CZ"/>
        </w:rPr>
        <w:t>REGC414CZ0133 ověřující fungování řídicích a kontrolních systémů zavedených s cílem zamezit střetu zájmů při implementaci operačních programů spolufinancovaných z Evropských strukturálních a</w:t>
      </w:r>
      <w:r>
        <w:rPr>
          <w:rFonts w:ascii="Arial" w:eastAsia="Arial" w:hAnsi="Arial" w:cs="Arial"/>
          <w:color w:val="000000"/>
          <w:lang w:val="cs-CZ"/>
        </w:rPr>
        <w:t> </w:t>
      </w:r>
      <w:r w:rsidRPr="005E7F40">
        <w:rPr>
          <w:rFonts w:ascii="Arial" w:eastAsia="Arial" w:hAnsi="Arial" w:cs="Arial"/>
          <w:color w:val="000000"/>
          <w:lang w:val="cs-CZ"/>
        </w:rPr>
        <w:t>investičních fondů.</w:t>
      </w:r>
      <w:r>
        <w:rPr>
          <w:rFonts w:ascii="Arial" w:eastAsia="Arial" w:hAnsi="Arial" w:cs="Arial"/>
          <w:color w:val="000000"/>
          <w:lang w:val="cs-CZ"/>
        </w:rPr>
        <w:t xml:space="preserve"> </w:t>
      </w:r>
      <w:r w:rsidRPr="005E7F40">
        <w:rPr>
          <w:rFonts w:ascii="Arial" w:eastAsia="Arial" w:hAnsi="Arial" w:cs="Arial"/>
          <w:color w:val="000000"/>
          <w:lang w:val="cs-CZ"/>
        </w:rPr>
        <w:t>Tato auditní mise byla ukončena výrokem auditora s</w:t>
      </w:r>
      <w:r>
        <w:rPr>
          <w:rFonts w:ascii="Arial" w:eastAsia="Arial" w:hAnsi="Arial" w:cs="Arial"/>
          <w:color w:val="000000"/>
          <w:lang w:val="cs-CZ"/>
        </w:rPr>
        <w:t> </w:t>
      </w:r>
      <w:r w:rsidRPr="005E7F40">
        <w:rPr>
          <w:rFonts w:ascii="Arial" w:eastAsia="Arial" w:hAnsi="Arial" w:cs="Arial"/>
          <w:color w:val="000000"/>
          <w:lang w:val="cs-CZ"/>
        </w:rPr>
        <w:t>výhradou</w:t>
      </w:r>
      <w:r>
        <w:rPr>
          <w:rFonts w:ascii="Arial" w:eastAsia="Arial" w:hAnsi="Arial" w:cs="Arial"/>
          <w:color w:val="000000"/>
          <w:lang w:val="cs-CZ"/>
        </w:rPr>
        <w:t>. Na tuto zprávu byla zaslána odpověď členského státu s</w:t>
      </w:r>
      <w:r w:rsidR="00B55163">
        <w:rPr>
          <w:rFonts w:ascii="Arial" w:eastAsia="Arial" w:hAnsi="Arial" w:cs="Arial"/>
          <w:color w:val="000000"/>
          <w:lang w:val="cs-CZ"/>
        </w:rPr>
        <w:t xml:space="preserve"> popisem </w:t>
      </w:r>
      <w:r>
        <w:rPr>
          <w:rFonts w:ascii="Arial" w:eastAsia="Arial" w:hAnsi="Arial" w:cs="Arial"/>
          <w:color w:val="000000"/>
          <w:lang w:val="cs-CZ"/>
        </w:rPr>
        <w:t xml:space="preserve">plněním nápravných opatření. </w:t>
      </w:r>
      <w:r w:rsidR="00B55163">
        <w:rPr>
          <w:rFonts w:ascii="Arial" w:eastAsia="Arial" w:hAnsi="Arial" w:cs="Arial"/>
          <w:color w:val="000000"/>
          <w:lang w:val="cs-CZ"/>
        </w:rPr>
        <w:t>Ke konci roku byl doručen dopis EK k tomuto auditu obsahující též informaci, že zjištění týkající se OPZ jsou uzavřena, neboť ŘO OPZ splnil veškeré požadavky EK k nápravě.</w:t>
      </w:r>
    </w:p>
    <w:p w14:paraId="3BC39BA3" w14:textId="2BCF0A30" w:rsidR="00B55163" w:rsidRDefault="001441FA" w:rsidP="00D57074">
      <w:pPr>
        <w:spacing w:after="120" w:line="276" w:lineRule="auto"/>
        <w:ind w:right="105"/>
        <w:jc w:val="both"/>
        <w:rPr>
          <w:rFonts w:ascii="Arial" w:eastAsia="Arial" w:hAnsi="Arial" w:cs="Arial"/>
          <w:color w:val="000000"/>
          <w:lang w:val="cs-CZ"/>
        </w:rPr>
      </w:pPr>
      <w:r>
        <w:rPr>
          <w:rFonts w:ascii="Arial" w:eastAsia="Arial" w:hAnsi="Arial" w:cs="Arial"/>
          <w:color w:val="000000"/>
          <w:lang w:val="cs-CZ"/>
        </w:rPr>
        <w:t xml:space="preserve">Na konci roku byl doručen </w:t>
      </w:r>
      <w:proofErr w:type="spellStart"/>
      <w:r>
        <w:rPr>
          <w:rFonts w:ascii="Arial" w:eastAsia="Arial" w:hAnsi="Arial" w:cs="Arial"/>
          <w:color w:val="000000"/>
          <w:lang w:val="cs-CZ"/>
        </w:rPr>
        <w:t>follow</w:t>
      </w:r>
      <w:proofErr w:type="spellEnd"/>
      <w:r>
        <w:rPr>
          <w:rFonts w:ascii="Arial" w:eastAsia="Arial" w:hAnsi="Arial" w:cs="Arial"/>
          <w:color w:val="000000"/>
          <w:lang w:val="cs-CZ"/>
        </w:rPr>
        <w:t xml:space="preserve"> up k auditní misi EK </w:t>
      </w:r>
      <w:r w:rsidRPr="005E7F40">
        <w:rPr>
          <w:rFonts w:ascii="Arial" w:eastAsia="Arial" w:hAnsi="Arial" w:cs="Arial"/>
          <w:color w:val="000000"/>
          <w:lang w:val="cs-CZ"/>
        </w:rPr>
        <w:t>EMPG314CZ0243 s názvem „Přezkum práce auditních orgánů / audity souladu v</w:t>
      </w:r>
      <w:r>
        <w:rPr>
          <w:rFonts w:ascii="Arial" w:eastAsia="Arial" w:hAnsi="Arial" w:cs="Arial"/>
          <w:color w:val="000000"/>
          <w:lang w:val="cs-CZ"/>
        </w:rPr>
        <w:t> </w:t>
      </w:r>
      <w:r w:rsidRPr="005E7F40">
        <w:rPr>
          <w:rFonts w:ascii="Arial" w:eastAsia="Arial" w:hAnsi="Arial" w:cs="Arial"/>
          <w:color w:val="000000"/>
          <w:lang w:val="cs-CZ"/>
        </w:rPr>
        <w:t xml:space="preserve">období </w:t>
      </w:r>
      <w:proofErr w:type="gramStart"/>
      <w:r w:rsidRPr="005E7F40">
        <w:rPr>
          <w:rFonts w:ascii="Arial" w:eastAsia="Arial" w:hAnsi="Arial" w:cs="Arial"/>
          <w:color w:val="000000"/>
          <w:lang w:val="cs-CZ"/>
        </w:rPr>
        <w:t>2014</w:t>
      </w:r>
      <w:r w:rsidR="00D57074">
        <w:rPr>
          <w:rFonts w:ascii="Arial" w:eastAsia="Arial" w:hAnsi="Arial" w:cs="Arial"/>
          <w:color w:val="000000"/>
          <w:lang w:val="cs-CZ"/>
        </w:rPr>
        <w:t xml:space="preserve"> </w:t>
      </w:r>
      <w:r w:rsidRPr="005E7F40">
        <w:rPr>
          <w:rFonts w:ascii="Arial" w:eastAsia="Arial" w:hAnsi="Arial" w:cs="Arial"/>
          <w:color w:val="000000"/>
          <w:lang w:val="cs-CZ"/>
        </w:rPr>
        <w:t>–</w:t>
      </w:r>
      <w:r w:rsidR="00D57074">
        <w:rPr>
          <w:rFonts w:ascii="Arial" w:eastAsia="Arial" w:hAnsi="Arial" w:cs="Arial"/>
          <w:color w:val="000000"/>
          <w:lang w:val="cs-CZ"/>
        </w:rPr>
        <w:t xml:space="preserve"> </w:t>
      </w:r>
      <w:r w:rsidRPr="005E7F40">
        <w:rPr>
          <w:rFonts w:ascii="Arial" w:eastAsia="Arial" w:hAnsi="Arial" w:cs="Arial"/>
          <w:color w:val="000000"/>
          <w:lang w:val="cs-CZ"/>
        </w:rPr>
        <w:t>2020</w:t>
      </w:r>
      <w:proofErr w:type="gramEnd"/>
      <w:r w:rsidRPr="005E7F40">
        <w:rPr>
          <w:rFonts w:ascii="Arial" w:eastAsia="Arial" w:hAnsi="Arial" w:cs="Arial"/>
          <w:color w:val="000000"/>
          <w:lang w:val="cs-CZ"/>
        </w:rPr>
        <w:t>“.</w:t>
      </w:r>
    </w:p>
    <w:p w14:paraId="4B4240C2" w14:textId="7A5EB379" w:rsidR="00DF6B5F" w:rsidRDefault="00DF6B5F" w:rsidP="00D57074">
      <w:pPr>
        <w:spacing w:after="120" w:line="276" w:lineRule="auto"/>
        <w:ind w:right="105"/>
        <w:jc w:val="both"/>
        <w:rPr>
          <w:rFonts w:ascii="Arial" w:eastAsia="Arial" w:hAnsi="Arial" w:cs="Arial"/>
          <w:color w:val="000000"/>
          <w:lang w:val="cs-CZ"/>
        </w:rPr>
      </w:pPr>
      <w:r w:rsidRPr="005E7F40">
        <w:rPr>
          <w:rFonts w:ascii="Arial" w:eastAsia="Arial" w:hAnsi="Arial" w:cs="Arial"/>
          <w:color w:val="000000"/>
          <w:lang w:val="cs-CZ"/>
        </w:rPr>
        <w:t>Dále byla ukončena kontrolní akce Nejvyššího kontrolního úřadu č. 1</w:t>
      </w:r>
      <w:r w:rsidR="002777AD">
        <w:rPr>
          <w:rFonts w:ascii="Arial" w:eastAsia="Arial" w:hAnsi="Arial" w:cs="Arial"/>
          <w:color w:val="000000"/>
          <w:lang w:val="cs-CZ"/>
        </w:rPr>
        <w:t>9</w:t>
      </w:r>
      <w:r w:rsidRPr="005E7F40">
        <w:rPr>
          <w:rFonts w:ascii="Arial" w:eastAsia="Arial" w:hAnsi="Arial" w:cs="Arial"/>
          <w:color w:val="000000"/>
          <w:lang w:val="cs-CZ"/>
        </w:rPr>
        <w:t>/</w:t>
      </w:r>
      <w:r w:rsidR="002777AD">
        <w:rPr>
          <w:rFonts w:ascii="Arial" w:eastAsia="Arial" w:hAnsi="Arial" w:cs="Arial"/>
          <w:color w:val="000000"/>
          <w:lang w:val="cs-CZ"/>
        </w:rPr>
        <w:t>23</w:t>
      </w:r>
      <w:r w:rsidRPr="005E7F40">
        <w:rPr>
          <w:rFonts w:ascii="Arial" w:eastAsia="Arial" w:hAnsi="Arial" w:cs="Arial"/>
          <w:color w:val="000000"/>
          <w:lang w:val="cs-CZ"/>
        </w:rPr>
        <w:t xml:space="preserve"> s</w:t>
      </w:r>
      <w:r w:rsidR="001441FA">
        <w:rPr>
          <w:rFonts w:ascii="Arial" w:eastAsia="Arial" w:hAnsi="Arial" w:cs="Arial"/>
          <w:color w:val="000000"/>
          <w:lang w:val="cs-CZ"/>
        </w:rPr>
        <w:t> </w:t>
      </w:r>
      <w:r w:rsidRPr="005E7F40">
        <w:rPr>
          <w:rFonts w:ascii="Arial" w:eastAsia="Arial" w:hAnsi="Arial" w:cs="Arial"/>
          <w:color w:val="000000"/>
          <w:lang w:val="cs-CZ"/>
        </w:rPr>
        <w:t xml:space="preserve">názvem </w:t>
      </w:r>
      <w:r w:rsidR="002777AD">
        <w:rPr>
          <w:rFonts w:ascii="Arial" w:eastAsia="Arial" w:hAnsi="Arial" w:cs="Arial"/>
          <w:color w:val="000000"/>
          <w:lang w:val="cs-CZ"/>
        </w:rPr>
        <w:t>„</w:t>
      </w:r>
      <w:r w:rsidR="002777AD" w:rsidRPr="002777AD">
        <w:rPr>
          <w:rFonts w:ascii="Arial" w:eastAsia="Arial" w:hAnsi="Arial" w:cs="Arial"/>
          <w:color w:val="000000"/>
          <w:lang w:val="cs-CZ"/>
        </w:rPr>
        <w:t>Podpora zaměstnanosti osob starších 50 let a</w:t>
      </w:r>
      <w:r w:rsidR="002777AD">
        <w:rPr>
          <w:rFonts w:ascii="Arial" w:eastAsia="Arial" w:hAnsi="Arial" w:cs="Arial"/>
          <w:color w:val="000000"/>
          <w:lang w:val="cs-CZ"/>
        </w:rPr>
        <w:t> </w:t>
      </w:r>
      <w:r w:rsidR="002777AD" w:rsidRPr="002777AD">
        <w:rPr>
          <w:rFonts w:ascii="Arial" w:eastAsia="Arial" w:hAnsi="Arial" w:cs="Arial"/>
          <w:color w:val="000000"/>
          <w:lang w:val="cs-CZ"/>
        </w:rPr>
        <w:t>politiky pozitivního stárnutí z operačního programu Zaměstnanost</w:t>
      </w:r>
      <w:r w:rsidRPr="005E7F40">
        <w:rPr>
          <w:rFonts w:ascii="Arial" w:eastAsia="Arial" w:hAnsi="Arial" w:cs="Arial"/>
          <w:color w:val="000000"/>
          <w:lang w:val="cs-CZ"/>
        </w:rPr>
        <w:t>“. Vlád</w:t>
      </w:r>
      <w:r w:rsidR="00B55163">
        <w:rPr>
          <w:rFonts w:ascii="Arial" w:eastAsia="Arial" w:hAnsi="Arial" w:cs="Arial"/>
          <w:color w:val="000000"/>
          <w:lang w:val="cs-CZ"/>
        </w:rPr>
        <w:t>ě</w:t>
      </w:r>
      <w:r w:rsidRPr="005E7F40">
        <w:rPr>
          <w:rFonts w:ascii="Arial" w:eastAsia="Arial" w:hAnsi="Arial" w:cs="Arial"/>
          <w:color w:val="000000"/>
          <w:lang w:val="cs-CZ"/>
        </w:rPr>
        <w:t xml:space="preserve"> České republiky byl</w:t>
      </w:r>
      <w:r w:rsidR="0044707C">
        <w:rPr>
          <w:rFonts w:ascii="Arial" w:eastAsia="Arial" w:hAnsi="Arial" w:cs="Arial"/>
          <w:color w:val="000000"/>
          <w:lang w:val="cs-CZ"/>
        </w:rPr>
        <w:t xml:space="preserve"> předložen materiál se stanoviskem MPSV ke kontrolnímu závěru. Tato kontrola </w:t>
      </w:r>
      <w:r w:rsidRPr="005E7F40">
        <w:rPr>
          <w:rFonts w:ascii="Arial" w:eastAsia="Arial" w:hAnsi="Arial" w:cs="Arial"/>
          <w:color w:val="000000"/>
          <w:lang w:val="cs-CZ"/>
        </w:rPr>
        <w:t>neidentifikoval</w:t>
      </w:r>
      <w:r w:rsidR="0044707C">
        <w:rPr>
          <w:rFonts w:ascii="Arial" w:eastAsia="Arial" w:hAnsi="Arial" w:cs="Arial"/>
          <w:color w:val="000000"/>
          <w:lang w:val="cs-CZ"/>
        </w:rPr>
        <w:t>a žádné</w:t>
      </w:r>
      <w:r w:rsidRPr="005E7F40">
        <w:rPr>
          <w:rFonts w:ascii="Arial" w:eastAsia="Arial" w:hAnsi="Arial" w:cs="Arial"/>
          <w:color w:val="000000"/>
          <w:lang w:val="cs-CZ"/>
        </w:rPr>
        <w:t xml:space="preserve"> zjištění s finančním dopadem</w:t>
      </w:r>
      <w:r w:rsidR="002777AD">
        <w:rPr>
          <w:rFonts w:ascii="Arial" w:eastAsia="Arial" w:hAnsi="Arial" w:cs="Arial"/>
          <w:color w:val="000000"/>
          <w:lang w:val="cs-CZ"/>
        </w:rPr>
        <w:t xml:space="preserve">. Také byla na konci roku 2020 </w:t>
      </w:r>
      <w:r w:rsidR="0044707C">
        <w:rPr>
          <w:rFonts w:ascii="Arial" w:eastAsia="Arial" w:hAnsi="Arial" w:cs="Arial"/>
          <w:color w:val="000000"/>
          <w:lang w:val="cs-CZ"/>
        </w:rPr>
        <w:t>Vládě České republiky předložena informace o splnění</w:t>
      </w:r>
      <w:r w:rsidR="002777AD">
        <w:rPr>
          <w:rFonts w:ascii="Arial" w:eastAsia="Arial" w:hAnsi="Arial" w:cs="Arial"/>
          <w:color w:val="000000"/>
          <w:lang w:val="cs-CZ"/>
        </w:rPr>
        <w:t xml:space="preserve"> </w:t>
      </w:r>
      <w:r w:rsidR="0044707C">
        <w:rPr>
          <w:rFonts w:ascii="Arial" w:eastAsia="Arial" w:hAnsi="Arial" w:cs="Arial"/>
          <w:color w:val="000000"/>
          <w:lang w:val="cs-CZ"/>
        </w:rPr>
        <w:t>opatření k nápravě nedostatků identifikovaných v rámci</w:t>
      </w:r>
      <w:r w:rsidR="002777AD">
        <w:rPr>
          <w:rFonts w:ascii="Arial" w:eastAsia="Arial" w:hAnsi="Arial" w:cs="Arial"/>
          <w:color w:val="000000"/>
          <w:lang w:val="cs-CZ"/>
        </w:rPr>
        <w:t xml:space="preserve"> </w:t>
      </w:r>
      <w:r w:rsidR="002777AD" w:rsidRPr="005E7F40">
        <w:rPr>
          <w:rFonts w:ascii="Arial" w:eastAsia="Arial" w:hAnsi="Arial" w:cs="Arial"/>
          <w:color w:val="000000"/>
          <w:lang w:val="cs-CZ"/>
        </w:rPr>
        <w:t>kontrolní akc</w:t>
      </w:r>
      <w:r w:rsidR="0044707C">
        <w:rPr>
          <w:rFonts w:ascii="Arial" w:eastAsia="Arial" w:hAnsi="Arial" w:cs="Arial"/>
          <w:color w:val="000000"/>
          <w:lang w:val="cs-CZ"/>
        </w:rPr>
        <w:t>e</w:t>
      </w:r>
      <w:r w:rsidR="00AC5874">
        <w:rPr>
          <w:rFonts w:ascii="Arial" w:eastAsia="Arial" w:hAnsi="Arial" w:cs="Arial"/>
          <w:color w:val="000000"/>
          <w:lang w:val="cs-CZ"/>
        </w:rPr>
        <w:t xml:space="preserve"> </w:t>
      </w:r>
      <w:r w:rsidR="002777AD" w:rsidRPr="005E7F40">
        <w:rPr>
          <w:rFonts w:ascii="Arial" w:eastAsia="Arial" w:hAnsi="Arial" w:cs="Arial"/>
          <w:color w:val="000000"/>
          <w:lang w:val="cs-CZ"/>
        </w:rPr>
        <w:t>Nejvyššího kontrolního úřadu č. 1</w:t>
      </w:r>
      <w:r w:rsidR="002777AD">
        <w:rPr>
          <w:rFonts w:ascii="Arial" w:eastAsia="Arial" w:hAnsi="Arial" w:cs="Arial"/>
          <w:color w:val="000000"/>
          <w:lang w:val="cs-CZ"/>
        </w:rPr>
        <w:t xml:space="preserve">8/28 </w:t>
      </w:r>
      <w:r w:rsidR="002777AD" w:rsidRPr="005E7F40">
        <w:rPr>
          <w:rFonts w:ascii="Arial" w:eastAsia="Arial" w:hAnsi="Arial" w:cs="Arial"/>
          <w:color w:val="000000"/>
          <w:lang w:val="cs-CZ"/>
        </w:rPr>
        <w:t xml:space="preserve">s názvem </w:t>
      </w:r>
      <w:r w:rsidR="002777AD">
        <w:rPr>
          <w:rFonts w:ascii="Arial" w:eastAsia="Arial" w:hAnsi="Arial" w:cs="Arial"/>
          <w:color w:val="000000"/>
          <w:lang w:val="cs-CZ"/>
        </w:rPr>
        <w:t>„</w:t>
      </w:r>
      <w:r w:rsidR="002777AD" w:rsidRPr="002777AD">
        <w:rPr>
          <w:rFonts w:ascii="Arial" w:eastAsia="Arial" w:hAnsi="Arial" w:cs="Arial"/>
          <w:color w:val="000000"/>
          <w:lang w:val="cs-CZ"/>
        </w:rPr>
        <w:t>Peněžní prostředky určené na realizaci opatření operačního programu Zaměstnanost 2014-2020 ke zvýšení zaměstnanosti a</w:t>
      </w:r>
      <w:r w:rsidR="001441FA">
        <w:rPr>
          <w:rFonts w:ascii="Arial" w:eastAsia="Arial" w:hAnsi="Arial" w:cs="Arial"/>
          <w:color w:val="000000"/>
          <w:lang w:val="cs-CZ"/>
        </w:rPr>
        <w:t> </w:t>
      </w:r>
      <w:r w:rsidR="002777AD" w:rsidRPr="002777AD">
        <w:rPr>
          <w:rFonts w:ascii="Arial" w:eastAsia="Arial" w:hAnsi="Arial" w:cs="Arial"/>
          <w:color w:val="000000"/>
          <w:lang w:val="cs-CZ"/>
        </w:rPr>
        <w:t>adaptability pracovní síly</w:t>
      </w:r>
      <w:r w:rsidR="002777AD" w:rsidRPr="005E7F40">
        <w:rPr>
          <w:rFonts w:ascii="Arial" w:eastAsia="Arial" w:hAnsi="Arial" w:cs="Arial"/>
          <w:color w:val="000000"/>
          <w:lang w:val="cs-CZ"/>
        </w:rPr>
        <w:t>“.</w:t>
      </w:r>
    </w:p>
    <w:p w14:paraId="78E133F7" w14:textId="575AB328" w:rsidR="002E52DB" w:rsidRDefault="003A4E18" w:rsidP="00D57074">
      <w:pPr>
        <w:spacing w:after="120" w:line="276" w:lineRule="auto"/>
        <w:ind w:right="105"/>
        <w:jc w:val="both"/>
        <w:rPr>
          <w:rFonts w:ascii="Arial" w:eastAsia="Arial" w:hAnsi="Arial" w:cs="Arial"/>
          <w:color w:val="000000"/>
          <w:lang w:val="cs-CZ"/>
        </w:rPr>
      </w:pPr>
      <w:r w:rsidRPr="003A4E18">
        <w:rPr>
          <w:rFonts w:ascii="Arial" w:eastAsia="Arial" w:hAnsi="Arial" w:cs="Arial"/>
          <w:color w:val="000000"/>
          <w:lang w:val="cs-CZ"/>
        </w:rPr>
        <w:t xml:space="preserve">Dne 18. 12. 2020 schválila EK svým rozhodnutím </w:t>
      </w:r>
      <w:proofErr w:type="gramStart"/>
      <w:r w:rsidRPr="003A4E18">
        <w:rPr>
          <w:rFonts w:ascii="Arial" w:eastAsia="Arial" w:hAnsi="Arial" w:cs="Arial"/>
          <w:color w:val="000000"/>
          <w:lang w:val="cs-CZ"/>
        </w:rPr>
        <w:t>C(</w:t>
      </w:r>
      <w:proofErr w:type="gramEnd"/>
      <w:r w:rsidRPr="003A4E18">
        <w:rPr>
          <w:rFonts w:ascii="Arial" w:eastAsia="Arial" w:hAnsi="Arial" w:cs="Arial"/>
          <w:color w:val="000000"/>
          <w:lang w:val="cs-CZ"/>
        </w:rPr>
        <w:t xml:space="preserve">2020) 9444 třetí revizi OPZ, která spočívá v převodu části disponibilní alokace ve výši cca 240 mil. EUR (EU podíl) z OP Podnikání a inovace pro konkurenceschopnost do OPZ s cílem zmírnit dopady krize v souvislosti s šířením nemoci COVID-19 na ekonomiku a trh práce. Včetně nezbytného národního spolufinancování byla alokace OPZ navýšena o </w:t>
      </w:r>
      <w:r w:rsidR="00092F6B" w:rsidRPr="00092F6B">
        <w:rPr>
          <w:rFonts w:ascii="Arial" w:eastAsia="Arial" w:hAnsi="Arial" w:cs="Arial"/>
          <w:color w:val="000000"/>
          <w:lang w:val="cs-CZ"/>
        </w:rPr>
        <w:t>298</w:t>
      </w:r>
      <w:r w:rsidRPr="00092F6B">
        <w:rPr>
          <w:rFonts w:ascii="Arial" w:eastAsia="Arial" w:hAnsi="Arial" w:cs="Arial"/>
          <w:color w:val="000000"/>
          <w:lang w:val="cs-CZ"/>
        </w:rPr>
        <w:t xml:space="preserve"> m</w:t>
      </w:r>
      <w:r w:rsidR="00092F6B" w:rsidRPr="00092F6B">
        <w:rPr>
          <w:rFonts w:ascii="Arial" w:eastAsia="Arial" w:hAnsi="Arial" w:cs="Arial"/>
          <w:color w:val="000000"/>
          <w:lang w:val="cs-CZ"/>
        </w:rPr>
        <w:t>il</w:t>
      </w:r>
      <w:r w:rsidRPr="00092F6B">
        <w:rPr>
          <w:rFonts w:ascii="Arial" w:eastAsia="Arial" w:hAnsi="Arial" w:cs="Arial"/>
          <w:color w:val="000000"/>
          <w:lang w:val="cs-CZ"/>
        </w:rPr>
        <w:t xml:space="preserve">. </w:t>
      </w:r>
      <w:r w:rsidR="00092F6B" w:rsidRPr="00092F6B">
        <w:rPr>
          <w:rFonts w:ascii="Arial" w:eastAsia="Arial" w:hAnsi="Arial" w:cs="Arial"/>
          <w:color w:val="000000"/>
          <w:lang w:val="cs-CZ"/>
        </w:rPr>
        <w:t>EUR</w:t>
      </w:r>
      <w:r w:rsidRPr="00092F6B">
        <w:rPr>
          <w:rFonts w:ascii="Arial" w:eastAsia="Arial" w:hAnsi="Arial" w:cs="Arial"/>
          <w:color w:val="000000"/>
          <w:lang w:val="cs-CZ"/>
        </w:rPr>
        <w:t>.</w:t>
      </w:r>
      <w:r w:rsidRPr="003A4E18">
        <w:rPr>
          <w:rFonts w:ascii="Arial" w:eastAsia="Arial" w:hAnsi="Arial" w:cs="Arial"/>
          <w:color w:val="000000"/>
          <w:lang w:val="cs-CZ"/>
        </w:rPr>
        <w:t xml:space="preserve"> Realokované prostředky budou v OPZ využity primárně v prioritní ose 1 „Podpora zaměstnanosti a adaptability pracovní síly“ na zpětné financování části výdajů vynaložených v programu Antivirus (režim A) a dále na podporu zaměstnanců ohroženým propouštěním (aktivity typu „Outplacement“) a další nástroje politiky zaměstnanosti.</w:t>
      </w:r>
    </w:p>
    <w:p w14:paraId="4D97F207" w14:textId="592CD0FB" w:rsidR="00BF5E29" w:rsidRDefault="00BF5E29" w:rsidP="00D57074">
      <w:pPr>
        <w:spacing w:after="120" w:line="276" w:lineRule="auto"/>
        <w:ind w:right="105"/>
        <w:jc w:val="both"/>
        <w:rPr>
          <w:rFonts w:ascii="Arial" w:eastAsia="Arial" w:hAnsi="Arial" w:cs="Arial"/>
          <w:color w:val="000000"/>
          <w:lang w:val="cs-CZ"/>
        </w:rPr>
      </w:pPr>
    </w:p>
    <w:p w14:paraId="034EA856" w14:textId="77777777" w:rsidR="00BF5E29" w:rsidRPr="00EA54EC" w:rsidRDefault="00BF5E29" w:rsidP="00D57074">
      <w:pPr>
        <w:spacing w:after="120" w:line="276" w:lineRule="auto"/>
        <w:ind w:right="105"/>
        <w:jc w:val="both"/>
        <w:rPr>
          <w:rFonts w:ascii="Arial" w:eastAsia="Arial" w:hAnsi="Arial" w:cs="Arial"/>
          <w:color w:val="000000"/>
          <w:lang w:val="cs-CZ"/>
        </w:rPr>
      </w:pPr>
    </w:p>
    <w:p w14:paraId="19FDC700" w14:textId="618D71BD" w:rsidR="00A2351A" w:rsidRPr="00E71A8D" w:rsidRDefault="002D5C25" w:rsidP="00496C84">
      <w:pPr>
        <w:pStyle w:val="Nadpis1"/>
        <w:rPr>
          <w:lang w:val="fr-FR"/>
        </w:rPr>
      </w:pPr>
      <w:bookmarkStart w:id="8" w:name="_Toc66814532"/>
      <w:r w:rsidRPr="00E71A8D">
        <w:rPr>
          <w:lang w:val="fr-FR"/>
        </w:rPr>
        <w:lastRenderedPageBreak/>
        <w:t>IMPLEMENTACE PRIORITNÍ OSY (čl. 50 odst. 2 nařízení (EU) č. 1303/2013)</w:t>
      </w:r>
      <w:bookmarkEnd w:id="8"/>
    </w:p>
    <w:p w14:paraId="442D5076" w14:textId="77777777" w:rsidR="00A66FF9" w:rsidRDefault="00A66FF9" w:rsidP="006D5700">
      <w:pPr>
        <w:pStyle w:val="Textpoznpodarou"/>
        <w:ind w:right="-228"/>
      </w:pPr>
    </w:p>
    <w:p w14:paraId="37C80C6A" w14:textId="77777777" w:rsidR="00A2351A" w:rsidRDefault="002D5C25" w:rsidP="000B77CA">
      <w:pPr>
        <w:pStyle w:val="Nadpis2"/>
        <w:rPr>
          <w:sz w:val="16"/>
        </w:rPr>
      </w:pPr>
      <w:bookmarkStart w:id="9" w:name="_Toc66814533"/>
      <w:proofErr w:type="spellStart"/>
      <w:r>
        <w:t>Přehled</w:t>
      </w:r>
      <w:proofErr w:type="spellEnd"/>
      <w:r>
        <w:t xml:space="preserve"> </w:t>
      </w:r>
      <w:proofErr w:type="spellStart"/>
      <w:proofErr w:type="gramStart"/>
      <w:r>
        <w:t>implementace</w:t>
      </w:r>
      <w:proofErr w:type="spellEnd"/>
      <w:r>
        <w:rPr>
          <w:sz w:val="16"/>
          <w:vertAlign w:val="superscript"/>
        </w:rPr>
        <w:t>(</w:t>
      </w:r>
      <w:proofErr w:type="gramEnd"/>
      <w:r>
        <w:rPr>
          <w:sz w:val="16"/>
          <w:vertAlign w:val="superscript"/>
        </w:rPr>
        <w:t>1)</w:t>
      </w:r>
      <w:bookmarkEnd w:id="9"/>
    </w:p>
    <w:tbl>
      <w:tblPr>
        <w:tblW w:w="11047" w:type="dxa"/>
        <w:tblInd w:w="-5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276"/>
        <w:gridCol w:w="9204"/>
      </w:tblGrid>
      <w:tr w:rsidR="00A2351A" w14:paraId="6F1AA0EE" w14:textId="77777777" w:rsidTr="00BD267E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09107F1" w14:textId="77777777" w:rsidR="00A2351A" w:rsidRDefault="002D5C25">
            <w:pPr>
              <w:spacing w:before="120" w:after="120"/>
              <w:ind w:left="57" w:right="57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ID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6EA5C54" w14:textId="77777777" w:rsidR="00A2351A" w:rsidRDefault="002D5C25">
            <w:pPr>
              <w:spacing w:before="120" w:after="120"/>
              <w:ind w:left="57" w:right="57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Prioritní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osa</w:t>
            </w:r>
            <w:proofErr w:type="spellEnd"/>
          </w:p>
        </w:tc>
        <w:tc>
          <w:tcPr>
            <w:tcW w:w="9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7E4C9B4" w14:textId="77777777" w:rsidR="00A2351A" w:rsidRDefault="002D5C25">
            <w:pPr>
              <w:spacing w:before="120" w:after="120"/>
              <w:ind w:left="57" w:right="57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Klíčové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informace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o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implementaci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prioritní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osy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s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odkazem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na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klíčové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události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významné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problémy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</w:rPr>
              <w:t>a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opatření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přijatá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k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jejich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</w:rPr>
              <w:t>odstranění</w:t>
            </w:r>
            <w:proofErr w:type="spellEnd"/>
          </w:p>
        </w:tc>
      </w:tr>
      <w:tr w:rsidR="00A2351A" w14:paraId="3374957E" w14:textId="77777777" w:rsidTr="00BD267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9CC08C" w14:textId="77777777" w:rsidR="00A2351A" w:rsidRDefault="002D5C25">
            <w:pPr>
              <w:spacing w:before="120"/>
              <w:ind w:left="57" w:right="57"/>
              <w:jc w:val="both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03.1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939EE3" w14:textId="26432BDC" w:rsidR="00A2351A" w:rsidRDefault="005E7F40">
            <w:pPr>
              <w:spacing w:before="120"/>
              <w:ind w:left="57" w:right="57"/>
              <w:jc w:val="both"/>
              <w:rPr>
                <w:rFonts w:ascii="Arial" w:eastAsia="Arial" w:hAnsi="Arial" w:cs="Arial"/>
                <w:color w:val="000000"/>
                <w:sz w:val="14"/>
              </w:rPr>
            </w:pPr>
            <w:bookmarkStart w:id="10" w:name="_Hlk65481487"/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Podpora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zaměstnanosti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gramStart"/>
            <w:r w:rsidR="002D5C25">
              <w:rPr>
                <w:rFonts w:ascii="Arial" w:eastAsia="Arial" w:hAnsi="Arial" w:cs="Arial"/>
                <w:color w:val="000000"/>
                <w:sz w:val="14"/>
              </w:rPr>
              <w:t>a</w:t>
            </w:r>
            <w:proofErr w:type="gramEnd"/>
            <w:r w:rsidR="002D5C25">
              <w:rPr>
                <w:rFonts w:ascii="Arial" w:eastAsia="Arial" w:hAnsi="Arial" w:cs="Arial"/>
                <w:color w:val="000000"/>
                <w:sz w:val="14"/>
              </w:rPr>
              <w:t xml:space="preserve"> adaptability </w:t>
            </w:r>
            <w:proofErr w:type="spellStart"/>
            <w:r w:rsidR="002D5C25">
              <w:rPr>
                <w:rFonts w:ascii="Arial" w:eastAsia="Arial" w:hAnsi="Arial" w:cs="Arial"/>
                <w:color w:val="000000"/>
                <w:sz w:val="14"/>
              </w:rPr>
              <w:t>pracovní</w:t>
            </w:r>
            <w:proofErr w:type="spellEnd"/>
            <w:r w:rsidR="002D5C25"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 w:rsidR="002D5C25">
              <w:rPr>
                <w:rFonts w:ascii="Arial" w:eastAsia="Arial" w:hAnsi="Arial" w:cs="Arial"/>
                <w:color w:val="000000"/>
                <w:sz w:val="14"/>
              </w:rPr>
              <w:t>síly</w:t>
            </w:r>
            <w:bookmarkEnd w:id="10"/>
            <w:proofErr w:type="spellEnd"/>
          </w:p>
        </w:tc>
        <w:tc>
          <w:tcPr>
            <w:tcW w:w="9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B03282" w14:textId="7A4F6CB6" w:rsidR="003B11B7" w:rsidRPr="00832BBF" w:rsidRDefault="003B11B7" w:rsidP="00873080">
            <w:pPr>
              <w:spacing w:after="120"/>
              <w:ind w:left="136" w:right="238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832BBF">
              <w:rPr>
                <w:rFonts w:ascii="Arial" w:eastAsia="Arial" w:hAnsi="Arial" w:cs="Arial"/>
                <w:b/>
                <w:sz w:val="20"/>
                <w:szCs w:val="20"/>
              </w:rPr>
              <w:t>Prioritní</w:t>
            </w:r>
            <w:proofErr w:type="spellEnd"/>
            <w:r w:rsidRPr="00832BBF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b/>
                <w:sz w:val="20"/>
                <w:szCs w:val="20"/>
              </w:rPr>
              <w:t>osa</w:t>
            </w:r>
            <w:proofErr w:type="spellEnd"/>
            <w:r w:rsidRPr="00832BBF">
              <w:rPr>
                <w:rFonts w:ascii="Arial" w:eastAsia="Arial" w:hAnsi="Arial" w:cs="Arial"/>
                <w:b/>
                <w:sz w:val="20"/>
                <w:szCs w:val="20"/>
              </w:rPr>
              <w:t xml:space="preserve"> 1 „</w:t>
            </w:r>
            <w:proofErr w:type="spellStart"/>
            <w:r w:rsidRPr="00832BBF">
              <w:rPr>
                <w:rFonts w:ascii="Arial" w:eastAsia="Arial" w:hAnsi="Arial" w:cs="Arial"/>
                <w:b/>
                <w:sz w:val="20"/>
                <w:szCs w:val="20"/>
              </w:rPr>
              <w:t>Podpora</w:t>
            </w:r>
            <w:proofErr w:type="spellEnd"/>
            <w:r w:rsidRPr="00832BBF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b/>
                <w:sz w:val="20"/>
                <w:szCs w:val="20"/>
              </w:rPr>
              <w:t>zaměstnanosti</w:t>
            </w:r>
            <w:proofErr w:type="spellEnd"/>
            <w:r w:rsidRPr="00832BBF">
              <w:rPr>
                <w:rFonts w:ascii="Arial" w:eastAsia="Arial" w:hAnsi="Arial" w:cs="Arial"/>
                <w:b/>
                <w:sz w:val="20"/>
                <w:szCs w:val="20"/>
              </w:rPr>
              <w:t xml:space="preserve"> a adaptability </w:t>
            </w:r>
            <w:proofErr w:type="spellStart"/>
            <w:r w:rsidRPr="00832BBF">
              <w:rPr>
                <w:rFonts w:ascii="Arial" w:eastAsia="Arial" w:hAnsi="Arial" w:cs="Arial"/>
                <w:b/>
                <w:sz w:val="20"/>
                <w:szCs w:val="20"/>
              </w:rPr>
              <w:t>pracovní</w:t>
            </w:r>
            <w:proofErr w:type="spellEnd"/>
            <w:r w:rsidRPr="00832BBF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32BBF">
              <w:rPr>
                <w:rFonts w:ascii="Arial" w:eastAsia="Arial" w:hAnsi="Arial" w:cs="Arial"/>
                <w:b/>
                <w:sz w:val="20"/>
                <w:szCs w:val="20"/>
              </w:rPr>
              <w:t>síly</w:t>
            </w:r>
            <w:proofErr w:type="spellEnd"/>
            <w:r w:rsidRPr="00832BBF">
              <w:rPr>
                <w:rFonts w:ascii="Arial" w:eastAsia="Arial" w:hAnsi="Arial" w:cs="Arial"/>
                <w:b/>
                <w:sz w:val="20"/>
                <w:szCs w:val="20"/>
              </w:rPr>
              <w:t xml:space="preserve">“ </w:t>
            </w:r>
            <w:r w:rsidRPr="00832BBF"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gram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PO1) je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prováděna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prostřednictvím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pěti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investičních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priorit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(IP) a je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svými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64 % (1 840 mil. EUR,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včetně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YEI)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celkových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alokovaných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prostředků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programu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nejrozsáhlejší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prioritní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osou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6311F350" w14:textId="28CF820E" w:rsidR="003B11B7" w:rsidRPr="00873080" w:rsidRDefault="003B11B7" w:rsidP="00873080">
            <w:pPr>
              <w:spacing w:after="120"/>
              <w:ind w:left="136" w:right="238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Celkem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bylo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od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začátku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programového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období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vyhlášeno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63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výzev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v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celkovém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objemu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2 136 mil. EUR.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Celkový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počet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uzavřených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právních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aktů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byl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8068AE">
              <w:rPr>
                <w:rFonts w:ascii="Arial" w:eastAsia="Arial" w:hAnsi="Arial" w:cs="Arial"/>
                <w:sz w:val="20"/>
                <w:szCs w:val="20"/>
              </w:rPr>
              <w:t>5 902</w:t>
            </w:r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v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celkovém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objemu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1 6</w:t>
            </w:r>
            <w:r w:rsidR="00BA463F">
              <w:rPr>
                <w:rFonts w:ascii="Arial" w:eastAsia="Arial" w:hAnsi="Arial" w:cs="Arial"/>
                <w:sz w:val="20"/>
                <w:szCs w:val="20"/>
              </w:rPr>
              <w:t>37</w:t>
            </w:r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mil. EUR. V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roce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2020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byly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vyhlášeny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F173B2" w:rsidRPr="00832BBF">
              <w:rPr>
                <w:rFonts w:ascii="Arial" w:eastAsia="Arial" w:hAnsi="Arial" w:cs="Arial"/>
                <w:sz w:val="20"/>
                <w:szCs w:val="20"/>
              </w:rPr>
              <w:t>3</w:t>
            </w:r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výzvy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v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celkovém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objemu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F173B2" w:rsidRPr="00832BBF">
              <w:rPr>
                <w:rFonts w:ascii="Arial" w:eastAsia="Arial" w:hAnsi="Arial" w:cs="Arial"/>
                <w:sz w:val="20"/>
                <w:szCs w:val="20"/>
              </w:rPr>
              <w:t>304</w:t>
            </w:r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mil. EUR.</w:t>
            </w:r>
          </w:p>
          <w:p w14:paraId="129570B0" w14:textId="6F351EF3" w:rsidR="00617064" w:rsidRPr="00873080" w:rsidRDefault="004B20C9" w:rsidP="00873080">
            <w:pPr>
              <w:spacing w:after="120"/>
              <w:ind w:left="136" w:right="238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1" w:name="_Hlk64380576"/>
            <w:r w:rsidRPr="00832BBF">
              <w:rPr>
                <w:rFonts w:ascii="Arial" w:hAnsi="Arial" w:cs="Arial"/>
                <w:sz w:val="20"/>
                <w:szCs w:val="20"/>
              </w:rPr>
              <w:t xml:space="preserve">V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lednu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2020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byla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vyhlášena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nová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výzva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č. 107 „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Podpora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zařízení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péče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děti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na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1.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stupni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základních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škol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době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mimo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školní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vyučování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mimo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hl.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město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Prahu“</w:t>
            </w:r>
            <w:proofErr w:type="gramEnd"/>
            <w:r w:rsidRPr="00832BBF">
              <w:rPr>
                <w:rFonts w:ascii="Arial" w:hAnsi="Arial" w:cs="Arial"/>
                <w:sz w:val="20"/>
                <w:szCs w:val="20"/>
              </w:rPr>
              <w:t xml:space="preserve">. Z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důvodu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velkého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zájmu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žadatelů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potřebnosti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podpory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daných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zařízení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byla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alokace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výzvy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navýšena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finálních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11,2 mil. EUR.</w:t>
            </w:r>
          </w:p>
          <w:p w14:paraId="71692074" w14:textId="2204DFFB" w:rsidR="00B0083E" w:rsidRPr="00873080" w:rsidRDefault="00617064" w:rsidP="00873080">
            <w:pPr>
              <w:spacing w:after="120"/>
              <w:ind w:left="136" w:right="238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832BBF">
              <w:rPr>
                <w:rFonts w:ascii="Arial" w:eastAsia="Calibri" w:hAnsi="Arial" w:cs="Arial"/>
                <w:sz w:val="20"/>
                <w:szCs w:val="20"/>
              </w:rPr>
              <w:t>V</w:t>
            </w:r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> </w:t>
            </w:r>
            <w:proofErr w:type="spellStart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>roce</w:t>
            </w:r>
            <w:proofErr w:type="spellEnd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 xml:space="preserve"> 2020 </w:t>
            </w:r>
            <w:proofErr w:type="spellStart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>byla</w:t>
            </w:r>
            <w:proofErr w:type="spellEnd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>vyhlášena</w:t>
            </w:r>
            <w:proofErr w:type="spellEnd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>nová</w:t>
            </w:r>
            <w:proofErr w:type="spellEnd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>výzva</w:t>
            </w:r>
            <w:proofErr w:type="spellEnd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 xml:space="preserve"> č. </w:t>
            </w:r>
            <w:r w:rsidR="00821FBF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93</w:t>
            </w:r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proofErr w:type="spellStart"/>
            <w:r w:rsidR="00821FBF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Podpora</w:t>
            </w:r>
            <w:proofErr w:type="spellEnd"/>
            <w:r w:rsidR="00821FBF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821FBF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zaměstnanců</w:t>
            </w:r>
            <w:proofErr w:type="spellEnd"/>
            <w:r w:rsidR="00821FBF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821FBF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ohrožených</w:t>
            </w:r>
            <w:proofErr w:type="spellEnd"/>
            <w:r w:rsidR="00821FBF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821FBF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propouštěním</w:t>
            </w:r>
            <w:proofErr w:type="spellEnd"/>
            <w:r w:rsidR="00821FBF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II</w:t>
            </w:r>
            <w:r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”</w:t>
            </w:r>
            <w:r w:rsidR="00821FBF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.</w:t>
            </w:r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 xml:space="preserve"> V </w:t>
            </w:r>
            <w:proofErr w:type="spellStart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>rámci</w:t>
            </w:r>
            <w:proofErr w:type="spellEnd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>této</w:t>
            </w:r>
            <w:proofErr w:type="spellEnd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>výzvy</w:t>
            </w:r>
            <w:proofErr w:type="spellEnd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 xml:space="preserve"> je od 1. 6. 2020 </w:t>
            </w:r>
            <w:proofErr w:type="spellStart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>na</w:t>
            </w:r>
            <w:proofErr w:type="spellEnd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>celém</w:t>
            </w:r>
            <w:proofErr w:type="spellEnd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>území</w:t>
            </w:r>
            <w:proofErr w:type="spellEnd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 xml:space="preserve"> ČR </w:t>
            </w:r>
            <w:proofErr w:type="spellStart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>realizován</w:t>
            </w:r>
            <w:proofErr w:type="spellEnd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>projekt</w:t>
            </w:r>
            <w:proofErr w:type="spellEnd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821FBF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Outplacement</w:t>
            </w:r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 xml:space="preserve"> s </w:t>
            </w:r>
            <w:proofErr w:type="spellStart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>rozpočtem</w:t>
            </w:r>
            <w:proofErr w:type="spellEnd"/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A275B2" w:rsidRPr="00832BBF">
              <w:rPr>
                <w:rFonts w:ascii="Arial" w:eastAsia="Calibri" w:hAnsi="Arial" w:cs="Arial"/>
                <w:sz w:val="20"/>
                <w:szCs w:val="20"/>
              </w:rPr>
              <w:t>141,42 mil. EUR</w:t>
            </w:r>
            <w:r w:rsidR="00821FBF" w:rsidRPr="00832BBF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>Smyslem</w:t>
            </w:r>
            <w:proofErr w:type="spellEnd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>projektu</w:t>
            </w:r>
            <w:proofErr w:type="spellEnd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 xml:space="preserve"> je </w:t>
            </w:r>
            <w:proofErr w:type="spellStart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>pomoci</w:t>
            </w:r>
            <w:proofErr w:type="spellEnd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>zaměstnancům</w:t>
            </w:r>
            <w:proofErr w:type="spellEnd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>ještě</w:t>
            </w:r>
            <w:proofErr w:type="spellEnd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>před</w:t>
            </w:r>
            <w:proofErr w:type="spellEnd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>jejich</w:t>
            </w:r>
            <w:proofErr w:type="spellEnd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>faktickým</w:t>
            </w:r>
            <w:proofErr w:type="spellEnd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>propuštěním</w:t>
            </w:r>
            <w:proofErr w:type="spellEnd"/>
            <w:r w:rsidR="004348DC" w:rsidRPr="00832BBF">
              <w:rPr>
                <w:rFonts w:ascii="Arial" w:eastAsia="Calibri" w:hAnsi="Arial" w:cs="Arial"/>
                <w:sz w:val="20"/>
                <w:szCs w:val="20"/>
              </w:rPr>
              <w:t xml:space="preserve"> a to</w:t>
            </w:r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>individuální</w:t>
            </w:r>
            <w:proofErr w:type="spellEnd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 xml:space="preserve"> a </w:t>
            </w:r>
            <w:proofErr w:type="spellStart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>cílenou</w:t>
            </w:r>
            <w:proofErr w:type="spellEnd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>pomocí</w:t>
            </w:r>
            <w:proofErr w:type="spellEnd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>komplexních</w:t>
            </w:r>
            <w:proofErr w:type="spellEnd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>nástrojů</w:t>
            </w:r>
            <w:proofErr w:type="spellEnd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>počínaje</w:t>
            </w:r>
            <w:proofErr w:type="spellEnd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>pracovní</w:t>
            </w:r>
            <w:proofErr w:type="spellEnd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>diagnostikou</w:t>
            </w:r>
            <w:proofErr w:type="spellEnd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>přes</w:t>
            </w:r>
            <w:proofErr w:type="spellEnd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>vzdělávací</w:t>
            </w:r>
            <w:proofErr w:type="spellEnd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>kurz</w:t>
            </w:r>
            <w:proofErr w:type="spellEnd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>popřípadě</w:t>
            </w:r>
            <w:proofErr w:type="spellEnd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>rekvalifikací</w:t>
            </w:r>
            <w:proofErr w:type="spellEnd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 xml:space="preserve"> a </w:t>
            </w:r>
            <w:proofErr w:type="spellStart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>nakonec</w:t>
            </w:r>
            <w:proofErr w:type="spellEnd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>i</w:t>
            </w:r>
            <w:proofErr w:type="spellEnd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>zprostředkováním</w:t>
            </w:r>
            <w:proofErr w:type="spellEnd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>zaměstnání</w:t>
            </w:r>
            <w:proofErr w:type="spellEnd"/>
            <w:r w:rsidR="00CC53BE" w:rsidRPr="00832BBF">
              <w:rPr>
                <w:rFonts w:ascii="Arial" w:eastAsia="Calibri" w:hAnsi="Arial" w:cs="Arial"/>
                <w:sz w:val="20"/>
                <w:szCs w:val="20"/>
              </w:rPr>
              <w:t>.</w:t>
            </w:r>
            <w:bookmarkStart w:id="12" w:name="_Hlk64542480"/>
          </w:p>
          <w:bookmarkEnd w:id="12"/>
          <w:p w14:paraId="40EA1DE2" w14:textId="3011693D" w:rsidR="00470441" w:rsidRPr="00832BBF" w:rsidRDefault="001D12AD" w:rsidP="00873080">
            <w:pPr>
              <w:spacing w:after="120"/>
              <w:ind w:left="136" w:right="23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Dne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23. 10. </w:t>
            </w:r>
            <w:r w:rsidR="00166FBE" w:rsidRPr="00832BBF">
              <w:rPr>
                <w:rFonts w:ascii="Arial" w:hAnsi="Arial" w:cs="Arial"/>
                <w:sz w:val="20"/>
                <w:szCs w:val="20"/>
              </w:rPr>
              <w:t xml:space="preserve">2020 </w:t>
            </w:r>
            <w:proofErr w:type="spellStart"/>
            <w:r w:rsidR="00166FBE" w:rsidRPr="00832BBF">
              <w:rPr>
                <w:rFonts w:ascii="Arial" w:hAnsi="Arial" w:cs="Arial"/>
                <w:sz w:val="20"/>
                <w:szCs w:val="20"/>
              </w:rPr>
              <w:t>b</w:t>
            </w:r>
            <w:r w:rsidR="00572C31" w:rsidRPr="00832BBF">
              <w:rPr>
                <w:rFonts w:ascii="Arial" w:hAnsi="Arial" w:cs="Arial"/>
                <w:sz w:val="20"/>
                <w:szCs w:val="20"/>
              </w:rPr>
              <w:t>yla</w:t>
            </w:r>
            <w:proofErr w:type="spellEnd"/>
            <w:r w:rsidR="00572C31"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72C31" w:rsidRPr="00832BBF">
              <w:rPr>
                <w:rFonts w:ascii="Arial" w:hAnsi="Arial" w:cs="Arial"/>
                <w:sz w:val="20"/>
                <w:szCs w:val="20"/>
              </w:rPr>
              <w:t>vyhlášena</w:t>
            </w:r>
            <w:proofErr w:type="spellEnd"/>
            <w:r w:rsidR="00572C31"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72C31" w:rsidRPr="00832BBF">
              <w:rPr>
                <w:rFonts w:ascii="Arial" w:hAnsi="Arial" w:cs="Arial"/>
                <w:sz w:val="20"/>
                <w:szCs w:val="20"/>
              </w:rPr>
              <w:t>výzva</w:t>
            </w:r>
            <w:proofErr w:type="spellEnd"/>
            <w:r w:rsidR="00572C31" w:rsidRPr="00832BBF">
              <w:rPr>
                <w:rFonts w:ascii="Arial" w:hAnsi="Arial" w:cs="Arial"/>
                <w:sz w:val="20"/>
                <w:szCs w:val="20"/>
              </w:rPr>
              <w:t xml:space="preserve"> č. </w:t>
            </w:r>
            <w:r w:rsidR="00572C31"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  <w:r w:rsidR="00617064"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8 „</w:t>
            </w:r>
            <w:r w:rsidR="00572C31"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Antivirus A</w:t>
            </w:r>
            <w:r w:rsidR="00617064"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”</w:t>
            </w:r>
            <w:r w:rsidR="00572C31" w:rsidRPr="00832BBF">
              <w:rPr>
                <w:rFonts w:ascii="Arial" w:hAnsi="Arial" w:cs="Arial"/>
                <w:sz w:val="20"/>
                <w:szCs w:val="20"/>
              </w:rPr>
              <w:t xml:space="preserve">. V </w:t>
            </w:r>
            <w:proofErr w:type="spellStart"/>
            <w:r w:rsidR="00572C31" w:rsidRPr="00832BBF">
              <w:rPr>
                <w:rFonts w:ascii="Arial" w:hAnsi="Arial" w:cs="Arial"/>
                <w:sz w:val="20"/>
                <w:szCs w:val="20"/>
              </w:rPr>
              <w:t>rámci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72C31" w:rsidRPr="00832BBF">
              <w:rPr>
                <w:rFonts w:ascii="Arial" w:hAnsi="Arial" w:cs="Arial"/>
                <w:sz w:val="20"/>
                <w:szCs w:val="20"/>
              </w:rPr>
              <w:t>výzvy</w:t>
            </w:r>
            <w:proofErr w:type="spellEnd"/>
            <w:r w:rsidR="00572C31"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72C31" w:rsidRPr="00832BBF">
              <w:rPr>
                <w:rFonts w:ascii="Arial" w:hAnsi="Arial" w:cs="Arial"/>
                <w:sz w:val="20"/>
                <w:szCs w:val="20"/>
              </w:rPr>
              <w:t>byl</w:t>
            </w:r>
            <w:proofErr w:type="spellEnd"/>
            <w:r w:rsidR="00572C31"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2BBF">
              <w:rPr>
                <w:rFonts w:ascii="Arial" w:hAnsi="Arial" w:cs="Arial"/>
                <w:sz w:val="20"/>
                <w:szCs w:val="20"/>
              </w:rPr>
              <w:t xml:space="preserve">v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období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12. 3. – 31. 12. 2020 </w:t>
            </w:r>
            <w:proofErr w:type="spellStart"/>
            <w:r w:rsidR="00572C31" w:rsidRPr="00832BBF">
              <w:rPr>
                <w:rFonts w:ascii="Arial" w:hAnsi="Arial" w:cs="Arial"/>
                <w:sz w:val="20"/>
                <w:szCs w:val="20"/>
              </w:rPr>
              <w:t>realizován</w:t>
            </w:r>
            <w:proofErr w:type="spellEnd"/>
            <w:r w:rsidR="00572C31"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72C31" w:rsidRPr="00832BBF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="00572C31"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72C31" w:rsidRPr="00832BBF">
              <w:rPr>
                <w:rFonts w:ascii="Arial" w:hAnsi="Arial" w:cs="Arial"/>
                <w:sz w:val="20"/>
                <w:szCs w:val="20"/>
              </w:rPr>
              <w:t>celém</w:t>
            </w:r>
            <w:proofErr w:type="spellEnd"/>
            <w:r w:rsidR="00572C31"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72C31" w:rsidRPr="00832BBF">
              <w:rPr>
                <w:rFonts w:ascii="Arial" w:hAnsi="Arial" w:cs="Arial"/>
                <w:sz w:val="20"/>
                <w:szCs w:val="20"/>
              </w:rPr>
              <w:t>území</w:t>
            </w:r>
            <w:proofErr w:type="spellEnd"/>
            <w:r w:rsidR="00572C31" w:rsidRPr="00832BBF">
              <w:rPr>
                <w:rFonts w:ascii="Arial" w:hAnsi="Arial" w:cs="Arial"/>
                <w:sz w:val="20"/>
                <w:szCs w:val="20"/>
              </w:rPr>
              <w:t xml:space="preserve"> ČR </w:t>
            </w:r>
            <w:proofErr w:type="spellStart"/>
            <w:r w:rsidR="00572C31" w:rsidRPr="00832BBF">
              <w:rPr>
                <w:rFonts w:ascii="Arial" w:hAnsi="Arial" w:cs="Arial"/>
                <w:sz w:val="20"/>
                <w:szCs w:val="20"/>
              </w:rPr>
              <w:t>projekt</w:t>
            </w:r>
            <w:proofErr w:type="spellEnd"/>
            <w:r w:rsidR="00572C31"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72C31"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Podpora</w:t>
            </w:r>
            <w:proofErr w:type="spellEnd"/>
            <w:r w:rsidR="00572C31"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72C31"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zaměstnanosti</w:t>
            </w:r>
            <w:proofErr w:type="spellEnd"/>
            <w:r w:rsidR="00572C31"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72C31"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prostřednictvím</w:t>
            </w:r>
            <w:proofErr w:type="spellEnd"/>
            <w:r w:rsidR="00572C31"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72C31"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cíleného</w:t>
            </w:r>
            <w:proofErr w:type="spellEnd"/>
            <w:r w:rsidR="00572C31"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72C31"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program</w:t>
            </w:r>
            <w:r w:rsidR="00470441"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proofErr w:type="spellEnd"/>
            <w:r w:rsidR="00572C31"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Antivirus A</w:t>
            </w:r>
            <w:r w:rsidR="001D4C2F"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D4C2F" w:rsidRPr="00832BBF">
              <w:rPr>
                <w:rFonts w:ascii="Arial" w:hAnsi="Arial" w:cs="Arial"/>
                <w:sz w:val="20"/>
                <w:szCs w:val="20"/>
              </w:rPr>
              <w:t xml:space="preserve">s </w:t>
            </w:r>
            <w:proofErr w:type="spellStart"/>
            <w:r w:rsidR="00B0083E" w:rsidRPr="00832BBF">
              <w:rPr>
                <w:rFonts w:ascii="Arial" w:hAnsi="Arial" w:cs="Arial"/>
                <w:sz w:val="20"/>
                <w:szCs w:val="20"/>
              </w:rPr>
              <w:t>celkovou</w:t>
            </w:r>
            <w:proofErr w:type="spellEnd"/>
            <w:r w:rsidR="00B0083E"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B0083E" w:rsidRPr="00832BBF">
              <w:rPr>
                <w:rFonts w:ascii="Arial" w:hAnsi="Arial" w:cs="Arial"/>
                <w:sz w:val="20"/>
                <w:szCs w:val="20"/>
              </w:rPr>
              <w:t>alokací</w:t>
            </w:r>
            <w:proofErr w:type="spellEnd"/>
            <w:r w:rsidR="001D4C2F"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4A9B" w:rsidRPr="00832BBF">
              <w:rPr>
                <w:rFonts w:ascii="Arial" w:hAnsi="Arial" w:cs="Arial"/>
                <w:sz w:val="20"/>
                <w:szCs w:val="20"/>
              </w:rPr>
              <w:t>1</w:t>
            </w:r>
            <w:r w:rsidR="00B0083E" w:rsidRPr="00832BBF">
              <w:rPr>
                <w:rFonts w:ascii="Arial" w:hAnsi="Arial" w:cs="Arial"/>
                <w:sz w:val="20"/>
                <w:szCs w:val="20"/>
              </w:rPr>
              <w:t>56</w:t>
            </w:r>
            <w:r w:rsidR="00DC4A9B" w:rsidRPr="00832BBF">
              <w:rPr>
                <w:rFonts w:ascii="Arial" w:hAnsi="Arial" w:cs="Arial"/>
                <w:sz w:val="20"/>
                <w:szCs w:val="20"/>
              </w:rPr>
              <w:t>,</w:t>
            </w:r>
            <w:r w:rsidR="00B0083E" w:rsidRPr="00832BBF">
              <w:rPr>
                <w:rFonts w:ascii="Arial" w:hAnsi="Arial" w:cs="Arial"/>
                <w:sz w:val="20"/>
                <w:szCs w:val="20"/>
              </w:rPr>
              <w:t>4</w:t>
            </w:r>
            <w:r w:rsidR="00DC4A9B" w:rsidRPr="00832BBF">
              <w:rPr>
                <w:rFonts w:ascii="Arial" w:hAnsi="Arial" w:cs="Arial"/>
                <w:sz w:val="20"/>
                <w:szCs w:val="20"/>
              </w:rPr>
              <w:t xml:space="preserve"> mil. EUR</w:t>
            </w:r>
            <w:r w:rsidR="00572C31" w:rsidRPr="0087308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543572F" w14:textId="481020DF" w:rsidR="003A2D80" w:rsidRPr="00832BBF" w:rsidRDefault="00F173B2" w:rsidP="00873080">
            <w:pPr>
              <w:ind w:left="136" w:right="23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Podrobný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přehled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pokroku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PO1 je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uveden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příloze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č. 1.</w:t>
            </w:r>
            <w:bookmarkEnd w:id="11"/>
          </w:p>
        </w:tc>
      </w:tr>
      <w:tr w:rsidR="00A2351A" w:rsidRPr="00E71A8D" w14:paraId="5C667D36" w14:textId="77777777" w:rsidTr="00BD267E">
        <w:trPr>
          <w:trHeight w:val="18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97E083" w14:textId="77777777" w:rsidR="00A2351A" w:rsidRDefault="002D5C25">
            <w:pPr>
              <w:spacing w:before="120"/>
              <w:ind w:left="57" w:right="57"/>
              <w:jc w:val="both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03.2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8CBDFB" w14:textId="77777777" w:rsidR="00A2351A" w:rsidRDefault="002D5C25">
            <w:pPr>
              <w:spacing w:before="120"/>
              <w:ind w:left="57" w:right="57"/>
              <w:jc w:val="both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Sociální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začleňování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a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boj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s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chudobou</w:t>
            </w:r>
            <w:proofErr w:type="spellEnd"/>
          </w:p>
        </w:tc>
        <w:tc>
          <w:tcPr>
            <w:tcW w:w="9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0278E0" w14:textId="3BBD0FB4" w:rsidR="00003B87" w:rsidRPr="00832BBF" w:rsidRDefault="00765100" w:rsidP="00873080">
            <w:pPr>
              <w:spacing w:after="120"/>
              <w:ind w:left="136" w:right="238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val="cs-CZ"/>
              </w:rPr>
            </w:pPr>
            <w:r w:rsidRPr="00832BBF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cs-CZ"/>
              </w:rPr>
              <w:t xml:space="preserve">Prioritní osa 2 „Sociální začleňování a boj s chudobou“ </w:t>
            </w:r>
            <w:r w:rsidRPr="00FB191E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cs-CZ"/>
              </w:rPr>
              <w:t>(PO2)</w:t>
            </w:r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  <w:lang w:val="cs-CZ"/>
              </w:rPr>
              <w:t xml:space="preserve"> je prováděna prostřednictvím tří investičních priorit (IP), z nichž nejvyšší objem finančních prostředků alokovaných ve výzvách a nejvyšší počet předložených projektů představuje IP2.1. Objem prostředků alokovaných na PO2 činí celkem 740 mil. EUR, což představuje 2</w:t>
            </w:r>
            <w:r w:rsidR="008068AE">
              <w:rPr>
                <w:rFonts w:ascii="Arial" w:eastAsia="Arial" w:hAnsi="Arial" w:cs="Arial"/>
                <w:color w:val="000000"/>
                <w:sz w:val="20"/>
                <w:szCs w:val="20"/>
                <w:lang w:val="cs-CZ"/>
              </w:rPr>
              <w:t>6</w:t>
            </w:r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  <w:lang w:val="cs-CZ"/>
              </w:rPr>
              <w:t xml:space="preserve"> % z celkového objemu finančních prostředků určených na OPZ.</w:t>
            </w:r>
          </w:p>
          <w:p w14:paraId="036CD2A9" w14:textId="77777777" w:rsidR="00003B87" w:rsidRPr="00832BBF" w:rsidRDefault="00003B87" w:rsidP="00873080">
            <w:pPr>
              <w:spacing w:after="120"/>
              <w:ind w:left="136" w:right="23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32BBF">
              <w:rPr>
                <w:rFonts w:ascii="Arial" w:eastAsia="Arial" w:hAnsi="Arial" w:cs="Arial"/>
                <w:sz w:val="20"/>
                <w:szCs w:val="20"/>
              </w:rPr>
              <w:t>V 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roce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2020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byla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vyhlášena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výzva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č. </w:t>
            </w:r>
            <w:r w:rsidRPr="00832BB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139 „</w:t>
            </w:r>
            <w:proofErr w:type="spellStart"/>
            <w:r w:rsidRPr="00832BB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Podpora</w:t>
            </w:r>
            <w:proofErr w:type="spellEnd"/>
            <w:r w:rsidRPr="00832BBF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sociálního</w:t>
            </w:r>
            <w:proofErr w:type="spellEnd"/>
            <w:r w:rsidRPr="00832BBF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začleňování</w:t>
            </w:r>
            <w:proofErr w:type="spellEnd"/>
            <w:r w:rsidRPr="00832BBF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v </w:t>
            </w:r>
            <w:proofErr w:type="spellStart"/>
            <w:proofErr w:type="gramStart"/>
            <w:r w:rsidRPr="00832BB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Praze</w:t>
            </w:r>
            <w:proofErr w:type="spellEnd"/>
            <w:r w:rsidRPr="00832BB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“</w:t>
            </w:r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s</w:t>
            </w:r>
            <w:proofErr w:type="gramEnd"/>
            <w:r w:rsidRPr="00832BBF">
              <w:rPr>
                <w:rFonts w:ascii="Arial" w:eastAsia="Arial" w:hAnsi="Arial" w:cs="Arial"/>
                <w:sz w:val="20"/>
                <w:szCs w:val="20"/>
              </w:rPr>
              <w:t> 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celkovou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alokací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3,81 mil. EUR.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Ve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výzvě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bylo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předloženo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92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žádostí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v 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celkovém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objemu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17,6 mil. EUR.</w:t>
            </w:r>
          </w:p>
          <w:p w14:paraId="369B2605" w14:textId="77777777" w:rsidR="00003B87" w:rsidRPr="00832BBF" w:rsidRDefault="00003B87" w:rsidP="00873080">
            <w:pPr>
              <w:spacing w:after="120"/>
              <w:ind w:left="136" w:right="238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r w:rsidRPr="00832BBF">
              <w:rPr>
                <w:rFonts w:ascii="Arial" w:hAnsi="Arial" w:cs="Arial"/>
                <w:sz w:val="20"/>
                <w:szCs w:val="20"/>
              </w:rPr>
              <w:t>V 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srpnu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2020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byla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vyhlášena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výzva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č. </w:t>
            </w:r>
            <w:r w:rsidRPr="008068AE">
              <w:rPr>
                <w:rFonts w:ascii="Arial" w:hAnsi="Arial" w:cs="Arial"/>
                <w:b/>
                <w:bCs/>
                <w:sz w:val="20"/>
                <w:szCs w:val="20"/>
              </w:rPr>
              <w:t>137</w:t>
            </w:r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Budování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kapacit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romských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proromských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nestátních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neziskových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organizací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zapojení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přípravy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implementace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programů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spolufinancovaných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fondů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EU“</w:t>
            </w:r>
            <w:r w:rsidRPr="00832BBF">
              <w:rPr>
                <w:rFonts w:ascii="Arial" w:hAnsi="Arial" w:cs="Arial"/>
                <w:sz w:val="20"/>
                <w:szCs w:val="20"/>
              </w:rPr>
              <w:t xml:space="preserve"> s</w:t>
            </w:r>
            <w:proofErr w:type="gramEnd"/>
            <w:r w:rsidRPr="00832BBF">
              <w:rPr>
                <w:rFonts w:ascii="Arial" w:hAnsi="Arial" w:cs="Arial"/>
                <w:sz w:val="20"/>
                <w:szCs w:val="20"/>
              </w:rPr>
              <w:t> 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celkovou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alokací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1,14 mil. EUR.</w:t>
            </w:r>
          </w:p>
          <w:p w14:paraId="6580F82E" w14:textId="0BA2B063" w:rsidR="00003B87" w:rsidRPr="00832BBF" w:rsidRDefault="00003B87" w:rsidP="00873080">
            <w:pPr>
              <w:spacing w:after="120"/>
              <w:ind w:left="136" w:right="238"/>
              <w:jc w:val="both"/>
              <w:rPr>
                <w:rFonts w:ascii="Arial" w:eastAsiaTheme="minorHAnsi" w:hAnsi="Arial" w:cs="Arial"/>
                <w:sz w:val="20"/>
                <w:szCs w:val="20"/>
              </w:rPr>
            </w:pP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Byly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  <w:lang w:val="cs-CZ"/>
              </w:rPr>
              <w:t xml:space="preserve"> ukončeny výzvy pro integrované nástroje. </w:t>
            </w:r>
            <w:bookmarkStart w:id="13" w:name="_Hlk63179254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  <w:lang w:val="cs-CZ"/>
              </w:rPr>
              <w:t xml:space="preserve">Nejvíce se dařilo zejména v případě CLLD, kde objem finančních prostředků na projekty CLLD činil ke konci roku </w:t>
            </w:r>
            <w:r w:rsidRPr="00832BBF">
              <w:rPr>
                <w:rFonts w:ascii="Arial" w:hAnsi="Arial" w:cs="Arial"/>
                <w:sz w:val="20"/>
                <w:szCs w:val="20"/>
              </w:rPr>
              <w:t>74,5</w:t>
            </w:r>
            <w:r w:rsidRPr="00832BBF">
              <w:rPr>
                <w:rFonts w:ascii="Arial" w:hAnsi="Arial" w:cs="Arial"/>
                <w:sz w:val="20"/>
                <w:szCs w:val="20"/>
                <w:lang w:val="cs-CZ"/>
              </w:rPr>
              <w:t xml:space="preserve"> mil. </w:t>
            </w:r>
            <w:r w:rsidRPr="00832BBF">
              <w:rPr>
                <w:rFonts w:ascii="Arial" w:hAnsi="Arial" w:cs="Arial"/>
                <w:sz w:val="20"/>
                <w:szCs w:val="20"/>
              </w:rPr>
              <w:t>EUR</w:t>
            </w:r>
            <w:r w:rsidRPr="00832BBF">
              <w:rPr>
                <w:rFonts w:ascii="Arial" w:hAnsi="Arial" w:cs="Arial"/>
                <w:sz w:val="20"/>
                <w:szCs w:val="20"/>
                <w:lang w:val="cs-CZ"/>
              </w:rPr>
              <w:t>, což představuje 111 % celkové alokace IP2.3</w:t>
            </w:r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  <w:lang w:val="cs-CZ"/>
              </w:rPr>
              <w:t>.</w:t>
            </w:r>
            <w:bookmarkEnd w:id="13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  <w:lang w:val="cs-CZ"/>
              </w:rPr>
              <w:t>S cílem vyčerpat stanovenou alokaci byla provedena závěrečná ověření způsobilosti u projektů ze zásobníku, z nichž některé byly dodatečně podpořeny k realizaci.</w:t>
            </w:r>
          </w:p>
          <w:p w14:paraId="65612F75" w14:textId="7AA944CF" w:rsidR="000855F4" w:rsidRPr="00832BBF" w:rsidRDefault="000855F4" w:rsidP="00873080">
            <w:pPr>
              <w:ind w:left="136" w:right="23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Podrobný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přehled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pokroku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PO2 je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uveden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příloze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č. 1.</w:t>
            </w:r>
          </w:p>
        </w:tc>
      </w:tr>
      <w:tr w:rsidR="00A2351A" w14:paraId="1828D94A" w14:textId="77777777" w:rsidTr="00BD267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DE550F" w14:textId="77777777" w:rsidR="00A2351A" w:rsidRDefault="002D5C25">
            <w:pPr>
              <w:spacing w:before="120"/>
              <w:ind w:left="57" w:right="57"/>
              <w:jc w:val="both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03.3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72157E" w14:textId="77777777" w:rsidR="00A2351A" w:rsidRDefault="002D5C25">
            <w:pPr>
              <w:spacing w:before="120"/>
              <w:ind w:left="57" w:right="57"/>
              <w:jc w:val="both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Sociální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inovace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a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mezinárodní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spolupráce</w:t>
            </w:r>
            <w:proofErr w:type="spellEnd"/>
          </w:p>
        </w:tc>
        <w:tc>
          <w:tcPr>
            <w:tcW w:w="9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BCA07D" w14:textId="4C777053" w:rsidR="00CC5921" w:rsidRPr="00832BBF" w:rsidRDefault="00CC5921" w:rsidP="00873080">
            <w:pPr>
              <w:spacing w:after="120"/>
              <w:ind w:left="136" w:right="23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32BBF">
              <w:rPr>
                <w:rFonts w:ascii="Arial" w:hAnsi="Arial" w:cs="Arial"/>
                <w:b/>
                <w:sz w:val="20"/>
                <w:szCs w:val="20"/>
              </w:rPr>
              <w:t>Prioritní</w:t>
            </w:r>
            <w:proofErr w:type="spellEnd"/>
            <w:r w:rsidRPr="00832BB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sz w:val="20"/>
                <w:szCs w:val="20"/>
              </w:rPr>
              <w:t>osa</w:t>
            </w:r>
            <w:proofErr w:type="spellEnd"/>
            <w:r w:rsidRPr="00832BBF">
              <w:rPr>
                <w:rFonts w:ascii="Arial" w:hAnsi="Arial" w:cs="Arial"/>
                <w:b/>
                <w:sz w:val="20"/>
                <w:szCs w:val="20"/>
              </w:rPr>
              <w:t xml:space="preserve"> 3 „</w:t>
            </w:r>
            <w:proofErr w:type="spellStart"/>
            <w:r w:rsidRPr="00832BBF">
              <w:rPr>
                <w:rFonts w:ascii="Arial" w:hAnsi="Arial" w:cs="Arial"/>
                <w:b/>
                <w:sz w:val="20"/>
                <w:szCs w:val="20"/>
              </w:rPr>
              <w:t>Sociální</w:t>
            </w:r>
            <w:proofErr w:type="spellEnd"/>
            <w:r w:rsidRPr="00832BB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sz w:val="20"/>
                <w:szCs w:val="20"/>
              </w:rPr>
              <w:t>inovace</w:t>
            </w:r>
            <w:proofErr w:type="spellEnd"/>
            <w:r w:rsidRPr="00832BBF">
              <w:rPr>
                <w:rFonts w:ascii="Arial" w:hAnsi="Arial" w:cs="Arial"/>
                <w:b/>
                <w:sz w:val="20"/>
                <w:szCs w:val="20"/>
              </w:rPr>
              <w:t xml:space="preserve"> a </w:t>
            </w:r>
            <w:proofErr w:type="spellStart"/>
            <w:r w:rsidRPr="00832BBF">
              <w:rPr>
                <w:rFonts w:ascii="Arial" w:hAnsi="Arial" w:cs="Arial"/>
                <w:b/>
                <w:sz w:val="20"/>
                <w:szCs w:val="20"/>
              </w:rPr>
              <w:t>mezinárodní</w:t>
            </w:r>
            <w:proofErr w:type="spellEnd"/>
            <w:r w:rsidRPr="00832BB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32BBF">
              <w:rPr>
                <w:rFonts w:ascii="Arial" w:hAnsi="Arial" w:cs="Arial"/>
                <w:b/>
                <w:sz w:val="20"/>
                <w:szCs w:val="20"/>
              </w:rPr>
              <w:t>spolupráce</w:t>
            </w:r>
            <w:proofErr w:type="spellEnd"/>
            <w:r w:rsidRPr="00832BBF">
              <w:rPr>
                <w:rFonts w:ascii="Arial" w:hAnsi="Arial" w:cs="Arial"/>
                <w:b/>
                <w:sz w:val="20"/>
                <w:szCs w:val="20"/>
              </w:rPr>
              <w:t>“</w:t>
            </w:r>
            <w:r w:rsidRPr="00832BBF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gramEnd"/>
            <w:r w:rsidRPr="00832BBF">
              <w:rPr>
                <w:rFonts w:ascii="Arial" w:hAnsi="Arial" w:cs="Arial"/>
                <w:sz w:val="20"/>
                <w:szCs w:val="20"/>
              </w:rPr>
              <w:t xml:space="preserve">PO3):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Objem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prostředků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alokovaných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PO3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představuje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46,6 mil. EUR,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tj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. 2 % z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celkového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objemu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finančních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prostředků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určených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OPZ. Od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začátku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programového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období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je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tak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vyhlášeno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celkem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8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výzev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celkovém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objemu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cca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60,42 mil. EUR. PO3 je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jako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celek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zaměřena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podporu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sociálních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inovací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mezinárodní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spolupráce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, proto je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předpokládán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její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dílčí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příspěvek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k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tematickému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cíli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č. 1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Posílení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výzkumu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technologického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rozvoje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832BBF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inovací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83CD1B4" w14:textId="0DBD494E" w:rsidR="004B2CBD" w:rsidRPr="00832BBF" w:rsidRDefault="004B2CBD" w:rsidP="00873080">
            <w:pPr>
              <w:spacing w:after="120"/>
              <w:ind w:left="136" w:right="238"/>
              <w:jc w:val="both"/>
              <w:rPr>
                <w:rFonts w:ascii="Arial" w:eastAsia="Calibri" w:hAnsi="Arial" w:cs="Arial"/>
                <w:sz w:val="20"/>
                <w:szCs w:val="20"/>
                <w:u w:val="single"/>
                <w:lang w:val="cs-CZ" w:eastAsia="en-US"/>
              </w:rPr>
            </w:pPr>
            <w:bookmarkStart w:id="14" w:name="_Hlk64893114"/>
            <w:r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>Na základě dat a zkušeností z</w:t>
            </w:r>
            <w:r w:rsidR="008C4EB0"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> </w:t>
            </w:r>
            <w:r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>projektu</w:t>
            </w:r>
            <w:r w:rsidR="008C4EB0"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 xml:space="preserve"> </w:t>
            </w:r>
            <w:r w:rsidRPr="00832BBF">
              <w:rPr>
                <w:rFonts w:ascii="Arial" w:eastAsia="Calibri" w:hAnsi="Arial" w:cs="Arial"/>
                <w:b/>
                <w:bCs/>
                <w:sz w:val="20"/>
                <w:szCs w:val="20"/>
                <w:lang w:val="cs-CZ" w:eastAsia="en-US"/>
              </w:rPr>
              <w:t>Podpora implementace a rozvoje sociálně odpovědného veřejného zadávání</w:t>
            </w:r>
            <w:r w:rsidR="008C4EB0" w:rsidRPr="00832BBF">
              <w:rPr>
                <w:rFonts w:ascii="Arial" w:eastAsia="Calibri" w:hAnsi="Arial" w:cs="Arial"/>
                <w:b/>
                <w:bCs/>
                <w:sz w:val="20"/>
                <w:szCs w:val="20"/>
                <w:lang w:val="cs-CZ" w:eastAsia="en-US"/>
              </w:rPr>
              <w:t xml:space="preserve"> </w:t>
            </w:r>
            <w:r w:rsidR="008C4EB0"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>z výzvy</w:t>
            </w:r>
            <w:r w:rsidR="008C4EB0" w:rsidRPr="00832BBF">
              <w:rPr>
                <w:rFonts w:ascii="Arial" w:eastAsia="Calibri" w:hAnsi="Arial" w:cs="Arial"/>
                <w:b/>
                <w:bCs/>
                <w:sz w:val="20"/>
                <w:szCs w:val="20"/>
                <w:lang w:val="cs-CZ" w:eastAsia="en-US"/>
              </w:rPr>
              <w:t xml:space="preserve"> č. </w:t>
            </w:r>
            <w:r w:rsidR="008C4EB0"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  <w:r w:rsidR="008C4EB0"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4EB0" w:rsidRPr="00832BBF">
              <w:rPr>
                <w:rFonts w:ascii="Arial" w:eastAsia="Calibri" w:hAnsi="Arial" w:cs="Arial"/>
                <w:b/>
                <w:bCs/>
                <w:sz w:val="20"/>
                <w:szCs w:val="20"/>
                <w:lang w:val="cs-CZ" w:eastAsia="en-US"/>
              </w:rPr>
              <w:t>„</w:t>
            </w:r>
            <w:proofErr w:type="spellStart"/>
            <w:r w:rsidR="008C4EB0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Projekty</w:t>
            </w:r>
            <w:proofErr w:type="spellEnd"/>
            <w:r w:rsidR="008C4EB0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8C4EB0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veřejné</w:t>
            </w:r>
            <w:proofErr w:type="spellEnd"/>
            <w:r w:rsidR="008C4EB0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8C4EB0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správy</w:t>
            </w:r>
            <w:proofErr w:type="spellEnd"/>
            <w:r w:rsidR="008C4EB0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8C4EB0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zaměřené</w:t>
            </w:r>
            <w:proofErr w:type="spellEnd"/>
            <w:r w:rsidR="008C4EB0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8C4EB0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</w:t>
            </w:r>
            <w:proofErr w:type="spellEnd"/>
            <w:r w:rsidR="008C4EB0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8C4EB0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inovace</w:t>
            </w:r>
            <w:proofErr w:type="spellEnd"/>
            <w:r w:rsidR="008C4EB0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v </w:t>
            </w:r>
            <w:proofErr w:type="spellStart"/>
            <w:r w:rsidR="008C4EB0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tematických</w:t>
            </w:r>
            <w:proofErr w:type="spellEnd"/>
            <w:r w:rsidR="008C4EB0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8C4EB0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oblastech</w:t>
            </w:r>
            <w:proofErr w:type="spellEnd"/>
            <w:r w:rsidR="008C4EB0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OPZ</w:t>
            </w:r>
            <w:r w:rsidR="008C4EB0" w:rsidRPr="00832BBF">
              <w:rPr>
                <w:rFonts w:ascii="Arial" w:eastAsia="Calibri" w:hAnsi="Arial" w:cs="Arial"/>
                <w:b/>
                <w:bCs/>
                <w:sz w:val="20"/>
                <w:szCs w:val="20"/>
                <w:lang w:val="cs-CZ" w:eastAsia="en-US"/>
              </w:rPr>
              <w:t>“</w:t>
            </w:r>
            <w:r w:rsidR="008C4EB0" w:rsidRPr="00832B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 xml:space="preserve">vznikl </w:t>
            </w:r>
            <w:r w:rsidRPr="00832BBF">
              <w:rPr>
                <w:rFonts w:ascii="Arial" w:eastAsia="Calibri" w:hAnsi="Arial" w:cs="Arial"/>
                <w:b/>
                <w:bCs/>
                <w:sz w:val="20"/>
                <w:szCs w:val="20"/>
                <w:lang w:val="cs-CZ" w:eastAsia="en-US"/>
              </w:rPr>
              <w:t>Institut odpovědného veřejného zadávání</w:t>
            </w:r>
            <w:r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 xml:space="preserve">, který poskytuje komplexní vzdělávací systém a metodickou podporu specialistům na veřejné zakázky. </w:t>
            </w:r>
          </w:p>
          <w:p w14:paraId="7CC80A19" w14:textId="460B64A1" w:rsidR="00F5108A" w:rsidRPr="00832BBF" w:rsidRDefault="004B2CBD" w:rsidP="00873080">
            <w:pPr>
              <w:spacing w:after="120"/>
              <w:ind w:left="136" w:right="238"/>
              <w:jc w:val="both"/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</w:pPr>
            <w:r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>Zatěžující podmínky spojené s opatřeními proti zhoršené epidemiologické situaci mají ve velké míře dopad na realizaci aktivit projektů zaměřených na mezinárodní mobilitu a sociální začleňování znevýhodněné mládeže výzvy č.</w:t>
            </w:r>
            <w:r w:rsidR="00CC5921"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 xml:space="preserve"> </w:t>
            </w:r>
            <w:r w:rsidRPr="00832BBF">
              <w:rPr>
                <w:rFonts w:ascii="Arial" w:eastAsia="Calibri" w:hAnsi="Arial" w:cs="Arial"/>
                <w:b/>
                <w:bCs/>
                <w:sz w:val="20"/>
                <w:szCs w:val="20"/>
                <w:lang w:val="cs-CZ" w:eastAsia="en-US"/>
              </w:rPr>
              <w:t>59</w:t>
            </w:r>
            <w:r w:rsidR="00F274C4"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 xml:space="preserve"> </w:t>
            </w:r>
            <w:r w:rsidR="00F274C4" w:rsidRPr="00832BBF">
              <w:rPr>
                <w:rFonts w:ascii="Arial" w:eastAsia="Calibri" w:hAnsi="Arial" w:cs="Arial"/>
                <w:b/>
                <w:bCs/>
                <w:sz w:val="20"/>
                <w:szCs w:val="20"/>
                <w:lang w:val="cs-CZ" w:eastAsia="en-US"/>
              </w:rPr>
              <w:t>„Mezinárodní mobilita a sociální začleňování znevýhodněné mládeže“</w:t>
            </w:r>
            <w:r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>.</w:t>
            </w:r>
          </w:p>
          <w:p w14:paraId="4387371B" w14:textId="2ACE463B" w:rsidR="00003B87" w:rsidRPr="00832BBF" w:rsidRDefault="00F5108A" w:rsidP="00873080">
            <w:pPr>
              <w:spacing w:after="120"/>
              <w:ind w:left="136" w:right="238"/>
              <w:jc w:val="both"/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</w:pP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lastRenderedPageBreak/>
              <w:t>Každoročně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je 15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výjimečným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projektům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udílena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cena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pro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sociální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inovace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B5B5A" w:rsidRPr="00832BBF">
              <w:rPr>
                <w:rFonts w:ascii="Arial" w:hAnsi="Arial" w:cs="Arial"/>
                <w:sz w:val="20"/>
                <w:szCs w:val="20"/>
              </w:rPr>
              <w:t>tzv</w:t>
            </w:r>
            <w:proofErr w:type="spellEnd"/>
            <w:r w:rsidR="007B5B5A" w:rsidRPr="00832BBF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SozialMarie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Mezi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oceněnými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projekty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pro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rok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2020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byl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projekt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Navštěvy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POTMĚ</w:t>
            </w:r>
            <w:r w:rsidRPr="00832BBF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výzvy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č. </w:t>
            </w:r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24 „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Sociální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inovace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oblasti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soc.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začleňování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přístupu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na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trh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práce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 </w:t>
            </w:r>
            <w:proofErr w:type="spell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nejohroženější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skupiny</w:t>
            </w:r>
            <w:proofErr w:type="spellEnd"/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>“</w:t>
            </w:r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realizovaný</w:t>
            </w:r>
            <w:proofErr w:type="spellEnd"/>
            <w:proofErr w:type="gram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Nadačním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fondem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Českého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rozhlasu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4B2CBD"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 xml:space="preserve">Více informací lze nalézt na webových stránkách </w:t>
            </w:r>
            <w:hyperlink r:id="rId18" w:history="1">
              <w:r w:rsidR="004B2CBD" w:rsidRPr="00832BBF">
                <w:rPr>
                  <w:rFonts w:ascii="Arial" w:eastAsia="Calibri" w:hAnsi="Arial" w:cs="Arial"/>
                  <w:color w:val="0563C1"/>
                  <w:sz w:val="20"/>
                  <w:szCs w:val="20"/>
                  <w:u w:val="single"/>
                  <w:lang w:val="cs-CZ" w:eastAsia="en-US"/>
                </w:rPr>
                <w:t>https://www.navstevypotme.cz/</w:t>
              </w:r>
            </w:hyperlink>
            <w:bookmarkEnd w:id="14"/>
            <w:r w:rsidR="00003B87"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>.</w:t>
            </w:r>
          </w:p>
          <w:p w14:paraId="61AF2B9C" w14:textId="27E97DAE" w:rsidR="00A2351A" w:rsidRPr="00832BBF" w:rsidRDefault="00CC5921" w:rsidP="00873080">
            <w:pPr>
              <w:ind w:left="136" w:right="238"/>
              <w:jc w:val="both"/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</w:pP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Podrobný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přehled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pokroku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PO3 je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uveden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příloze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č. 1.</w:t>
            </w:r>
          </w:p>
        </w:tc>
      </w:tr>
      <w:tr w:rsidR="00A2351A" w14:paraId="6F2F118A" w14:textId="77777777" w:rsidTr="00BD267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24A8A6" w14:textId="77777777" w:rsidR="00A2351A" w:rsidRDefault="002D5C25">
            <w:pPr>
              <w:spacing w:before="120"/>
              <w:ind w:left="57" w:right="57"/>
              <w:jc w:val="both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lastRenderedPageBreak/>
              <w:t>03.4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66CE10" w14:textId="77777777" w:rsidR="00A2351A" w:rsidRDefault="002D5C25">
            <w:pPr>
              <w:spacing w:before="120"/>
              <w:ind w:left="57" w:right="57"/>
              <w:jc w:val="both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Efektivní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veřejná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správa</w:t>
            </w:r>
            <w:proofErr w:type="spellEnd"/>
          </w:p>
        </w:tc>
        <w:tc>
          <w:tcPr>
            <w:tcW w:w="9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8B32AD" w14:textId="7E305543" w:rsidR="00FE6940" w:rsidRPr="00832BBF" w:rsidRDefault="00FE6940" w:rsidP="00873080">
            <w:pPr>
              <w:spacing w:after="120"/>
              <w:ind w:left="136" w:right="23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32BBF">
              <w:rPr>
                <w:rFonts w:ascii="Arial" w:hAnsi="Arial" w:cs="Arial"/>
                <w:b/>
                <w:sz w:val="20"/>
                <w:szCs w:val="20"/>
              </w:rPr>
              <w:t>Prioritní</w:t>
            </w:r>
            <w:proofErr w:type="spellEnd"/>
            <w:r w:rsidRPr="00832BB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sz w:val="20"/>
                <w:szCs w:val="20"/>
              </w:rPr>
              <w:t>osa</w:t>
            </w:r>
            <w:proofErr w:type="spellEnd"/>
            <w:r w:rsidRPr="00832BBF">
              <w:rPr>
                <w:rFonts w:ascii="Arial" w:hAnsi="Arial" w:cs="Arial"/>
                <w:b/>
                <w:sz w:val="20"/>
                <w:szCs w:val="20"/>
              </w:rPr>
              <w:t xml:space="preserve"> 4 „</w:t>
            </w:r>
            <w:proofErr w:type="spellStart"/>
            <w:r w:rsidRPr="00832BBF">
              <w:rPr>
                <w:rFonts w:ascii="Arial" w:hAnsi="Arial" w:cs="Arial"/>
                <w:b/>
                <w:sz w:val="20"/>
                <w:szCs w:val="20"/>
              </w:rPr>
              <w:t>Efektivní</w:t>
            </w:r>
            <w:proofErr w:type="spellEnd"/>
            <w:r w:rsidRPr="00832BB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sz w:val="20"/>
                <w:szCs w:val="20"/>
              </w:rPr>
              <w:t>veřejná</w:t>
            </w:r>
            <w:proofErr w:type="spellEnd"/>
            <w:r w:rsidRPr="00832BB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32BBF">
              <w:rPr>
                <w:rFonts w:ascii="Arial" w:hAnsi="Arial" w:cs="Arial"/>
                <w:b/>
                <w:sz w:val="20"/>
                <w:szCs w:val="20"/>
              </w:rPr>
              <w:t>správa</w:t>
            </w:r>
            <w:proofErr w:type="spellEnd"/>
            <w:r w:rsidRPr="00832BBF">
              <w:rPr>
                <w:rFonts w:ascii="Arial" w:hAnsi="Arial" w:cs="Arial"/>
                <w:b/>
                <w:sz w:val="20"/>
                <w:szCs w:val="20"/>
              </w:rPr>
              <w:t xml:space="preserve">“ </w:t>
            </w:r>
            <w:r w:rsidRPr="00832BBF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Pr="00832BBF">
              <w:rPr>
                <w:rFonts w:ascii="Arial" w:hAnsi="Arial" w:cs="Arial"/>
                <w:sz w:val="20"/>
                <w:szCs w:val="20"/>
              </w:rPr>
              <w:t xml:space="preserve">PO4):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Objem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prostředků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alokovaných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PO4</w:t>
            </w:r>
            <w:r w:rsidRPr="00832BB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představuje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155 mil. EUR,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tj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přibližně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5 % z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celkového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objemu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finančních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prostředků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určených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OPZ.</w:t>
            </w:r>
          </w:p>
          <w:p w14:paraId="65C72A97" w14:textId="4093749B" w:rsidR="004B2CBD" w:rsidRPr="00832BBF" w:rsidRDefault="004B2CBD" w:rsidP="00873080">
            <w:pPr>
              <w:spacing w:after="120"/>
              <w:ind w:left="136" w:right="238"/>
              <w:jc w:val="both"/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</w:pPr>
            <w:r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 xml:space="preserve">Průběžná uzavřená výzva č. </w:t>
            </w:r>
            <w:r w:rsidRPr="00832BBF">
              <w:rPr>
                <w:rFonts w:ascii="Arial" w:eastAsia="Calibri" w:hAnsi="Arial" w:cs="Arial"/>
                <w:b/>
                <w:bCs/>
                <w:sz w:val="20"/>
                <w:szCs w:val="20"/>
                <w:lang w:val="cs-CZ" w:eastAsia="en-US"/>
              </w:rPr>
              <w:t>19</w:t>
            </w:r>
            <w:r w:rsidR="00275159"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 xml:space="preserve"> </w:t>
            </w:r>
            <w:r w:rsidRPr="00832BBF">
              <w:rPr>
                <w:rFonts w:ascii="Arial" w:eastAsia="Calibri" w:hAnsi="Arial" w:cs="Arial"/>
                <w:b/>
                <w:bCs/>
                <w:sz w:val="20"/>
                <w:szCs w:val="20"/>
                <w:lang w:val="cs-CZ" w:eastAsia="en-US"/>
              </w:rPr>
              <w:t>„Výzva pro projekty podporující implementaci Strategického rámce rozvoje veřejné správy ČR pro období 2014–2020“</w:t>
            </w:r>
            <w:r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 xml:space="preserve"> byla ukončena pro příjem žádostí k 31. 12. 2019. V roce 2020 byly vydány poslední 3 právní akty z celkových 23 s finančním </w:t>
            </w:r>
            <w:proofErr w:type="gramStart"/>
            <w:r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>objemem  7</w:t>
            </w:r>
            <w:r w:rsidR="00275159"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>6</w:t>
            </w:r>
            <w:proofErr w:type="gramEnd"/>
            <w:r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 xml:space="preserve"> mil. EUR. Od realizace odstoupil 1 projekt.</w:t>
            </w:r>
          </w:p>
          <w:p w14:paraId="24B9DFEA" w14:textId="2184E2FC" w:rsidR="004B2CBD" w:rsidRPr="00832BBF" w:rsidRDefault="00275159" w:rsidP="00873080">
            <w:pPr>
              <w:spacing w:after="160"/>
              <w:ind w:left="136" w:right="238"/>
              <w:jc w:val="both"/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</w:pPr>
            <w:r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>B</w:t>
            </w:r>
            <w:r w:rsidR="004B2CBD"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 xml:space="preserve">yl ukončen příjem žádostí do výzvy č. </w:t>
            </w:r>
            <w:r w:rsidR="004B2CBD" w:rsidRPr="00832BBF">
              <w:rPr>
                <w:rFonts w:ascii="Arial" w:eastAsia="Calibri" w:hAnsi="Arial" w:cs="Arial"/>
                <w:b/>
                <w:bCs/>
                <w:sz w:val="20"/>
                <w:szCs w:val="20"/>
                <w:lang w:val="cs-CZ" w:eastAsia="en-US"/>
              </w:rPr>
              <w:t>25 „Projekty organizačních složek státu zaměřené na podporu efektivní veřejné správy“</w:t>
            </w:r>
            <w:r w:rsidR="004B2CBD"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>. Z důvodu velkého množství žádostí o podporu, které byly podány na konci lhůty pro podání žádostí a které byly hodnotící komisí vyhodnoceny jako kvalitní a doporučeny ke schválení byla výzva navýšena na 46,6 mil.</w:t>
            </w:r>
            <w:r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 xml:space="preserve"> </w:t>
            </w:r>
            <w:r w:rsidR="004B2CBD"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>EUR.</w:t>
            </w:r>
          </w:p>
          <w:p w14:paraId="09CFCD8E" w14:textId="1520447B" w:rsidR="004B2CBD" w:rsidRPr="00832BBF" w:rsidRDefault="004B2CBD" w:rsidP="00873080">
            <w:pPr>
              <w:spacing w:after="120"/>
              <w:ind w:left="136" w:right="238"/>
              <w:jc w:val="both"/>
              <w:rPr>
                <w:rFonts w:ascii="Arial" w:eastAsia="Times New Roman" w:hAnsi="Arial" w:cs="Arial"/>
                <w:noProof/>
                <w:sz w:val="20"/>
                <w:szCs w:val="20"/>
                <w:lang w:val="cs-CZ" w:eastAsia="cs-CZ"/>
              </w:rPr>
            </w:pPr>
            <w:r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 xml:space="preserve">Realizace projektů ve výzvách </w:t>
            </w:r>
            <w:r w:rsidR="00275159"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 xml:space="preserve">č. </w:t>
            </w:r>
            <w:r w:rsidRPr="00832BBF">
              <w:rPr>
                <w:rFonts w:ascii="Arial" w:eastAsia="Calibri" w:hAnsi="Arial" w:cs="Arial"/>
                <w:b/>
                <w:bCs/>
                <w:sz w:val="20"/>
                <w:szCs w:val="20"/>
                <w:lang w:val="cs-CZ" w:eastAsia="en-US"/>
              </w:rPr>
              <w:t>19</w:t>
            </w:r>
            <w:r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 xml:space="preserve"> a </w:t>
            </w:r>
            <w:r w:rsidRPr="00832BBF">
              <w:rPr>
                <w:rFonts w:ascii="Arial" w:eastAsia="Calibri" w:hAnsi="Arial" w:cs="Arial"/>
                <w:b/>
                <w:bCs/>
                <w:sz w:val="20"/>
                <w:szCs w:val="20"/>
                <w:lang w:val="cs-CZ" w:eastAsia="en-US"/>
              </w:rPr>
              <w:t>25</w:t>
            </w:r>
            <w:r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 xml:space="preserve"> byla v roce 2020 do velké míry ovlivněna pandemickou situací a souvisejícími vládními opatřeními, přičemž největší dopad protiepidemických opatření byl zaznamenám u vzdělávacích projektů.</w:t>
            </w:r>
          </w:p>
          <w:p w14:paraId="5DD789BC" w14:textId="0DAAADF8" w:rsidR="008F616A" w:rsidRDefault="00214E3F" w:rsidP="00873080">
            <w:pPr>
              <w:spacing w:after="120"/>
              <w:ind w:left="136" w:right="2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2BBF">
              <w:rPr>
                <w:rFonts w:ascii="Arial" w:hAnsi="Arial" w:cs="Arial"/>
                <w:sz w:val="20"/>
                <w:szCs w:val="20"/>
              </w:rPr>
              <w:t xml:space="preserve">V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březnu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2020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byly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vyhlášeny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2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výzvy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pro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územní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samosprávné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celky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(ÚSC) a ÚSC – hl. m. Prahu, </w:t>
            </w:r>
            <w:proofErr w:type="spellStart"/>
            <w:r w:rsidRPr="00832BBF">
              <w:rPr>
                <w:rFonts w:ascii="Arial" w:hAnsi="Arial" w:cs="Arial"/>
                <w:bCs/>
                <w:sz w:val="20"/>
                <w:szCs w:val="20"/>
              </w:rPr>
              <w:t>výzva</w:t>
            </w:r>
            <w:proofErr w:type="spellEnd"/>
            <w:r w:rsidRPr="00832BBF">
              <w:rPr>
                <w:rFonts w:ascii="Arial" w:hAnsi="Arial" w:cs="Arial"/>
                <w:b/>
                <w:sz w:val="20"/>
                <w:szCs w:val="20"/>
              </w:rPr>
              <w:t xml:space="preserve"> č.</w:t>
            </w:r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2B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109 </w:t>
            </w:r>
            <w:r w:rsidRPr="00832BBF">
              <w:rPr>
                <w:rFonts w:ascii="Arial" w:hAnsi="Arial" w:cs="Arial"/>
                <w:b/>
                <w:sz w:val="20"/>
                <w:szCs w:val="20"/>
              </w:rPr>
              <w:t>„</w:t>
            </w:r>
            <w:proofErr w:type="spellStart"/>
            <w:r w:rsidRPr="00832BBF">
              <w:rPr>
                <w:rFonts w:ascii="Arial" w:hAnsi="Arial" w:cs="Arial"/>
                <w:b/>
                <w:sz w:val="20"/>
                <w:szCs w:val="20"/>
              </w:rPr>
              <w:t>Výzva</w:t>
            </w:r>
            <w:proofErr w:type="spellEnd"/>
            <w:r w:rsidRPr="00832BBF">
              <w:rPr>
                <w:rFonts w:ascii="Arial" w:hAnsi="Arial" w:cs="Arial"/>
                <w:b/>
                <w:sz w:val="20"/>
                <w:szCs w:val="20"/>
              </w:rPr>
              <w:t xml:space="preserve"> pro </w:t>
            </w:r>
            <w:proofErr w:type="spellStart"/>
            <w:r w:rsidRPr="00832BBF">
              <w:rPr>
                <w:rFonts w:ascii="Arial" w:hAnsi="Arial" w:cs="Arial"/>
                <w:b/>
                <w:sz w:val="20"/>
                <w:szCs w:val="20"/>
              </w:rPr>
              <w:t>územní</w:t>
            </w:r>
            <w:proofErr w:type="spellEnd"/>
            <w:r w:rsidRPr="00832BB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sz w:val="20"/>
                <w:szCs w:val="20"/>
              </w:rPr>
              <w:t>samosprávné</w:t>
            </w:r>
            <w:proofErr w:type="spellEnd"/>
            <w:r w:rsidRPr="00832BB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sz w:val="20"/>
                <w:szCs w:val="20"/>
              </w:rPr>
              <w:t>celky</w:t>
            </w:r>
            <w:proofErr w:type="spellEnd"/>
            <w:r w:rsidRPr="00832BBF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proofErr w:type="spellStart"/>
            <w:r w:rsidRPr="00832BBF">
              <w:rPr>
                <w:rFonts w:ascii="Arial" w:hAnsi="Arial" w:cs="Arial"/>
                <w:b/>
                <w:sz w:val="20"/>
                <w:szCs w:val="20"/>
              </w:rPr>
              <w:t>obce</w:t>
            </w:r>
            <w:proofErr w:type="spellEnd"/>
            <w:r w:rsidRPr="00832BBF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832BBF">
              <w:rPr>
                <w:rFonts w:ascii="Arial" w:hAnsi="Arial" w:cs="Arial"/>
                <w:b/>
                <w:sz w:val="20"/>
                <w:szCs w:val="20"/>
              </w:rPr>
              <w:t>kraje</w:t>
            </w:r>
            <w:proofErr w:type="spellEnd"/>
            <w:r w:rsidRPr="00832BBF">
              <w:rPr>
                <w:rFonts w:ascii="Arial" w:hAnsi="Arial" w:cs="Arial"/>
                <w:b/>
                <w:sz w:val="20"/>
                <w:szCs w:val="20"/>
              </w:rPr>
              <w:t xml:space="preserve"> a </w:t>
            </w:r>
            <w:proofErr w:type="spellStart"/>
            <w:r w:rsidRPr="00832BBF">
              <w:rPr>
                <w:rFonts w:ascii="Arial" w:hAnsi="Arial" w:cs="Arial"/>
                <w:b/>
                <w:sz w:val="20"/>
                <w:szCs w:val="20"/>
              </w:rPr>
              <w:t>sdružení</w:t>
            </w:r>
            <w:proofErr w:type="spellEnd"/>
            <w:r w:rsidRPr="00832BBF">
              <w:rPr>
                <w:rFonts w:ascii="Arial" w:hAnsi="Arial" w:cs="Arial"/>
                <w:b/>
                <w:sz w:val="20"/>
                <w:szCs w:val="20"/>
              </w:rPr>
              <w:t xml:space="preserve"> a </w:t>
            </w:r>
            <w:proofErr w:type="spellStart"/>
            <w:r w:rsidRPr="00832BBF">
              <w:rPr>
                <w:rFonts w:ascii="Arial" w:hAnsi="Arial" w:cs="Arial"/>
                <w:b/>
                <w:sz w:val="20"/>
                <w:szCs w:val="20"/>
              </w:rPr>
              <w:t>asociace</w:t>
            </w:r>
            <w:proofErr w:type="spellEnd"/>
            <w:r w:rsidRPr="00832BB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 w:rsidRPr="00832BBF">
              <w:rPr>
                <w:rFonts w:ascii="Arial" w:hAnsi="Arial" w:cs="Arial"/>
                <w:b/>
                <w:sz w:val="20"/>
                <w:szCs w:val="20"/>
              </w:rPr>
              <w:t>ÚSC)“</w:t>
            </w:r>
            <w:proofErr w:type="gramEnd"/>
            <w:r w:rsidRPr="00832BBF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výzva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2BBF">
              <w:rPr>
                <w:rFonts w:ascii="Arial" w:hAnsi="Arial" w:cs="Arial"/>
                <w:b/>
                <w:sz w:val="20"/>
                <w:szCs w:val="20"/>
              </w:rPr>
              <w:t>č. 120 „</w:t>
            </w:r>
            <w:proofErr w:type="spellStart"/>
            <w:r w:rsidRPr="00832BBF">
              <w:rPr>
                <w:rFonts w:ascii="Arial" w:hAnsi="Arial" w:cs="Arial"/>
                <w:b/>
                <w:sz w:val="20"/>
                <w:szCs w:val="20"/>
              </w:rPr>
              <w:t>Výzva</w:t>
            </w:r>
            <w:proofErr w:type="spellEnd"/>
            <w:r w:rsidRPr="00832BBF">
              <w:rPr>
                <w:rFonts w:ascii="Arial" w:hAnsi="Arial" w:cs="Arial"/>
                <w:b/>
                <w:sz w:val="20"/>
                <w:szCs w:val="20"/>
              </w:rPr>
              <w:t xml:space="preserve"> pro </w:t>
            </w:r>
            <w:proofErr w:type="spellStart"/>
            <w:r w:rsidRPr="00832BBF">
              <w:rPr>
                <w:rFonts w:ascii="Arial" w:hAnsi="Arial" w:cs="Arial"/>
                <w:b/>
                <w:sz w:val="20"/>
                <w:szCs w:val="20"/>
              </w:rPr>
              <w:t>územní</w:t>
            </w:r>
            <w:proofErr w:type="spellEnd"/>
            <w:r w:rsidRPr="00832BB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sz w:val="20"/>
                <w:szCs w:val="20"/>
              </w:rPr>
              <w:t>samosprávné</w:t>
            </w:r>
            <w:proofErr w:type="spellEnd"/>
            <w:r w:rsidRPr="00832BB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b/>
                <w:sz w:val="20"/>
                <w:szCs w:val="20"/>
              </w:rPr>
              <w:t>celky</w:t>
            </w:r>
            <w:proofErr w:type="spellEnd"/>
            <w:r w:rsidRPr="00832BBF">
              <w:rPr>
                <w:rFonts w:ascii="Arial" w:hAnsi="Arial" w:cs="Arial"/>
                <w:b/>
                <w:sz w:val="20"/>
                <w:szCs w:val="20"/>
              </w:rPr>
              <w:t xml:space="preserve"> – hl. m. </w:t>
            </w:r>
            <w:proofErr w:type="gramStart"/>
            <w:r w:rsidRPr="00832BBF">
              <w:rPr>
                <w:rFonts w:ascii="Arial" w:hAnsi="Arial" w:cs="Arial"/>
                <w:b/>
                <w:sz w:val="20"/>
                <w:szCs w:val="20"/>
              </w:rPr>
              <w:t>Praha“</w:t>
            </w:r>
            <w:proofErr w:type="gramEnd"/>
            <w:r w:rsidRPr="00832BBF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8F616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 xml:space="preserve">Alokace výzvy č. </w:t>
            </w:r>
            <w:r w:rsidRPr="00832BBF">
              <w:rPr>
                <w:rFonts w:ascii="Arial" w:eastAsia="Calibri" w:hAnsi="Arial" w:cs="Arial"/>
                <w:b/>
                <w:bCs/>
                <w:sz w:val="20"/>
                <w:szCs w:val="20"/>
                <w:lang w:val="cs-CZ" w:eastAsia="en-US"/>
              </w:rPr>
              <w:t>109</w:t>
            </w:r>
            <w:r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 xml:space="preserve"> byla navýšena na 14,3 mil. EUR Důvodem pro navýšení alokace výzvy jsou výsledky věcného hodnocení, kdy tímto kolem hodnocení úspěšně prošlo 198 projektových žádostí z 210, a zároveň snaha podpořit větší počet kvalitních projektů. Alokace výzvy č. </w:t>
            </w:r>
            <w:r w:rsidRPr="00832BBF">
              <w:rPr>
                <w:rFonts w:ascii="Arial" w:eastAsia="Calibri" w:hAnsi="Arial" w:cs="Arial"/>
                <w:b/>
                <w:bCs/>
                <w:sz w:val="20"/>
                <w:szCs w:val="20"/>
                <w:lang w:val="cs-CZ" w:eastAsia="en-US"/>
              </w:rPr>
              <w:t>120</w:t>
            </w:r>
            <w:r w:rsidRPr="00832BBF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 xml:space="preserve"> je 572 tis. EUR</w:t>
            </w:r>
            <w:r w:rsidR="008F616A">
              <w:rPr>
                <w:rFonts w:ascii="Arial" w:eastAsia="Calibri" w:hAnsi="Arial" w:cs="Arial"/>
                <w:sz w:val="20"/>
                <w:szCs w:val="20"/>
                <w:lang w:val="cs-CZ" w:eastAsia="en-US"/>
              </w:rPr>
              <w:t>.</w:t>
            </w:r>
          </w:p>
          <w:p w14:paraId="19FBE28E" w14:textId="1B4915D7" w:rsidR="00A2351A" w:rsidRPr="008F616A" w:rsidRDefault="00E82F54" w:rsidP="00873080">
            <w:pPr>
              <w:ind w:left="136" w:right="23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Podrobný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přehled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pokroku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PO4 je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uveden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spellStart"/>
            <w:r w:rsidRPr="00832BBF">
              <w:rPr>
                <w:rFonts w:ascii="Arial" w:hAnsi="Arial" w:cs="Arial"/>
                <w:sz w:val="20"/>
                <w:szCs w:val="20"/>
              </w:rPr>
              <w:t>příloze</w:t>
            </w:r>
            <w:proofErr w:type="spellEnd"/>
            <w:r w:rsidRPr="00832BBF">
              <w:rPr>
                <w:rFonts w:ascii="Arial" w:hAnsi="Arial" w:cs="Arial"/>
                <w:sz w:val="20"/>
                <w:szCs w:val="20"/>
              </w:rPr>
              <w:t xml:space="preserve"> č. 1.</w:t>
            </w:r>
          </w:p>
        </w:tc>
      </w:tr>
      <w:tr w:rsidR="00A2351A" w14:paraId="37FFB02E" w14:textId="77777777" w:rsidTr="00BD267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C0BE8F" w14:textId="77777777" w:rsidR="00A2351A" w:rsidRDefault="002D5C25">
            <w:pPr>
              <w:spacing w:before="120"/>
              <w:ind w:left="57" w:right="57"/>
              <w:jc w:val="both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03.5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5B75A7" w14:textId="77777777" w:rsidR="00A2351A" w:rsidRDefault="002D5C25">
            <w:pPr>
              <w:spacing w:before="120"/>
              <w:ind w:left="57" w:right="57"/>
              <w:jc w:val="both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Technická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pomoc</w:t>
            </w:r>
            <w:proofErr w:type="spellEnd"/>
          </w:p>
        </w:tc>
        <w:tc>
          <w:tcPr>
            <w:tcW w:w="9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38D292" w14:textId="2C3E9894" w:rsidR="00720080" w:rsidRPr="00832BBF" w:rsidRDefault="00720080" w:rsidP="00873080">
            <w:pPr>
              <w:spacing w:after="120"/>
              <w:ind w:left="136" w:right="238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832BBF">
              <w:rPr>
                <w:rFonts w:ascii="Arial" w:eastAsia="Arial" w:hAnsi="Arial" w:cs="Arial"/>
                <w:b/>
                <w:sz w:val="20"/>
                <w:szCs w:val="20"/>
              </w:rPr>
              <w:t>Prioritní</w:t>
            </w:r>
            <w:proofErr w:type="spellEnd"/>
            <w:r w:rsidRPr="00832BBF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b/>
                <w:sz w:val="20"/>
                <w:szCs w:val="20"/>
              </w:rPr>
              <w:t>osa</w:t>
            </w:r>
            <w:proofErr w:type="spellEnd"/>
            <w:r w:rsidRPr="00832BBF">
              <w:rPr>
                <w:rFonts w:ascii="Arial" w:eastAsia="Arial" w:hAnsi="Arial" w:cs="Arial"/>
                <w:b/>
                <w:sz w:val="20"/>
                <w:szCs w:val="20"/>
              </w:rPr>
              <w:t xml:space="preserve"> 5 „</w:t>
            </w:r>
            <w:proofErr w:type="spellStart"/>
            <w:r w:rsidRPr="00832BBF">
              <w:rPr>
                <w:rFonts w:ascii="Arial" w:eastAsia="Arial" w:hAnsi="Arial" w:cs="Arial"/>
                <w:b/>
                <w:sz w:val="20"/>
                <w:szCs w:val="20"/>
              </w:rPr>
              <w:t>Technická</w:t>
            </w:r>
            <w:proofErr w:type="spellEnd"/>
            <w:r w:rsidRPr="00832BBF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32BBF">
              <w:rPr>
                <w:rFonts w:ascii="Arial" w:eastAsia="Arial" w:hAnsi="Arial" w:cs="Arial"/>
                <w:b/>
                <w:sz w:val="20"/>
                <w:szCs w:val="20"/>
              </w:rPr>
              <w:t>pomoc</w:t>
            </w:r>
            <w:proofErr w:type="spellEnd"/>
            <w:r w:rsidRPr="00832BBF">
              <w:rPr>
                <w:rFonts w:ascii="Arial" w:eastAsia="Arial" w:hAnsi="Arial" w:cs="Arial"/>
                <w:b/>
                <w:sz w:val="20"/>
                <w:szCs w:val="20"/>
              </w:rPr>
              <w:t>“ (</w:t>
            </w:r>
            <w:proofErr w:type="gramEnd"/>
            <w:r w:rsidRPr="00832BBF">
              <w:rPr>
                <w:rFonts w:ascii="Arial" w:eastAsia="Arial" w:hAnsi="Arial" w:cs="Arial"/>
                <w:b/>
                <w:sz w:val="20"/>
                <w:szCs w:val="20"/>
              </w:rPr>
              <w:t xml:space="preserve">PO5):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Poskytování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technické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pomoci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je v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souladu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s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článkem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59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obecného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nařízení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zaměřeno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na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podporu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řízení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a 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implementace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OPZ a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představuje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113 mil. EUR,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tj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>. 4 % z 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celkového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finančního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sz w:val="20"/>
                <w:szCs w:val="20"/>
              </w:rPr>
              <w:t>objemu</w:t>
            </w:r>
            <w:proofErr w:type="spellEnd"/>
            <w:r w:rsidRPr="00832BBF">
              <w:rPr>
                <w:rFonts w:ascii="Arial" w:eastAsia="Arial" w:hAnsi="Arial" w:cs="Arial"/>
                <w:sz w:val="20"/>
                <w:szCs w:val="20"/>
              </w:rPr>
              <w:t xml:space="preserve"> OPZ.</w:t>
            </w:r>
          </w:p>
          <w:p w14:paraId="26705C68" w14:textId="2DC38577" w:rsidR="004E3950" w:rsidRPr="00832BBF" w:rsidRDefault="007D448D" w:rsidP="00873080">
            <w:pPr>
              <w:spacing w:after="120"/>
              <w:ind w:left="136" w:right="238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Během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roku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2020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došlo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k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navýšení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alokace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na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TP OPZ</w:t>
            </w:r>
            <w:r w:rsidR="00A768D3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a to z </w:t>
            </w:r>
            <w:proofErr w:type="spellStart"/>
            <w:r w:rsidR="00A768D3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důvodu</w:t>
            </w:r>
            <w:proofErr w:type="spellEnd"/>
            <w:r w:rsidR="00A768D3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768D3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celkového</w:t>
            </w:r>
            <w:proofErr w:type="spellEnd"/>
            <w:r w:rsidR="00A768D3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768D3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navýšení</w:t>
            </w:r>
            <w:proofErr w:type="spellEnd"/>
            <w:r w:rsidR="00A768D3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768D3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alokace</w:t>
            </w:r>
            <w:proofErr w:type="spellEnd"/>
            <w:r w:rsidR="00A768D3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OPZ </w:t>
            </w:r>
            <w:proofErr w:type="spellStart"/>
            <w:r w:rsidR="00A768D3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převodem</w:t>
            </w:r>
            <w:proofErr w:type="spellEnd"/>
            <w:r w:rsidR="00A768D3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768D3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finančních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prostředků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A768D3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z </w:t>
            </w:r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OP PIK. </w:t>
            </w:r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V 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rámci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TP OPZ 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pokračovala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realizace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6 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projektů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schválených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v 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roce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2016, v 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celkovém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objemu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1</w:t>
            </w:r>
            <w:r w:rsidR="00C87ABB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13</w:t>
            </w:r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mil. EUR</w:t>
            </w:r>
            <w:r w:rsidR="0072008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 w:rsidR="00814E73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Vzhledem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k 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tomu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že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přidělená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alokace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na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PO5 je 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již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alokována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ve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stávajících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schválených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projektech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v 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rámci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průběžné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výzvy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č. </w:t>
            </w:r>
            <w:r w:rsidR="004E3950" w:rsidRPr="00832BBF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4E3950" w:rsidRPr="00832BBF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„</w:t>
            </w:r>
            <w:proofErr w:type="spellStart"/>
            <w:r w:rsidR="004E3950" w:rsidRPr="00832BBF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Projekty</w:t>
            </w:r>
            <w:proofErr w:type="spellEnd"/>
            <w:r w:rsidR="004E3950" w:rsidRPr="00832BBF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E3950" w:rsidRPr="00832BBF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technické</w:t>
            </w:r>
            <w:proofErr w:type="spellEnd"/>
            <w:r w:rsidR="004E3950" w:rsidRPr="00832BBF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4E3950" w:rsidRPr="00832BBF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pomoci</w:t>
            </w:r>
            <w:proofErr w:type="spellEnd"/>
            <w:r w:rsidR="004E3950" w:rsidRPr="00832BBF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“</w:t>
            </w:r>
            <w:proofErr w:type="gram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nebyl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v</w:t>
            </w:r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roce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2020 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předložen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další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projekt</w:t>
            </w:r>
            <w:proofErr w:type="spellEnd"/>
            <w:r w:rsidR="004E3950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  <w:p w14:paraId="4BBD4B54" w14:textId="1791333D" w:rsidR="00A2351A" w:rsidRPr="00832BBF" w:rsidRDefault="004E3950" w:rsidP="00873080">
            <w:pPr>
              <w:ind w:left="136" w:right="238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Realizované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projekty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jsou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zaměřeny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především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na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tyto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aktivity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úhradu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osobních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nákladů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zaměstnanců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kteří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realizují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úkoly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spojené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implementací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OPZ;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zajištění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věcného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hodnocení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výběr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projektů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OPZ;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organizační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zajištění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monitorovacích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výborů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OPZ,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financování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provozních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nákladů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spojených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implementac</w:t>
            </w:r>
            <w:r w:rsidR="00A768D3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í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OPZ;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zajištění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768D3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odborného</w:t>
            </w:r>
            <w:proofErr w:type="spellEnd"/>
            <w:r w:rsidR="00A768D3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768D3"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rozvoje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zaměstnanců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řídicího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orgánu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OPZ;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financování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publicitních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komunikačních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aktivit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zpracování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evaluací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analýz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odborných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>studií</w:t>
            </w:r>
            <w:proofErr w:type="spellEnd"/>
            <w:r w:rsidRPr="00832BB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pro OPZ.</w:t>
            </w:r>
          </w:p>
        </w:tc>
      </w:tr>
    </w:tbl>
    <w:p w14:paraId="78C6486A" w14:textId="77777777" w:rsidR="000B77CA" w:rsidRDefault="000B77CA" w:rsidP="009744BB">
      <w:pPr>
        <w:spacing w:line="276" w:lineRule="auto"/>
        <w:ind w:right="105"/>
        <w:rPr>
          <w:rFonts w:ascii="Calibri" w:eastAsia="Calibri" w:hAnsi="Calibri" w:cs="Calibri"/>
          <w:color w:val="000000"/>
        </w:rPr>
      </w:pPr>
    </w:p>
    <w:p w14:paraId="38B6C3B9" w14:textId="77777777" w:rsidR="00A2351A" w:rsidRDefault="002D5C25" w:rsidP="009744BB">
      <w:pPr>
        <w:keepLines/>
        <w:ind w:left="111" w:right="105"/>
        <w:rPr>
          <w:rFonts w:ascii="Arial" w:eastAsia="Arial" w:hAnsi="Arial" w:cs="Arial"/>
          <w:color w:val="000000"/>
          <w:sz w:val="16"/>
        </w:rPr>
      </w:pPr>
      <w:r>
        <w:rPr>
          <w:rFonts w:ascii="Arial" w:eastAsia="Arial" w:hAnsi="Arial" w:cs="Arial"/>
          <w:color w:val="000000"/>
          <w:sz w:val="16"/>
        </w:rPr>
        <w:t>----------------------------------------------------</w:t>
      </w:r>
    </w:p>
    <w:p w14:paraId="567F633A" w14:textId="77777777" w:rsidR="00A2351A" w:rsidRDefault="002D5C25">
      <w:pPr>
        <w:keepLines/>
        <w:spacing w:line="276" w:lineRule="auto"/>
        <w:ind w:left="111" w:right="105"/>
        <w:rPr>
          <w:rFonts w:ascii="Arial" w:eastAsia="Arial" w:hAnsi="Arial" w:cs="Arial"/>
          <w:color w:val="000000"/>
          <w:sz w:val="16"/>
        </w:rPr>
      </w:pPr>
      <w:r>
        <w:rPr>
          <w:rFonts w:ascii="Arial" w:eastAsia="Arial" w:hAnsi="Arial" w:cs="Arial"/>
          <w:color w:val="000000"/>
          <w:sz w:val="16"/>
        </w:rPr>
        <w:t xml:space="preserve">1 - </w:t>
      </w:r>
      <w:proofErr w:type="spellStart"/>
      <w:r>
        <w:rPr>
          <w:rFonts w:ascii="Arial" w:eastAsia="Arial" w:hAnsi="Arial" w:cs="Arial"/>
          <w:color w:val="000000"/>
          <w:sz w:val="16"/>
        </w:rPr>
        <w:t>Strukturované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údaje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požadované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>
        <w:rPr>
          <w:rFonts w:ascii="Arial" w:eastAsia="Arial" w:hAnsi="Arial" w:cs="Arial"/>
          <w:color w:val="000000"/>
          <w:sz w:val="16"/>
        </w:rPr>
        <w:t>zprávu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o YEI, </w:t>
      </w:r>
      <w:proofErr w:type="spellStart"/>
      <w:r>
        <w:rPr>
          <w:rFonts w:ascii="Arial" w:eastAsia="Arial" w:hAnsi="Arial" w:cs="Arial"/>
          <w:color w:val="000000"/>
          <w:sz w:val="16"/>
        </w:rPr>
        <w:t>která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má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být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předložena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>
        <w:rPr>
          <w:rFonts w:ascii="Arial" w:eastAsia="Arial" w:hAnsi="Arial" w:cs="Arial"/>
          <w:color w:val="000000"/>
          <w:sz w:val="16"/>
        </w:rPr>
        <w:t>dubnu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 2015 v </w:t>
      </w:r>
      <w:proofErr w:type="spellStart"/>
      <w:r>
        <w:rPr>
          <w:rFonts w:ascii="Arial" w:eastAsia="Arial" w:hAnsi="Arial" w:cs="Arial"/>
          <w:color w:val="000000"/>
          <w:sz w:val="16"/>
        </w:rPr>
        <w:t>souladu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s </w:t>
      </w:r>
      <w:proofErr w:type="spellStart"/>
      <w:r>
        <w:rPr>
          <w:rFonts w:ascii="Arial" w:eastAsia="Arial" w:hAnsi="Arial" w:cs="Arial"/>
          <w:color w:val="000000"/>
          <w:sz w:val="16"/>
        </w:rPr>
        <w:t>čl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. 19 </w:t>
      </w:r>
      <w:proofErr w:type="spellStart"/>
      <w:r>
        <w:rPr>
          <w:rFonts w:ascii="Arial" w:eastAsia="Arial" w:hAnsi="Arial" w:cs="Arial"/>
          <w:color w:val="000000"/>
          <w:sz w:val="16"/>
        </w:rPr>
        <w:t>odst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. 3 a </w:t>
      </w:r>
      <w:proofErr w:type="spellStart"/>
      <w:r>
        <w:rPr>
          <w:rFonts w:ascii="Arial" w:eastAsia="Arial" w:hAnsi="Arial" w:cs="Arial"/>
          <w:color w:val="000000"/>
          <w:sz w:val="16"/>
        </w:rPr>
        <w:t>přílohou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 II </w:t>
      </w:r>
      <w:proofErr w:type="spellStart"/>
      <w:r>
        <w:rPr>
          <w:rFonts w:ascii="Arial" w:eastAsia="Arial" w:hAnsi="Arial" w:cs="Arial"/>
          <w:color w:val="000000"/>
          <w:sz w:val="16"/>
        </w:rPr>
        <w:t>nařízení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(EU) č. 1304/2013. </w:t>
      </w:r>
      <w:proofErr w:type="spellStart"/>
      <w:r>
        <w:rPr>
          <w:rFonts w:ascii="Arial" w:eastAsia="Arial" w:hAnsi="Arial" w:cs="Arial"/>
          <w:color w:val="000000"/>
          <w:sz w:val="16"/>
        </w:rPr>
        <w:t>Pokud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se v </w:t>
      </w:r>
      <w:proofErr w:type="spellStart"/>
      <w:r>
        <w:rPr>
          <w:rFonts w:ascii="Arial" w:eastAsia="Arial" w:hAnsi="Arial" w:cs="Arial"/>
          <w:color w:val="000000"/>
          <w:sz w:val="16"/>
        </w:rPr>
        <w:t>rámci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prioritní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osy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provádí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YEI, </w:t>
      </w:r>
      <w:proofErr w:type="spellStart"/>
      <w:r>
        <w:rPr>
          <w:rFonts w:ascii="Arial" w:eastAsia="Arial" w:hAnsi="Arial" w:cs="Arial"/>
          <w:color w:val="000000"/>
          <w:sz w:val="16"/>
        </w:rPr>
        <w:t>měla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by </w:t>
      </w:r>
      <w:proofErr w:type="spellStart"/>
      <w:r>
        <w:rPr>
          <w:rFonts w:ascii="Arial" w:eastAsia="Arial" w:hAnsi="Arial" w:cs="Arial"/>
          <w:color w:val="000000"/>
          <w:sz w:val="16"/>
        </w:rPr>
        <w:t>zpráva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být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rozdělena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na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část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týkající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se YEI a </w:t>
      </w:r>
      <w:proofErr w:type="spellStart"/>
      <w:r>
        <w:rPr>
          <w:rFonts w:ascii="Arial" w:eastAsia="Arial" w:hAnsi="Arial" w:cs="Arial"/>
          <w:color w:val="000000"/>
          <w:sz w:val="16"/>
        </w:rPr>
        <w:t>část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věnovanou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prioritní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ose</w:t>
      </w:r>
      <w:proofErr w:type="spellEnd"/>
      <w:r>
        <w:rPr>
          <w:rFonts w:ascii="Arial" w:eastAsia="Arial" w:hAnsi="Arial" w:cs="Arial"/>
          <w:color w:val="000000"/>
          <w:sz w:val="16"/>
        </w:rPr>
        <w:t>.</w:t>
      </w:r>
    </w:p>
    <w:p w14:paraId="7916083E" w14:textId="78ADEA84" w:rsidR="00A2351A" w:rsidRPr="009744BB" w:rsidRDefault="002D5C25" w:rsidP="009744BB">
      <w:pPr>
        <w:keepLines/>
        <w:ind w:left="111" w:right="105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6"/>
        </w:rPr>
        <w:t xml:space="preserve">2 - </w:t>
      </w:r>
      <w:proofErr w:type="spellStart"/>
      <w:r>
        <w:rPr>
          <w:rFonts w:ascii="Arial" w:eastAsia="Arial" w:hAnsi="Arial" w:cs="Arial"/>
          <w:color w:val="000000"/>
          <w:sz w:val="16"/>
        </w:rPr>
        <w:t>Strukturované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údaje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požadované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>
        <w:rPr>
          <w:rFonts w:ascii="Arial" w:eastAsia="Arial" w:hAnsi="Arial" w:cs="Arial"/>
          <w:color w:val="000000"/>
          <w:sz w:val="16"/>
        </w:rPr>
        <w:t>zprávu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o YEI, </w:t>
      </w:r>
      <w:proofErr w:type="spellStart"/>
      <w:r>
        <w:rPr>
          <w:rFonts w:ascii="Arial" w:eastAsia="Arial" w:hAnsi="Arial" w:cs="Arial"/>
          <w:color w:val="000000"/>
          <w:sz w:val="16"/>
        </w:rPr>
        <w:t>která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má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být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předložena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>
        <w:rPr>
          <w:rFonts w:ascii="Arial" w:eastAsia="Arial" w:hAnsi="Arial" w:cs="Arial"/>
          <w:color w:val="000000"/>
          <w:sz w:val="16"/>
        </w:rPr>
        <w:t>dubnu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 2015 v </w:t>
      </w:r>
      <w:proofErr w:type="spellStart"/>
      <w:r>
        <w:rPr>
          <w:rFonts w:ascii="Arial" w:eastAsia="Arial" w:hAnsi="Arial" w:cs="Arial"/>
          <w:color w:val="000000"/>
          <w:sz w:val="16"/>
        </w:rPr>
        <w:t>souladu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s </w:t>
      </w:r>
      <w:proofErr w:type="spellStart"/>
      <w:r>
        <w:rPr>
          <w:rFonts w:ascii="Arial" w:eastAsia="Arial" w:hAnsi="Arial" w:cs="Arial"/>
          <w:color w:val="000000"/>
          <w:sz w:val="16"/>
        </w:rPr>
        <w:t>čl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. 19 </w:t>
      </w:r>
      <w:proofErr w:type="spellStart"/>
      <w:r>
        <w:rPr>
          <w:rFonts w:ascii="Arial" w:eastAsia="Arial" w:hAnsi="Arial" w:cs="Arial"/>
          <w:color w:val="000000"/>
          <w:sz w:val="16"/>
        </w:rPr>
        <w:t>odst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. 3 a </w:t>
      </w:r>
      <w:proofErr w:type="spellStart"/>
      <w:r>
        <w:rPr>
          <w:rFonts w:ascii="Arial" w:eastAsia="Arial" w:hAnsi="Arial" w:cs="Arial"/>
          <w:color w:val="000000"/>
          <w:sz w:val="16"/>
        </w:rPr>
        <w:t>přílohou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 II </w:t>
      </w:r>
      <w:proofErr w:type="spellStart"/>
      <w:r>
        <w:rPr>
          <w:rFonts w:ascii="Arial" w:eastAsia="Arial" w:hAnsi="Arial" w:cs="Arial"/>
          <w:color w:val="000000"/>
          <w:sz w:val="16"/>
        </w:rPr>
        <w:t>nařízení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(EU) č. 1304/2013.</w:t>
      </w:r>
      <w:r>
        <w:rPr>
          <w:rFonts w:ascii="Arial" w:eastAsia="Arial" w:hAnsi="Arial" w:cs="Arial"/>
          <w:color w:val="000000"/>
          <w:sz w:val="18"/>
        </w:rPr>
        <w:t xml:space="preserve"> </w:t>
      </w:r>
    </w:p>
    <w:p w14:paraId="5D472B62" w14:textId="77777777" w:rsidR="00A2351A" w:rsidRDefault="00A2351A">
      <w:pPr>
        <w:sectPr w:rsidR="00A2351A" w:rsidSect="00330287">
          <w:footerReference w:type="default" r:id="rId19"/>
          <w:pgSz w:w="11900" w:h="16820"/>
          <w:pgMar w:top="1120" w:right="843" w:bottom="1000" w:left="993" w:header="709" w:footer="709" w:gutter="0"/>
          <w:pgNumType w:start="1"/>
          <w:cols w:space="720"/>
          <w:noEndnote/>
        </w:sectPr>
      </w:pPr>
    </w:p>
    <w:p w14:paraId="4FF1C6B8" w14:textId="77777777" w:rsidR="005C2EC2" w:rsidRDefault="005C2EC2" w:rsidP="005C2EC2">
      <w:pPr>
        <w:pStyle w:val="Nadpis2"/>
        <w:rPr>
          <w:i/>
          <w:iCs/>
          <w:sz w:val="13"/>
        </w:rPr>
      </w:pPr>
      <w:bookmarkStart w:id="15" w:name="_Toc66814534"/>
      <w:proofErr w:type="spellStart"/>
      <w:r>
        <w:lastRenderedPageBreak/>
        <w:t>Společné</w:t>
      </w:r>
      <w:proofErr w:type="spellEnd"/>
      <w:r>
        <w:t xml:space="preserve"> </w:t>
      </w:r>
      <w:proofErr w:type="spellStart"/>
      <w:r>
        <w:t>indikátory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indikátory</w:t>
      </w:r>
      <w:proofErr w:type="spellEnd"/>
      <w:r>
        <w:t xml:space="preserve"> </w:t>
      </w:r>
      <w:proofErr w:type="spellStart"/>
      <w:r>
        <w:t>specifické</w:t>
      </w:r>
      <w:proofErr w:type="spellEnd"/>
      <w:r>
        <w:t xml:space="preserve"> pro </w:t>
      </w:r>
      <w:proofErr w:type="spellStart"/>
      <w:r>
        <w:t>jednotlivé</w:t>
      </w:r>
      <w:proofErr w:type="spellEnd"/>
      <w:r>
        <w:t xml:space="preserve"> </w:t>
      </w:r>
      <w:proofErr w:type="spellStart"/>
      <w:r>
        <w:t>programy</w:t>
      </w:r>
      <w:proofErr w:type="spellEnd"/>
      <w:r>
        <w:t xml:space="preserve"> (</w:t>
      </w:r>
      <w:proofErr w:type="spellStart"/>
      <w:r>
        <w:t>čl</w:t>
      </w:r>
      <w:proofErr w:type="spellEnd"/>
      <w:r>
        <w:t xml:space="preserve">. 50 </w:t>
      </w:r>
      <w:proofErr w:type="spellStart"/>
      <w:r>
        <w:t>odst</w:t>
      </w:r>
      <w:proofErr w:type="spellEnd"/>
      <w:r>
        <w:t xml:space="preserve">. 2 </w:t>
      </w:r>
      <w:proofErr w:type="spellStart"/>
      <w:r>
        <w:t>nařízení</w:t>
      </w:r>
      <w:proofErr w:type="spellEnd"/>
      <w:r>
        <w:t xml:space="preserve"> (EU) č. 1303/</w:t>
      </w:r>
      <w:proofErr w:type="gramStart"/>
      <w:r>
        <w:t>2013</w:t>
      </w:r>
      <w:r>
        <w:rPr>
          <w:i/>
          <w:iCs/>
        </w:rPr>
        <w:t>)</w:t>
      </w:r>
      <w:r>
        <w:rPr>
          <w:i/>
          <w:iCs/>
          <w:sz w:val="13"/>
          <w:vertAlign w:val="superscript"/>
        </w:rPr>
        <w:t>(</w:t>
      </w:r>
      <w:proofErr w:type="gramEnd"/>
      <w:r>
        <w:rPr>
          <w:i/>
          <w:iCs/>
          <w:sz w:val="13"/>
          <w:vertAlign w:val="superscript"/>
        </w:rPr>
        <w:t>2)</w:t>
      </w:r>
      <w:bookmarkEnd w:id="15"/>
    </w:p>
    <w:p w14:paraId="59DF25A4" w14:textId="77777777" w:rsidR="003C2AA4" w:rsidRPr="003C2AA4" w:rsidRDefault="003C2AA4" w:rsidP="003C2AA4">
      <w:pPr>
        <w:tabs>
          <w:tab w:val="left" w:pos="1675"/>
        </w:tabs>
        <w:ind w:left="115" w:right="670"/>
        <w:rPr>
          <w:rFonts w:ascii="Arial" w:eastAsia="Arial" w:hAnsi="Arial" w:cs="Arial"/>
          <w:b/>
          <w:bCs/>
          <w:i/>
          <w:iCs/>
          <w:color w:val="000000"/>
          <w:sz w:val="16"/>
        </w:rPr>
      </w:pP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Tabulka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2A: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Společné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indikátory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výsledků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pro ESF (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podle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prioritních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os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investičních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priorit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kategorií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regionů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).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Údaje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o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všech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společných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indikátorech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výsledků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pro ESF (s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cílem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a bez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cíle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) je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nutno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uvést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v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rozdělení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podle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pohlaví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. V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případě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prioritní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osy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„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technická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proofErr w:type="gram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pomoc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“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jsou</w:t>
      </w:r>
      <w:proofErr w:type="spellEnd"/>
      <w:proofErr w:type="gram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vykázány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pouze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ty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společné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indikátory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, pro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něž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byl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stanoven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cíl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.</w:t>
      </w:r>
      <w:r w:rsidRPr="003C2AA4">
        <w:rPr>
          <w:rFonts w:ascii="Arial" w:eastAsia="Arial" w:hAnsi="Arial" w:cs="Arial"/>
          <w:b/>
          <w:bCs/>
          <w:i/>
          <w:iCs/>
          <w:color w:val="000000"/>
          <w:sz w:val="16"/>
        </w:rPr>
        <w:t xml:space="preserve"> (4)</w:t>
      </w:r>
    </w:p>
    <w:p w14:paraId="60B3E130" w14:textId="77777777" w:rsidR="003C2AA4" w:rsidRP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</w:p>
    <w:p w14:paraId="6FD2DBC1" w14:textId="77FF816A" w:rsid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03.1.48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Přístup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k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osoby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hledající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neaktivní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osoby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dlouhodobě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nezaměstnaných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gramStart"/>
      <w:r w:rsidRPr="003C2AA4">
        <w:rPr>
          <w:rFonts w:ascii="Arial" w:eastAsia="Arial" w:hAnsi="Arial" w:cs="Arial"/>
          <w:color w:val="000000"/>
          <w:sz w:val="20"/>
        </w:rPr>
        <w:t>a</w:t>
      </w:r>
      <w:proofErr w:type="gram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osob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vzdálených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trhu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také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prostřednictvím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místních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iniciativ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podporu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zaměstnanosti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mobility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pracovníků</w:t>
      </w:r>
      <w:proofErr w:type="spellEnd"/>
    </w:p>
    <w:tbl>
      <w:tblPr>
        <w:tblW w:w="159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7"/>
        <w:gridCol w:w="2556"/>
        <w:gridCol w:w="961"/>
        <w:gridCol w:w="2167"/>
        <w:gridCol w:w="780"/>
        <w:gridCol w:w="887"/>
        <w:gridCol w:w="491"/>
        <w:gridCol w:w="491"/>
        <w:gridCol w:w="491"/>
        <w:gridCol w:w="647"/>
        <w:gridCol w:w="755"/>
        <w:gridCol w:w="685"/>
        <w:gridCol w:w="669"/>
        <w:gridCol w:w="482"/>
        <w:gridCol w:w="482"/>
        <w:gridCol w:w="485"/>
        <w:gridCol w:w="1004"/>
        <w:gridCol w:w="957"/>
      </w:tblGrid>
      <w:tr w:rsidR="00014F91" w:rsidRPr="00014F91" w14:paraId="4D02108D" w14:textId="77777777" w:rsidTr="00D1537E">
        <w:trPr>
          <w:trHeight w:val="744"/>
          <w:tblHeader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2C817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2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FB77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C74A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5186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Společný indikátor výstupů použitý jako základ pro stanovení cíle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3743F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 pro výchozí hodnotu a cíl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F6462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 (Rozdělení podle pohlaví je pro cíl nepovinné)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AF918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B9FF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67941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671C8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7BDDA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B36E1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11AF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2609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21B4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DC8BC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C609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C3D22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 Rozdělení podle pohlaví je nepovinné</w:t>
            </w:r>
          </w:p>
        </w:tc>
      </w:tr>
      <w:tr w:rsidR="00014F91" w:rsidRPr="00014F91" w14:paraId="59626693" w14:textId="77777777" w:rsidTr="00D1537E">
        <w:trPr>
          <w:trHeight w:val="212"/>
          <w:tblHeader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1CAD6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0F56DF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848EC3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65C274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E1C064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EBDE1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E73CD4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4D90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4D37CD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060C6541" w14:textId="77777777" w:rsidTr="00D1537E">
        <w:trPr>
          <w:trHeight w:val="364"/>
          <w:tblHeader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05EA99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05B737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28556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D1EB3E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A6970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BC535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3BB8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0E42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E31A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3036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78AAC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F901E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8D27A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444D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F75F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C73A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0D0D0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7A61C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30638E06" w14:textId="77777777" w:rsidTr="00D1537E">
        <w:trPr>
          <w:trHeight w:val="364"/>
          <w:tblHeader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95235D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A7BD5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ED5412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BF317E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DAB1BF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E1D9B6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9CF1F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8DFD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DF75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35FE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0460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AC12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F62C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C256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3A99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0C38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ABE4B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3507D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02E08E7B" w14:textId="77777777" w:rsidTr="00014F91">
        <w:trPr>
          <w:trHeight w:val="242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420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62400/CR01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D520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Neaktivní účastníci, kteří znovu začali hledat zaměstnání po ukončení své účasti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571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0B6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60300 Neaktivní účastníci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562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CBE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3 334,000</w:t>
            </w:r>
          </w:p>
        </w:tc>
        <w:tc>
          <w:tcPr>
            <w:tcW w:w="56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C3CCBD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192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476,000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B79E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14,277%</w:t>
            </w:r>
            <w:proofErr w:type="gramEnd"/>
          </w:p>
        </w:tc>
      </w:tr>
      <w:tr w:rsidR="00014F91" w:rsidRPr="00014F91" w14:paraId="5BFEBC80" w14:textId="77777777" w:rsidTr="00014F91">
        <w:trPr>
          <w:trHeight w:val="288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6A5F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94E0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91FDA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BC336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DB4F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33AF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350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07B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7CC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AE09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5D61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322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0CE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169,000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6EFE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5A8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911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BAA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169,000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690D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24DC8BEB" w14:textId="77777777" w:rsidTr="00014F91">
        <w:trPr>
          <w:trHeight w:val="288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92702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4CF4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F1759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A148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248A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8E3D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96E0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F8C0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3E2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7FB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348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80E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86D0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307,000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34C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A51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EFB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93E9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307,000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41D03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718D19B2" w14:textId="77777777" w:rsidTr="00014F91">
        <w:trPr>
          <w:trHeight w:val="242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7EF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62400/CR01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1709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Neaktivní účastníci, kteří znovu začali hledat zaměstnání po ukončení své účasti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826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2E0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60300 Neaktivní účastníci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45E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028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166,000</w:t>
            </w:r>
          </w:p>
        </w:tc>
        <w:tc>
          <w:tcPr>
            <w:tcW w:w="56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E659FE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4F8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12,000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290E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7,229%</w:t>
            </w:r>
            <w:proofErr w:type="gramEnd"/>
          </w:p>
        </w:tc>
      </w:tr>
      <w:tr w:rsidR="00014F91" w:rsidRPr="00014F91" w14:paraId="3F261E7B" w14:textId="77777777" w:rsidTr="00014F91">
        <w:trPr>
          <w:trHeight w:val="288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1FBB9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BBE4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6ECB3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778DC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78C2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185AC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8CD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996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06B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06FB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AC14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CB8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EFF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3464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EBD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2A73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A1B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77633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73772CD9" w14:textId="77777777" w:rsidTr="00014F91">
        <w:trPr>
          <w:trHeight w:val="288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6C24E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1ACE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E3101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ECBA4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284D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FFB09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E5F9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E23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8309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C5F4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F110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C761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D7B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E65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392E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7B42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4A1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0089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3DE7537C" w14:textId="77777777" w:rsidTr="00014F91">
        <w:trPr>
          <w:trHeight w:val="242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7B6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62600/CR03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7D2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kteří získali kvalifikaci po ukončení své účasti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283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9FCB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nezaměstnaných, 60500 Zaměstnaní, včetně OSVČ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16C9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FB2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63 500,000</w:t>
            </w:r>
          </w:p>
        </w:tc>
        <w:tc>
          <w:tcPr>
            <w:tcW w:w="56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D3E635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3589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42 393,000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A04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66,761%</w:t>
            </w:r>
            <w:proofErr w:type="gramEnd"/>
          </w:p>
        </w:tc>
      </w:tr>
      <w:tr w:rsidR="00014F91" w:rsidRPr="00014F91" w14:paraId="6D28C231" w14:textId="77777777" w:rsidTr="00014F91">
        <w:trPr>
          <w:trHeight w:val="303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A87A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2CFB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D73BE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20FA9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3A09D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90DC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180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C01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6D1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649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361,000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7DEC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8 470,000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9EE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5 260,000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1E95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2 687,000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2B91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183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281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6CAD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16 780,000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12A19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2CFA55D1" w14:textId="77777777" w:rsidTr="00014F91">
        <w:trPr>
          <w:trHeight w:val="242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AECC1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D82C4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67F4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E5DC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F721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194A1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AE8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084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4AE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EBDC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634,000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AC7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12 265,000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743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8 137,000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CB1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4 574,000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BC1B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26DD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D3A2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007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25 613,000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9E3F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60FB2293" w14:textId="77777777" w:rsidTr="00014F91">
        <w:trPr>
          <w:trHeight w:val="242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EE6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62600/CR03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614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kteří získali kvalifikaci po ukončení své účasti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C10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EB94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nezaměstnaných, 60500 Zaměstnaní, včetně OSVČ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DE4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DD7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3 141,000</w:t>
            </w:r>
          </w:p>
        </w:tc>
        <w:tc>
          <w:tcPr>
            <w:tcW w:w="56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7C4892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8F76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2 394,000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83FF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76,218%</w:t>
            </w:r>
            <w:proofErr w:type="gramEnd"/>
          </w:p>
        </w:tc>
      </w:tr>
      <w:tr w:rsidR="00014F91" w:rsidRPr="00014F91" w14:paraId="38ADBBD5" w14:textId="77777777" w:rsidTr="00014F91">
        <w:trPr>
          <w:trHeight w:val="288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6A498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94927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4D7A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2AA8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A54DC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A64089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68EC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2FC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C9C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A0C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D97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629,000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88E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266,000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B29B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87,000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130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F48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308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193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983,000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323B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0211C69F" w14:textId="77777777" w:rsidTr="00014F91">
        <w:trPr>
          <w:trHeight w:val="288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0BB57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3E77D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76D0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FB40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9AF9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B1AE7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BBB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FC9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5E5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D51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0C9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878,000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643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387,000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01F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143,000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D7FD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E871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06BD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213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1 411,000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34724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6124A9C3" w14:textId="77777777" w:rsidTr="00014F91">
        <w:trPr>
          <w:trHeight w:val="242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D82A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62700/CR04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FFA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zaměstnaní po ukončení své účasti, včetně OSVČ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C43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BA6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4242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00B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55 950,000</w:t>
            </w:r>
          </w:p>
        </w:tc>
        <w:tc>
          <w:tcPr>
            <w:tcW w:w="56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7780E9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645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108 820,000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AC3C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194,495%</w:t>
            </w:r>
            <w:proofErr w:type="gramEnd"/>
          </w:p>
        </w:tc>
      </w:tr>
      <w:tr w:rsidR="00014F91" w:rsidRPr="00014F91" w14:paraId="592F718A" w14:textId="77777777" w:rsidTr="00014F91">
        <w:trPr>
          <w:trHeight w:val="242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919859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E678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552D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71A6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CD2A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597C4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5B9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0332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38B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53E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321,000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21E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32 191,000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A7D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12 245,000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49D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1 997,000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C284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18B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72EC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A07B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46 754,000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B6001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778A1EB1" w14:textId="77777777" w:rsidTr="00014F91">
        <w:trPr>
          <w:trHeight w:val="242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3918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92AC1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E0526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C6432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A6A0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1B5D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5D7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2A5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D427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EC2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E957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40 150,000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CA2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18 824,000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FE6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2 952,000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87A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09C1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B4F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BFBD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62 066,000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894E3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1A435115" w14:textId="77777777" w:rsidTr="00014F91">
        <w:trPr>
          <w:trHeight w:val="242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86B8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62700/CR04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2045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zaměstnaní po ukončení své účasti, včetně OSVČ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5A5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E34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7BA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6D6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2 790,000</w:t>
            </w:r>
          </w:p>
        </w:tc>
        <w:tc>
          <w:tcPr>
            <w:tcW w:w="56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5234A6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9B4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6 851,000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880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245,556%</w:t>
            </w:r>
            <w:proofErr w:type="gramEnd"/>
          </w:p>
        </w:tc>
      </w:tr>
      <w:tr w:rsidR="00014F91" w:rsidRPr="00014F91" w14:paraId="417F9C26" w14:textId="77777777" w:rsidTr="00014F91">
        <w:trPr>
          <w:trHeight w:val="288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A529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9055E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3B9AD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AF03F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8E65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EA556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2AC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F0A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AF58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A4B7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944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2 432,000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552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464,000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39F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243,000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79F0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D0D5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579D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8ED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3 139,000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7772E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65A27C99" w14:textId="77777777" w:rsidTr="00014F91">
        <w:trPr>
          <w:trHeight w:val="288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96394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20C3C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03280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31E49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DA18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A64B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60AC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854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FBAB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0AB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62A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2 900,000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4A2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617,000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925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195,000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7EB7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1D5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FFD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44D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3 712,000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EC3B0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42513261" w14:textId="77777777" w:rsidTr="00014F91">
        <w:trPr>
          <w:trHeight w:val="242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E4B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62800/CR05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AA09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Znevýhodnění účastníci, kteří po ukončení své účasti hledají zaměstnání, jsou v procesu vzdělávání/ odborné přípravy, rozšiřují si kvalifikaci nebo jsou zaměstnaní, a to i OSVČ**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D56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1B8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5B41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B5F6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40 005,000</w:t>
            </w:r>
          </w:p>
        </w:tc>
        <w:tc>
          <w:tcPr>
            <w:tcW w:w="56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C6D17A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E28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53 735,000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36A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134,321%</w:t>
            </w:r>
            <w:proofErr w:type="gramEnd"/>
          </w:p>
        </w:tc>
      </w:tr>
      <w:tr w:rsidR="00014F91" w:rsidRPr="00014F91" w14:paraId="39604741" w14:textId="77777777" w:rsidTr="00014F91">
        <w:trPr>
          <w:trHeight w:val="242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6964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C0B10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46E6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D225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BC30A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3AC4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9E7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D710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26A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A99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217,000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BF18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15 057,000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A28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5 689,000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20B9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3 512,000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3A5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EC6D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F88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256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24 479,000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E438B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5B395368" w14:textId="77777777" w:rsidTr="00014F91">
        <w:trPr>
          <w:trHeight w:val="242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9A57B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24C04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F2579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6FAD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30DA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EEAC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18F7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A74E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325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CEF4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316,000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5A4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16 712,000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F7D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6 943,000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8D1F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5 283,000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C91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D975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4FD9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0664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29 256,000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00EAB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5F273F60" w14:textId="77777777" w:rsidTr="00014F91">
        <w:trPr>
          <w:trHeight w:val="242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B05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62800/CR05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171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Znevýhodnění účastníci, kteří po ukončení své účasti hledají zaměstnání, jsou v procesu vzdělávání/ odborné přípravy, rozšiřují si kvalifikaci nebo jsou zaměstnaní, a to i OSVČ**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0133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DA4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CF1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6CF1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1 995,000</w:t>
            </w:r>
          </w:p>
        </w:tc>
        <w:tc>
          <w:tcPr>
            <w:tcW w:w="56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0462C1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D4A1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3 323,000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F8B1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166,566%</w:t>
            </w:r>
            <w:proofErr w:type="gramEnd"/>
          </w:p>
        </w:tc>
      </w:tr>
      <w:tr w:rsidR="00014F91" w:rsidRPr="00014F91" w14:paraId="5F909E4C" w14:textId="77777777" w:rsidTr="00014F91">
        <w:trPr>
          <w:trHeight w:val="242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7402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5292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A8A94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359D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4A84C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D4301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AB5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FF0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8D4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BF8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472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1 127,000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C50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340,000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A4E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143,000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B3D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1AD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BD07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8888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1 611,000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B225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77DCE1DD" w14:textId="77777777" w:rsidTr="00014F91">
        <w:trPr>
          <w:trHeight w:val="334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5A2C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12659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1102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65730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A724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E605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1AD1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9FE8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6839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3B8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35CF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1 190,000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B01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352,000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409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169,000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FA6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1C3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293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608C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1 712,000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DB9B2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5500682D" w14:textId="77777777" w:rsidTr="00014F91">
        <w:trPr>
          <w:trHeight w:val="242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D74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62900/CR06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D236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zaměstnaní 6 měsíců po ukončení své účasti, včetně OSVČ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3E11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EB7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682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789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78 105,000</w:t>
            </w:r>
          </w:p>
        </w:tc>
        <w:tc>
          <w:tcPr>
            <w:tcW w:w="56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17F8F4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5AE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101 085,000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BEA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129,422%</w:t>
            </w:r>
            <w:proofErr w:type="gramEnd"/>
          </w:p>
        </w:tc>
      </w:tr>
      <w:tr w:rsidR="00014F91" w:rsidRPr="00014F91" w14:paraId="783911A4" w14:textId="77777777" w:rsidTr="00014F91">
        <w:trPr>
          <w:trHeight w:val="242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974F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F81F4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5164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464D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5DEED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A07A7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B7D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87F8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8ED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3AD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894,000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47CE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23 891,000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7D31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11 716,000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6C1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4 360,000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E00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2A04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2DF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223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40 863,000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D99F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0FAE00B6" w14:textId="77777777" w:rsidTr="00014F91">
        <w:trPr>
          <w:trHeight w:val="242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6AA2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9A717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F86C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E30C2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5668B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D37C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F01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5571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9C21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34C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1 255,000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D8D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31 607,000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365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15 137,000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110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12 220,000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4C4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DFE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176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A1A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60 222,000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26B9A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7A78C444" w14:textId="77777777" w:rsidTr="00014F91">
        <w:trPr>
          <w:trHeight w:val="242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F7F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62900/CR06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D0B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zaměstnaní 6 měsíců po ukončení své účasti, včetně OSVČ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A3A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F71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9A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DE6D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3 895,000</w:t>
            </w:r>
          </w:p>
        </w:tc>
        <w:tc>
          <w:tcPr>
            <w:tcW w:w="56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FE4491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1C7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6 195,000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58DA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159,050%</w:t>
            </w:r>
            <w:proofErr w:type="gramEnd"/>
          </w:p>
        </w:tc>
      </w:tr>
      <w:tr w:rsidR="00014F91" w:rsidRPr="00014F91" w14:paraId="15A593E8" w14:textId="77777777" w:rsidTr="00014F91">
        <w:trPr>
          <w:trHeight w:val="288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0E5B2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CC3AD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A291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0823A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CFA5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2C9D5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1F5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250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63DA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6ED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9CD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1 891,000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3F9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519,000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258A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258,000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F63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CB7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572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E1C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2 668,000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53B07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67467AD3" w14:textId="77777777" w:rsidTr="00014F91">
        <w:trPr>
          <w:trHeight w:val="288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7FA7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C11A4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1AB8B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E107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3B5F7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CAC3E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9728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163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F09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4715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C897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2 430,000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388D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457,000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60A7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640,000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F11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DCF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047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121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3 527,000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5B89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35F02E89" w14:textId="77777777" w:rsidTr="00014F91">
        <w:trPr>
          <w:trHeight w:val="242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DCE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63000/CR07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235A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jejichž situace na trhu práce se 6 měsíců po ukončení jejich účasti zlepšila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050E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B1F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60500 Zaměstnaní, včetně OSVČ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467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3FE7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1 619,000</w:t>
            </w:r>
          </w:p>
        </w:tc>
        <w:tc>
          <w:tcPr>
            <w:tcW w:w="56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758846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9C0F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1 653,000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A8C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102,100%</w:t>
            </w:r>
            <w:proofErr w:type="gramEnd"/>
          </w:p>
        </w:tc>
      </w:tr>
      <w:tr w:rsidR="00014F91" w:rsidRPr="00014F91" w14:paraId="07B71F19" w14:textId="77777777" w:rsidTr="00014F91">
        <w:trPr>
          <w:trHeight w:val="288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36149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1928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1EB6B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55098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5BB24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D3EC2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104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63C5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6357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EF2B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814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726,000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6FB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8F61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6C04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51E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186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53F0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726,000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061D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55F6E81C" w14:textId="77777777" w:rsidTr="00014F91">
        <w:trPr>
          <w:trHeight w:val="288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0C46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B270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44938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DB878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EBA48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12CDD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091C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F1E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577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C95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2A7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927,000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C35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E65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C73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19E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901C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B62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927,000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6646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3C9FC60B" w14:textId="77777777" w:rsidTr="00014F91">
        <w:trPr>
          <w:trHeight w:val="242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5D7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63000/CR07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4F87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jejichž situace na trhu práce se 6 měsíců po ukončení jejich účasti zlepšila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D87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B13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60500 Zaměstnaní, včetně OSVČ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1AA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1DDF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81,000</w:t>
            </w:r>
          </w:p>
        </w:tc>
        <w:tc>
          <w:tcPr>
            <w:tcW w:w="56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DE4001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1AF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110,000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3CD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135,802%</w:t>
            </w:r>
            <w:proofErr w:type="gramEnd"/>
          </w:p>
        </w:tc>
      </w:tr>
      <w:tr w:rsidR="00014F91" w:rsidRPr="00014F91" w14:paraId="1A1DEF91" w14:textId="77777777" w:rsidTr="00014F91">
        <w:trPr>
          <w:trHeight w:val="288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7D67D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586C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FB0A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F8809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68C6E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2E39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95F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EFD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46BF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C08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57D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50,000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51C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751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007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AA3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65B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ACD8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50,000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AF5A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109B3F35" w14:textId="77777777" w:rsidTr="00014F91">
        <w:trPr>
          <w:trHeight w:val="288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C4B7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8F4F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B946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C9355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1057D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6E25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156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BECE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D0CE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B45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8215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BA0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A96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7BE7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F5C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CD57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638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B5842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37746494" w14:textId="77777777" w:rsidTr="00014F91">
        <w:trPr>
          <w:trHeight w:val="242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9DD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63100/CR08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DC7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 ve</w:t>
            </w:r>
            <w:proofErr w:type="gramEnd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věku nad 54 let zaměstnaní 6 měsíců po ukončení své účasti, včetně OSVČ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337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A6F661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nezaměstnaných, 60700 účastníci ve věku nad 54 let, 60400 Neaktivní osoby, které nejsou v procesu vzdělávání nebo odborné přípravy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893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15F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11 716,000</w:t>
            </w:r>
          </w:p>
        </w:tc>
        <w:tc>
          <w:tcPr>
            <w:tcW w:w="56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A47349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7926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13 506,000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8864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115,278%</w:t>
            </w:r>
            <w:proofErr w:type="gramEnd"/>
          </w:p>
        </w:tc>
      </w:tr>
      <w:tr w:rsidR="00014F91" w:rsidRPr="00014F91" w14:paraId="30133EC4" w14:textId="77777777" w:rsidTr="00014F91">
        <w:trPr>
          <w:trHeight w:val="364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43553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29C5F9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CBFD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97C6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5F2E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3607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1D4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71BA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CDC1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331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55,000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930A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4 204,000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B75B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2 322,000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D69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887,000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CC1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F7F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199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A5E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7 469,000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B104D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071BFB74" w14:textId="77777777" w:rsidTr="00014F91">
        <w:trPr>
          <w:trHeight w:val="394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5BA17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4D6DC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848C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CAEA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5AEA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B643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14AF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67D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D0D2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628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33,000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2C2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2 775,000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0D9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1 468,000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52F6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1 759,000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772E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0F45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A72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017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6 037,000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A6B8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1E20B64F" w14:textId="77777777" w:rsidTr="00014F91">
        <w:trPr>
          <w:trHeight w:val="242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49B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63100/CR08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AA4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 ve</w:t>
            </w:r>
            <w:proofErr w:type="gramEnd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věku nad 54 let zaměstnaní 6 měsíců po ukončení své účasti, včetně OSVČ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337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7FB508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60100 Nezaměstnaní účastníci, včetně dlouhodobě nezaměstnaných, 60700 </w:t>
            </w: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lastRenderedPageBreak/>
              <w:t>účastníci ve věku nad 54 let, 60400 Neaktivní osoby, které nejsou v procesu vzdělávání nebo odborné přípravy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FAA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lastRenderedPageBreak/>
              <w:t>Osoby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B2C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584,000</w:t>
            </w:r>
          </w:p>
        </w:tc>
        <w:tc>
          <w:tcPr>
            <w:tcW w:w="56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F97661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568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827,000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88F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141,610%</w:t>
            </w:r>
            <w:proofErr w:type="gramEnd"/>
          </w:p>
        </w:tc>
      </w:tr>
      <w:tr w:rsidR="00014F91" w:rsidRPr="00014F91" w14:paraId="672D0865" w14:textId="77777777" w:rsidTr="00014F91">
        <w:trPr>
          <w:trHeight w:val="349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FEBAF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58178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CA3C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34F6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8E02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B2C0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D54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B7F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3A75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E8E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00F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326,000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D07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129,000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186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34,000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500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50E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430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05B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489,000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DE108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4DFF219A" w14:textId="77777777" w:rsidTr="00014F91">
        <w:trPr>
          <w:trHeight w:val="394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A80679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D2C7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0C42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0DE1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F5B3E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02CB8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6DF7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8E2B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E05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7E7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9E7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205,000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779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73,000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1B2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504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18F7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82E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940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338,000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FE047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0D3E5445" w14:textId="77777777" w:rsidTr="00014F91">
        <w:trPr>
          <w:trHeight w:val="242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E3E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63200/CR09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7E9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Znevýhodnění účastníci zaměstnaní 6 měsíců po ukončení své účasti včetně OSVČ**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43BB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06E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8CE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C39D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39 052,000</w:t>
            </w:r>
          </w:p>
        </w:tc>
        <w:tc>
          <w:tcPr>
            <w:tcW w:w="56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549DFD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D06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34 718,000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8D1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88,902%</w:t>
            </w:r>
            <w:proofErr w:type="gramEnd"/>
          </w:p>
        </w:tc>
      </w:tr>
      <w:tr w:rsidR="00014F91" w:rsidRPr="00014F91" w14:paraId="299A265D" w14:textId="77777777" w:rsidTr="00014F91">
        <w:trPr>
          <w:trHeight w:val="242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3954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2F08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2512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F0CEA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4324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8EF29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C1E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B664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BE8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1197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215,000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AA5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7 994,000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20AC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3 186,000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E30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3 328,000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DF0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E45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D52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68B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14 725,000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1717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61B4E2C7" w14:textId="77777777" w:rsidTr="00014F91">
        <w:trPr>
          <w:trHeight w:val="242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E929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B0F7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5D02D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42342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71A99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24516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8C8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BBB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6FB9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D9F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248,000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100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9 685,000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953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3 517,000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5EB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6 543,000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208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806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EE4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1E0D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19 993,000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EC062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3E76B29F" w14:textId="77777777" w:rsidTr="00014F91">
        <w:trPr>
          <w:trHeight w:val="242"/>
        </w:trPr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D99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63200/CR09</w:t>
            </w:r>
          </w:p>
        </w:tc>
        <w:tc>
          <w:tcPr>
            <w:tcW w:w="2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5366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Znevýhodnění účastníci zaměstnaní 6 měsíců po ukončení své účasti včetně OSVČ**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C34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22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DEB9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4E2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0EE8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1 948,000</w:t>
            </w:r>
          </w:p>
        </w:tc>
        <w:tc>
          <w:tcPr>
            <w:tcW w:w="56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6CD876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121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2 060,000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7D36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105,749%</w:t>
            </w:r>
            <w:proofErr w:type="gramEnd"/>
          </w:p>
        </w:tc>
      </w:tr>
      <w:tr w:rsidR="00014F91" w:rsidRPr="00014F91" w14:paraId="6BF1DDD7" w14:textId="77777777" w:rsidTr="00014F91">
        <w:trPr>
          <w:trHeight w:val="242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AF562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89EE89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90F71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63970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A5BC6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AE6E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4FF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2EE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D17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DC7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A1AE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626,000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B69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244,000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7417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72,000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CCD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B61E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79B0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548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942,000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7AD2B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477A92A9" w14:textId="77777777" w:rsidTr="00014F91">
        <w:trPr>
          <w:trHeight w:val="242"/>
        </w:trPr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85F9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7FFA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7723F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2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BE8C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E656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55CA7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5D74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BB2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4ED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494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6AF6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720,000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423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261,000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AB8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137,000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C77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F80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7FFE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FE7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1 118,000</w:t>
            </w: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BED4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</w:tbl>
    <w:p w14:paraId="2014B49F" w14:textId="77777777" w:rsidR="00014F91" w:rsidRPr="003C2AA4" w:rsidRDefault="00014F91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</w:p>
    <w:p w14:paraId="402FFBDF" w14:textId="77777777" w:rsidR="003C2AA4" w:rsidRPr="003C2AA4" w:rsidRDefault="003C2AA4" w:rsidP="003C2AA4">
      <w:pPr>
        <w:tabs>
          <w:tab w:val="left" w:pos="392"/>
        </w:tabs>
        <w:ind w:left="115" w:right="815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>1</w:t>
      </w:r>
      <w:r w:rsidRPr="003C2AA4">
        <w:rPr>
          <w:rFonts w:ascii="Arial" w:eastAsia="Arial" w:hAnsi="Arial" w:cs="Arial"/>
          <w:color w:val="000000"/>
          <w:sz w:val="16"/>
        </w:rPr>
        <w:tab/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Odhad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založený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reprezentativním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vzorku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Členské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státy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mají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1: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Minimálním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požadavkem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je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dvakrát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, a to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 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případě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této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sloupci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„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proofErr w:type="gramStart"/>
      <w:r w:rsidRPr="003C2AA4">
        <w:rPr>
          <w:rFonts w:ascii="Arial" w:eastAsia="Arial" w:hAnsi="Arial" w:cs="Arial"/>
          <w:color w:val="000000"/>
          <w:sz w:val="16"/>
        </w:rPr>
        <w:t>hodnota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“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proofErr w:type="gram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2: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každý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rok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.</w:t>
      </w:r>
    </w:p>
    <w:p w14:paraId="0BDE7AAC" w14:textId="77777777" w:rsidR="003C2AA4" w:rsidRP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</w:p>
    <w:p w14:paraId="7114D819" w14:textId="3AFAC306" w:rsidR="003C2AA4" w:rsidRP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03.1.49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Trvalé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začlenění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mladých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lidí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trh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mimo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jiné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pomocí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r w:rsidR="00014F91">
        <w:rPr>
          <w:rFonts w:ascii="Arial" w:eastAsia="Arial" w:hAnsi="Arial" w:cs="Arial"/>
          <w:color w:val="000000"/>
          <w:sz w:val="20"/>
        </w:rPr>
        <w:t>“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záruky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mladé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lidi</w:t>
      </w:r>
      <w:proofErr w:type="spellEnd"/>
      <w:r w:rsidR="00014F91">
        <w:rPr>
          <w:rFonts w:ascii="Arial" w:eastAsia="Arial" w:hAnsi="Arial" w:cs="Arial"/>
          <w:color w:val="000000"/>
          <w:sz w:val="20"/>
        </w:rPr>
        <w:t>”</w:t>
      </w:r>
      <w:r w:rsidRPr="003C2AA4">
        <w:rPr>
          <w:rFonts w:ascii="Arial" w:eastAsia="Arial" w:hAnsi="Arial" w:cs="Arial"/>
          <w:color w:val="000000"/>
          <w:sz w:val="20"/>
        </w:rPr>
        <w:t xml:space="preserve">, a to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zejména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těch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kteří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nejsou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vzdělávání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v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nebo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profesní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přípravě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těch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mladých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lidí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kterým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hrozí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sociální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vyloučení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mladých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lidí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z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marginalizovaných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komunit</w:t>
      </w:r>
      <w:proofErr w:type="spellEnd"/>
    </w:p>
    <w:tbl>
      <w:tblPr>
        <w:tblW w:w="0" w:type="auto"/>
        <w:tblInd w:w="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977"/>
        <w:gridCol w:w="838"/>
        <w:gridCol w:w="1155"/>
        <w:gridCol w:w="705"/>
        <w:gridCol w:w="848"/>
        <w:gridCol w:w="849"/>
        <w:gridCol w:w="849"/>
        <w:gridCol w:w="849"/>
        <w:gridCol w:w="850"/>
        <w:gridCol w:w="853"/>
        <w:gridCol w:w="849"/>
        <w:gridCol w:w="850"/>
        <w:gridCol w:w="849"/>
        <w:gridCol w:w="849"/>
        <w:gridCol w:w="854"/>
        <w:gridCol w:w="1166"/>
        <w:gridCol w:w="882"/>
      </w:tblGrid>
      <w:tr w:rsidR="003C2AA4" w:rsidRPr="003C2AA4" w14:paraId="4A443FD2" w14:textId="77777777" w:rsidTr="003C2AA4">
        <w:trPr>
          <w:cantSplit/>
          <w:tblHeader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B31917" w14:textId="77777777" w:rsidR="003C2AA4" w:rsidRPr="003C2AA4" w:rsidRDefault="003C2AA4" w:rsidP="003C2AA4">
            <w:pPr>
              <w:keepNext/>
              <w:keepLines/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ID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D6514F" w14:textId="77777777" w:rsidR="003C2AA4" w:rsidRPr="003C2AA4" w:rsidRDefault="003C2AA4" w:rsidP="003C2AA4">
            <w:pPr>
              <w:keepNext/>
              <w:keepLines/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Indikátor</w:t>
            </w:r>
            <w:proofErr w:type="spellEnd"/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A2842" w14:textId="77777777" w:rsidR="003C2AA4" w:rsidRPr="003C2AA4" w:rsidRDefault="003C2AA4" w:rsidP="003C2AA4">
            <w:pPr>
              <w:keepNext/>
              <w:keepLines/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Kategorie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regionu</w:t>
            </w:r>
            <w:proofErr w:type="spellEnd"/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E71651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Společný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indikátor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výstupů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použitý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jako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základ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pro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stanovení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cíle</w:t>
            </w:r>
            <w:proofErr w:type="spellEnd"/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4FC697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Měrná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jednotka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pro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výchozí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hodnotu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a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cíl</w:t>
            </w:r>
            <w:proofErr w:type="spellEnd"/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826C4A" w14:textId="77777777" w:rsidR="003C2AA4" w:rsidRPr="003C2AA4" w:rsidRDefault="003C2AA4" w:rsidP="003C2AA4">
            <w:pPr>
              <w:keepNext/>
              <w:keepLines/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Cílová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hodnota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(2023)</w:t>
            </w:r>
          </w:p>
          <w:p w14:paraId="6C814020" w14:textId="77777777" w:rsidR="003C2AA4" w:rsidRPr="003C2AA4" w:rsidRDefault="003C2AA4" w:rsidP="003C2AA4">
            <w:pPr>
              <w:keepNext/>
              <w:keepLines/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(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Rozdělení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podle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pohlaví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je pro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cíl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nepovinné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860589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  <w:p w14:paraId="718F20A0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2014</w:t>
            </w:r>
          </w:p>
          <w:p w14:paraId="1AE37B62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012FC0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  <w:p w14:paraId="5C91A7B9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2015</w:t>
            </w:r>
          </w:p>
          <w:p w14:paraId="5ADC4F47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DA4649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  <w:p w14:paraId="60C74326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2016</w:t>
            </w:r>
          </w:p>
          <w:p w14:paraId="5767E078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1B495D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  <w:p w14:paraId="7CDA5298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2017</w:t>
            </w:r>
          </w:p>
          <w:p w14:paraId="5E9F7AF1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3C54C8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  <w:p w14:paraId="508D3F57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2018</w:t>
            </w:r>
          </w:p>
          <w:p w14:paraId="55C3DFC5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6C695F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  <w:p w14:paraId="1813556E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2019</w:t>
            </w:r>
          </w:p>
          <w:p w14:paraId="38C1105D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9D8A7D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  <w:p w14:paraId="73D6BAEB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2020</w:t>
            </w:r>
          </w:p>
          <w:p w14:paraId="0FCDBD97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EEF2D7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  <w:p w14:paraId="03E709A9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2021</w:t>
            </w:r>
          </w:p>
          <w:p w14:paraId="516A4CEB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15B9DF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  <w:p w14:paraId="3A888C6F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2022</w:t>
            </w:r>
          </w:p>
          <w:p w14:paraId="238051DF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D19FCC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  <w:p w14:paraId="60EC0908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2023</w:t>
            </w:r>
          </w:p>
          <w:p w14:paraId="5A237363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0E83FE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Kumulativní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hodnota</w:t>
            </w:r>
            <w:proofErr w:type="spellEnd"/>
          </w:p>
          <w:p w14:paraId="50EA77BF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(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vypočítána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automaticky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)</w:t>
            </w:r>
          </w:p>
        </w:tc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00B75F" w14:textId="77777777" w:rsidR="003C2AA4" w:rsidRPr="003C2AA4" w:rsidRDefault="003C2AA4" w:rsidP="003C2AA4">
            <w:pPr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Míra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splnění</w:t>
            </w:r>
            <w:proofErr w:type="spellEnd"/>
          </w:p>
          <w:p w14:paraId="0C87A150" w14:textId="77777777" w:rsidR="003C2AA4" w:rsidRPr="003C2AA4" w:rsidRDefault="003C2AA4" w:rsidP="003C2AA4">
            <w:pPr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Rozdělení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podle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pohlaví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je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nepovinné</w:t>
            </w:r>
            <w:proofErr w:type="spellEnd"/>
          </w:p>
        </w:tc>
      </w:tr>
      <w:tr w:rsidR="003C2AA4" w:rsidRPr="003C2AA4" w14:paraId="67F1BC2B" w14:textId="77777777" w:rsidTr="003C2AA4">
        <w:trPr>
          <w:cantSplit/>
          <w:tblHeader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513940" w14:textId="77777777" w:rsidR="003C2AA4" w:rsidRPr="003C2AA4" w:rsidRDefault="003C2AA4" w:rsidP="003C2AA4"/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0E1D8C" w14:textId="77777777" w:rsidR="003C2AA4" w:rsidRPr="003C2AA4" w:rsidRDefault="003C2AA4" w:rsidP="003C2AA4"/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9060C6" w14:textId="77777777" w:rsidR="003C2AA4" w:rsidRPr="003C2AA4" w:rsidRDefault="003C2AA4" w:rsidP="003C2AA4"/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DD4865" w14:textId="77777777" w:rsidR="003C2AA4" w:rsidRPr="003C2AA4" w:rsidRDefault="003C2AA4" w:rsidP="003C2AA4"/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2F3AEF" w14:textId="77777777" w:rsidR="003C2AA4" w:rsidRPr="003C2AA4" w:rsidRDefault="003C2AA4" w:rsidP="003C2AA4"/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F4C069" w14:textId="77777777" w:rsidR="003C2AA4" w:rsidRPr="003C2AA4" w:rsidRDefault="003C2AA4" w:rsidP="003C2AA4"/>
        </w:tc>
        <w:tc>
          <w:tcPr>
            <w:tcW w:w="85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8650F6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  <w:p w14:paraId="6CDCDEE2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Roční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hodnota</w:t>
            </w:r>
            <w:proofErr w:type="spellEnd"/>
          </w:p>
          <w:p w14:paraId="705F650E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4CC17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  <w:p w14:paraId="31064787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Celkem</w:t>
            </w:r>
            <w:proofErr w:type="spellEnd"/>
          </w:p>
          <w:p w14:paraId="58F2D039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2AEDCD" w14:textId="77777777" w:rsidR="003C2AA4" w:rsidRPr="003C2AA4" w:rsidRDefault="003C2AA4" w:rsidP="003C2AA4"/>
        </w:tc>
      </w:tr>
      <w:tr w:rsidR="003C2AA4" w:rsidRPr="003C2AA4" w14:paraId="1FF5FCD6" w14:textId="77777777" w:rsidTr="003C2AA4">
        <w:trPr>
          <w:cantSplit/>
          <w:tblHeader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CCB0A3" w14:textId="77777777" w:rsidR="003C2AA4" w:rsidRPr="003C2AA4" w:rsidRDefault="003C2AA4" w:rsidP="003C2AA4"/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A13016" w14:textId="77777777" w:rsidR="003C2AA4" w:rsidRPr="003C2AA4" w:rsidRDefault="003C2AA4" w:rsidP="003C2AA4"/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BE91CA" w14:textId="77777777" w:rsidR="003C2AA4" w:rsidRPr="003C2AA4" w:rsidRDefault="003C2AA4" w:rsidP="003C2AA4"/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EBA509" w14:textId="77777777" w:rsidR="003C2AA4" w:rsidRPr="003C2AA4" w:rsidRDefault="003C2AA4" w:rsidP="003C2AA4"/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271C03" w14:textId="77777777" w:rsidR="003C2AA4" w:rsidRPr="003C2AA4" w:rsidRDefault="003C2AA4" w:rsidP="003C2AA4"/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6AA5D0" w14:textId="77777777" w:rsidR="003C2AA4" w:rsidRPr="003C2AA4" w:rsidRDefault="003C2AA4" w:rsidP="003C2AA4"/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67E6D1" w14:textId="77777777" w:rsidR="003C2AA4" w:rsidRPr="003C2AA4" w:rsidRDefault="003C2AA4" w:rsidP="003C2AA4">
            <w:pPr>
              <w:keepNext/>
              <w:keepLines/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0EB9FD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2057C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995970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8ED0A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7A59D2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D4A82E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4ACD9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A7ED41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45AA29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9DAEAD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</w:t>
            </w:r>
          </w:p>
        </w:tc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42FD23" w14:textId="77777777" w:rsidR="003C2AA4" w:rsidRPr="003C2AA4" w:rsidRDefault="003C2AA4" w:rsidP="003C2AA4"/>
        </w:tc>
      </w:tr>
      <w:tr w:rsidR="003C2AA4" w:rsidRPr="003C2AA4" w14:paraId="0A69F046" w14:textId="77777777" w:rsidTr="003C2AA4">
        <w:trPr>
          <w:cantSplit/>
          <w:tblHeader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F15E68" w14:textId="77777777" w:rsidR="003C2AA4" w:rsidRPr="003C2AA4" w:rsidRDefault="003C2AA4" w:rsidP="003C2AA4"/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BF8C41" w14:textId="77777777" w:rsidR="003C2AA4" w:rsidRPr="003C2AA4" w:rsidRDefault="003C2AA4" w:rsidP="003C2AA4"/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47699" w14:textId="77777777" w:rsidR="003C2AA4" w:rsidRPr="003C2AA4" w:rsidRDefault="003C2AA4" w:rsidP="003C2AA4"/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F6B561" w14:textId="77777777" w:rsidR="003C2AA4" w:rsidRPr="003C2AA4" w:rsidRDefault="003C2AA4" w:rsidP="003C2AA4"/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99365C" w14:textId="77777777" w:rsidR="003C2AA4" w:rsidRPr="003C2AA4" w:rsidRDefault="003C2AA4" w:rsidP="003C2AA4"/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C74561" w14:textId="77777777" w:rsidR="003C2AA4" w:rsidRPr="003C2AA4" w:rsidRDefault="003C2AA4" w:rsidP="003C2AA4"/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BD91E5" w14:textId="77777777" w:rsidR="003C2AA4" w:rsidRPr="003C2AA4" w:rsidRDefault="003C2AA4" w:rsidP="003C2AA4">
            <w:pPr>
              <w:keepNext/>
              <w:keepLines/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930177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AC150F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B0D0B1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Ž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2F3E3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32048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4A5BAD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ABB684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85C869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Ž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6631B1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Ž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8D536E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Ž</w:t>
            </w:r>
          </w:p>
        </w:tc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C66DAA" w14:textId="77777777" w:rsidR="003C2AA4" w:rsidRPr="003C2AA4" w:rsidRDefault="003C2AA4" w:rsidP="003C2AA4"/>
        </w:tc>
      </w:tr>
    </w:tbl>
    <w:p w14:paraId="1D3354EB" w14:textId="77777777" w:rsidR="003C2AA4" w:rsidRPr="003C2AA4" w:rsidRDefault="003C2AA4" w:rsidP="003C2AA4">
      <w:pPr>
        <w:tabs>
          <w:tab w:val="left" w:pos="392"/>
        </w:tabs>
        <w:ind w:left="115" w:right="815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>1</w:t>
      </w:r>
      <w:r w:rsidRPr="003C2AA4">
        <w:rPr>
          <w:rFonts w:ascii="Arial" w:eastAsia="Arial" w:hAnsi="Arial" w:cs="Arial"/>
          <w:color w:val="000000"/>
          <w:sz w:val="16"/>
        </w:rPr>
        <w:tab/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Odhad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založený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reprezentativním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vzorku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Členské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státy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mají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1: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Minimálním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požadavkem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je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dvakrát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, a to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 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případě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této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sloupci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„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proofErr w:type="gramStart"/>
      <w:r w:rsidRPr="003C2AA4">
        <w:rPr>
          <w:rFonts w:ascii="Arial" w:eastAsia="Arial" w:hAnsi="Arial" w:cs="Arial"/>
          <w:color w:val="000000"/>
          <w:sz w:val="16"/>
        </w:rPr>
        <w:t>hodnota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“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proofErr w:type="gram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2: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každý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rok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.</w:t>
      </w:r>
    </w:p>
    <w:p w14:paraId="554D8AA5" w14:textId="77777777" w:rsidR="003C2AA4" w:rsidRP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</w:p>
    <w:p w14:paraId="1ACCBC87" w14:textId="41189DB0" w:rsid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03.1.51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Rovnost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žen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mužů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všech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oblastech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a to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pokud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jde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přístup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k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kariérní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postup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sladění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pracovního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soukromého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života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podpora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stejné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odměny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za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stejnou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práci</w:t>
      </w:r>
      <w:proofErr w:type="spellEnd"/>
    </w:p>
    <w:tbl>
      <w:tblPr>
        <w:tblW w:w="159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"/>
        <w:gridCol w:w="2401"/>
        <w:gridCol w:w="952"/>
        <w:gridCol w:w="2374"/>
        <w:gridCol w:w="763"/>
        <w:gridCol w:w="894"/>
        <w:gridCol w:w="495"/>
        <w:gridCol w:w="495"/>
        <w:gridCol w:w="495"/>
        <w:gridCol w:w="652"/>
        <w:gridCol w:w="730"/>
        <w:gridCol w:w="730"/>
        <w:gridCol w:w="730"/>
        <w:gridCol w:w="473"/>
        <w:gridCol w:w="473"/>
        <w:gridCol w:w="477"/>
        <w:gridCol w:w="1012"/>
        <w:gridCol w:w="872"/>
      </w:tblGrid>
      <w:tr w:rsidR="00014F91" w:rsidRPr="00014F91" w14:paraId="2862EC7E" w14:textId="77777777" w:rsidTr="00D1537E">
        <w:trPr>
          <w:trHeight w:val="746"/>
          <w:tblHeader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E55F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352F7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A553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</w:t>
            </w: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D2198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Společný indikátor výstupů použitý jako základ pro stanovení cíle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7FCA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 pro výchozí hodnotu a cíl</w:t>
            </w:r>
          </w:p>
        </w:tc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92B5F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 (Rozdělení podle pohlaví je pro cíl nepovinné)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9DD3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77F9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80DE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7B6C3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4941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2A8B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C793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72B45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3B9E0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EAEF9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B762D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6F98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 Rozdělení podle pohlaví je nepovinné</w:t>
            </w:r>
          </w:p>
        </w:tc>
      </w:tr>
      <w:tr w:rsidR="00014F91" w:rsidRPr="00014F91" w14:paraId="4904876E" w14:textId="77777777" w:rsidTr="00D1537E">
        <w:trPr>
          <w:trHeight w:val="212"/>
          <w:tblHeader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7622E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E78B1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091369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A9FC0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F654A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AD87E0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7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42547E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67D9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CD643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6852EDF8" w14:textId="77777777" w:rsidTr="00D1537E">
        <w:trPr>
          <w:trHeight w:val="365"/>
          <w:tblHeader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CC5E8D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542E06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67E1D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0E186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6893FE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024798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87A3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1D88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AF6A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5A83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27BC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A3076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1FE8D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F3F57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B776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EEF4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CC3F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28347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5778C51F" w14:textId="77777777" w:rsidTr="00D1537E">
        <w:trPr>
          <w:trHeight w:val="365"/>
          <w:tblHeader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01F41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BEA7C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F8A23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33A8D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A2B42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A5C85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C101E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31269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612E0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CEDA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52DE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E80A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95DC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E4AC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8CD4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5B8A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C6B4A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CCB86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1FFE3A53" w14:textId="77777777" w:rsidTr="00014F91">
        <w:trPr>
          <w:trHeight w:val="243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F1040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62400/CR01</w:t>
            </w: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F46D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Neaktivní účastníci, kteří znovu začali hledat zaměstnání po ukončení své účasti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E371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7C8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Neaktivní účastníci 60300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98A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7AE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1 322,000</w:t>
            </w:r>
          </w:p>
        </w:tc>
        <w:tc>
          <w:tcPr>
            <w:tcW w:w="57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2C3B18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DF6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176,000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A05F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13,313%</w:t>
            </w:r>
            <w:proofErr w:type="gramEnd"/>
          </w:p>
        </w:tc>
      </w:tr>
      <w:tr w:rsidR="00014F91" w:rsidRPr="00014F91" w14:paraId="7A1CF8D6" w14:textId="77777777" w:rsidTr="00014F91">
        <w:trPr>
          <w:trHeight w:val="288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0458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797B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5364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F3A79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30C2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5DFA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E47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8FC1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242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CB0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7DA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D0B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226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765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F40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4CC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CD9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58BB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70FAE801" w14:textId="77777777" w:rsidTr="00014F91">
        <w:trPr>
          <w:trHeight w:val="288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32D8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F47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CE08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D911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45CE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DB8B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3ABA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075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088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8CF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E33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1FE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E5A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174,000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65F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082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D70C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179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174,000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F527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430B8281" w14:textId="77777777" w:rsidTr="00014F91">
        <w:trPr>
          <w:trHeight w:val="243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739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62400/CR01</w:t>
            </w: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19D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Neaktivní účastníci, kteří znovu začali hledat zaměstnání po ukončení své účasti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9E02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2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7DF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Neaktivní účastníci 60300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A7F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BD27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178,000</w:t>
            </w:r>
          </w:p>
        </w:tc>
        <w:tc>
          <w:tcPr>
            <w:tcW w:w="57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C714FA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C7AA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21,000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75F2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11,798%</w:t>
            </w:r>
            <w:proofErr w:type="gramEnd"/>
          </w:p>
        </w:tc>
      </w:tr>
      <w:tr w:rsidR="00014F91" w:rsidRPr="00014F91" w14:paraId="5722B574" w14:textId="77777777" w:rsidTr="00014F91">
        <w:trPr>
          <w:trHeight w:val="288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A748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5BEA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F00E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3672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921F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85ED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C1A3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70A0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851A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87A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C07A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DC17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F15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661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E8E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EB7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41D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4E0D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044D7F6C" w14:textId="77777777" w:rsidTr="00014F91">
        <w:trPr>
          <w:trHeight w:val="305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80E1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05D5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ACC0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1B2B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2A4C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7140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8CFF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657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503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FFB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2740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2AD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F17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6CB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960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798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96E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FC17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62590757" w14:textId="77777777" w:rsidTr="00014F91">
        <w:trPr>
          <w:trHeight w:val="243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048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62600/CR03</w:t>
            </w: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FEAD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kteří získali kvalifikaci po ukončení své účasti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C88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684E9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Nezaměstnaní účastníci, včetně dlouhodobě nezaměstnaných, Zaměstnaní, včetně OSVČ 60100, 60500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5BC6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B7F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441,000</w:t>
            </w:r>
          </w:p>
        </w:tc>
        <w:tc>
          <w:tcPr>
            <w:tcW w:w="57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A774B3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C05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4 399,000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62E6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997,506%</w:t>
            </w:r>
            <w:proofErr w:type="gramEnd"/>
          </w:p>
        </w:tc>
      </w:tr>
      <w:tr w:rsidR="00014F91" w:rsidRPr="00014F91" w14:paraId="0EEBAA9F" w14:textId="77777777" w:rsidTr="00014F91">
        <w:trPr>
          <w:trHeight w:val="288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B832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2396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0983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BEBD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4697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F789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EC3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CB0E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B6D3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25B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5703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EB13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37,000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07C0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28FC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2957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DDB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3CB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94,000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15D0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6B8451E2" w14:textId="77777777" w:rsidTr="00014F91">
        <w:trPr>
          <w:trHeight w:val="243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42A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2863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3B06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2D6F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145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18B2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3DFD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D77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989E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D54E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466,000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6C9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1180,000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6107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2544,000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416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115,000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F1A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2FF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F01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9E9B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4 305,000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7B8A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083B47BC" w14:textId="77777777" w:rsidTr="00014F91">
        <w:trPr>
          <w:trHeight w:val="243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3C2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62600/CR03</w:t>
            </w: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F1B3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kteří získali kvalifikaci po ukončení své účasti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951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2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C50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Nezaměstnaní účastníci, včetně dlouhodobě nezaměstnaných, Zaměstnaní, včetně OSVČ 60100, 60500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68B0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007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59,000</w:t>
            </w:r>
          </w:p>
        </w:tc>
        <w:tc>
          <w:tcPr>
            <w:tcW w:w="57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6C66A4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9A5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412,000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B422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698,305%</w:t>
            </w:r>
            <w:proofErr w:type="gramEnd"/>
          </w:p>
        </w:tc>
      </w:tr>
      <w:tr w:rsidR="00014F91" w:rsidRPr="00014F91" w14:paraId="59DC4BA9" w14:textId="77777777" w:rsidTr="00014F91">
        <w:trPr>
          <w:trHeight w:val="288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BA06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6917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6BB6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1057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C4B6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66539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6004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1DB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271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570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43C3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735A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B3B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9275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7DC2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7A1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7C4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7906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65ED4A02" w14:textId="77777777" w:rsidTr="00014F91">
        <w:trPr>
          <w:trHeight w:val="288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F76B9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A795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EBCD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ED4E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A6B1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C6FE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EFE6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2F32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5C4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21F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9362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191,000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407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192,000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6F6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F339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B65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11D8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0D7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412,000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091F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1AFAE0C8" w14:textId="77777777" w:rsidTr="00014F91">
        <w:trPr>
          <w:trHeight w:val="243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2A48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62700/CR04</w:t>
            </w: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BFA26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zaměstnaní po ukončení své účasti, včetně OSVČ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8768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A9A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Nezaměstnaní účastníci, včetně dlouhodobě nezaměstnaných 60100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5382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FB3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423,000</w:t>
            </w:r>
          </w:p>
        </w:tc>
        <w:tc>
          <w:tcPr>
            <w:tcW w:w="57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9053C9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019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4 550,000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8C0D8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1075,650%</w:t>
            </w:r>
            <w:proofErr w:type="gramEnd"/>
          </w:p>
        </w:tc>
      </w:tr>
      <w:tr w:rsidR="00014F91" w:rsidRPr="00014F91" w14:paraId="2CEE1571" w14:textId="77777777" w:rsidTr="00014F91">
        <w:trPr>
          <w:trHeight w:val="305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E28F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6F43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46D7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8A65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1C98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CC77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CD30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8B99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ADF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F44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662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54,000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859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C34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40,000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225B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E2D7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3AA8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53E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108,000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CCFD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5314E92E" w14:textId="77777777" w:rsidTr="00014F91">
        <w:trPr>
          <w:trHeight w:val="243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95B9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B1A3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903C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2965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DCE5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281F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421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14B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C933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944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216,000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E4C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1177,000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7BF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329,000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2B0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2720,000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1D3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98C4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A74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215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4 442,000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4134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3B886326" w14:textId="77777777" w:rsidTr="00014F91">
        <w:trPr>
          <w:trHeight w:val="396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67B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62700/CR04</w:t>
            </w: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2E2A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zaměstnaní po ukončení své účasti, včetně OSVČ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DF97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2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E0B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Nezaměstnaní účastníci, včetně dlouhodobě nezaměstnaných 60100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46C7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4D4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57,000</w:t>
            </w:r>
          </w:p>
        </w:tc>
        <w:tc>
          <w:tcPr>
            <w:tcW w:w="57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FC59AA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AEA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675,000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9CC8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1184,211%</w:t>
            </w:r>
            <w:proofErr w:type="gramEnd"/>
          </w:p>
        </w:tc>
      </w:tr>
      <w:tr w:rsidR="00014F91" w:rsidRPr="00014F91" w14:paraId="11FF0844" w14:textId="77777777" w:rsidTr="00014F91">
        <w:trPr>
          <w:trHeight w:val="288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06F0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FBE7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C0A7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9781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067B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9AA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95B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A5FC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599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FD3B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309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5A3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779A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BF6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3DA2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4889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9102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E69D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718ED804" w14:textId="77777777" w:rsidTr="00014F91">
        <w:trPr>
          <w:trHeight w:val="288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CE42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A90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5302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5292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78C1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7060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038E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3CC6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BCF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491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C14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191,000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1E7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119,000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00D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344,000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2B5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E90A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226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5553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654,000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2D98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621CDEE1" w14:textId="77777777" w:rsidTr="00014F91">
        <w:trPr>
          <w:trHeight w:val="243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0D7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62800/CR05</w:t>
            </w: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330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Znevýhodnění účastníci, kteří po ukončení své účasti hledají zaměstnání, jsou v procesu vzdělávání/ odborné přípravy, rozšiřují si kvalifikaci nebo jsou zaměstnaní, a to i OSVČ**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27C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FB26A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C846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FE22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1 159,000</w:t>
            </w:r>
          </w:p>
        </w:tc>
        <w:tc>
          <w:tcPr>
            <w:tcW w:w="57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837BE8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64A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1 072,000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0754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92,494%</w:t>
            </w:r>
            <w:proofErr w:type="gramEnd"/>
          </w:p>
        </w:tc>
      </w:tr>
      <w:tr w:rsidR="00014F91" w:rsidRPr="00014F91" w14:paraId="21E3657E" w14:textId="77777777" w:rsidTr="00014F91">
        <w:trPr>
          <w:trHeight w:val="243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F54E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7E7D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72F5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70C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62BE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E294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39C2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9956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3E9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892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F2D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BD8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0D05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790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1E4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FCC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92A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6A5C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7790B925" w14:textId="77777777" w:rsidTr="00014F91">
        <w:trPr>
          <w:trHeight w:val="243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9593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0163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09B7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8DE2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F4CC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259B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49D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21D4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659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BFC7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0750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560,000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A90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450,000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FAF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45,000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6B0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592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933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915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1 055,000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8361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33CF9AC4" w14:textId="77777777" w:rsidTr="00014F91">
        <w:trPr>
          <w:trHeight w:val="243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ACA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62800/CR05</w:t>
            </w: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CE2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Znevýhodnění účastníci, kteří po ukončení své účasti hledají zaměstnání, jsou v procesu </w:t>
            </w: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lastRenderedPageBreak/>
              <w:t>vzdělávání/ odborné přípravy, rozšiřují si kvalifikaci nebo jsou zaměstnaní, a to i OSVČ**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2E9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lastRenderedPageBreak/>
              <w:t>Více rozvinuté regiony</w:t>
            </w:r>
          </w:p>
        </w:tc>
        <w:tc>
          <w:tcPr>
            <w:tcW w:w="2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40D6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18A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1858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156,000</w:t>
            </w:r>
          </w:p>
        </w:tc>
        <w:tc>
          <w:tcPr>
            <w:tcW w:w="57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C1F87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3A3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222,000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FDFC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142,308%</w:t>
            </w:r>
            <w:proofErr w:type="gramEnd"/>
          </w:p>
        </w:tc>
      </w:tr>
      <w:tr w:rsidR="00014F91" w:rsidRPr="00014F91" w14:paraId="5C62EB02" w14:textId="77777777" w:rsidTr="00014F91">
        <w:trPr>
          <w:trHeight w:val="305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1327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9A9D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66AA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7AEE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D293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C1E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7B9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F9B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FC6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D3F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38D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8AF8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3A27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BAA4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169B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C4A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61A2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64D5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458C4AC2" w14:textId="77777777" w:rsidTr="00014F91">
        <w:trPr>
          <w:trHeight w:val="305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EA03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62F4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1B9C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1A79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8307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722F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41A6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59E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ACA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FDB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7C7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91,000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E94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49A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E90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74B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52D8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665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216,000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01BE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221DE9B9" w14:textId="77777777" w:rsidTr="00014F91">
        <w:trPr>
          <w:trHeight w:val="243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CD16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62900/CR06</w:t>
            </w: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9A5C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zaměstnaní 6 měsíců po ukončení své účasti, včetně OSVČ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A4CF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8637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Nezaměstnaní účastníci, včetně dlouhodobě nezaměstnaných 60100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D3F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9292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485,000</w:t>
            </w:r>
          </w:p>
        </w:tc>
        <w:tc>
          <w:tcPr>
            <w:tcW w:w="57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ACC47C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CAE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5 074,000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6AB14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1046,186%</w:t>
            </w:r>
            <w:proofErr w:type="gramEnd"/>
          </w:p>
        </w:tc>
      </w:tr>
      <w:tr w:rsidR="00014F91" w:rsidRPr="00014F91" w14:paraId="4EF0EF76" w14:textId="77777777" w:rsidTr="00014F91">
        <w:trPr>
          <w:trHeight w:val="288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C19C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71A3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5838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399D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10DF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0ABA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6A62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D04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10C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78C1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3A7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385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D35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99,000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BEFF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0D3C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7FD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FDB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132,000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E78E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00400338" w14:textId="77777777" w:rsidTr="00014F91">
        <w:trPr>
          <w:trHeight w:val="288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F6EE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DDF5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D12F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EA20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B5EE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AFB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145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E47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345B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5E52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407,000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FB8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310,000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44E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339,000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8B4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3886,000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4582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206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941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0DB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4 942,000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1E1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453EF10B" w14:textId="77777777" w:rsidTr="00014F91">
        <w:trPr>
          <w:trHeight w:val="396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82AE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62900/CR06</w:t>
            </w: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86B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zaměstnaní 6 měsíců po ukončení své účasti, včetně OSVČ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E5D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2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7D25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Nezaměstnaní účastníci, včetně dlouhodobě nezaměstnaných 60100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B1F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4154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65,000</w:t>
            </w:r>
          </w:p>
        </w:tc>
        <w:tc>
          <w:tcPr>
            <w:tcW w:w="57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F19983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B2A6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717,000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90E8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1103,077%</w:t>
            </w:r>
            <w:proofErr w:type="gramEnd"/>
          </w:p>
        </w:tc>
      </w:tr>
      <w:tr w:rsidR="00014F91" w:rsidRPr="00014F91" w14:paraId="40F0E506" w14:textId="77777777" w:rsidTr="00014F91">
        <w:trPr>
          <w:trHeight w:val="288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207E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587F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D521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FE6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35D0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5BF4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89EF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6B00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C285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4F1C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BE3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B95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206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516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1C0C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FB5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5A5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23,000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9CED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417F4CED" w14:textId="77777777" w:rsidTr="00014F91">
        <w:trPr>
          <w:trHeight w:val="288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EE5A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322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C9B9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8F99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D0A79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7A94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38F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8575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9F9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EDB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D78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83,000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08E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142,000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34C5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469,000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C28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704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C0C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5CD9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694,000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B7A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2A525DCE" w14:textId="77777777" w:rsidTr="00014F91">
        <w:trPr>
          <w:trHeight w:val="243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FB3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63000/CR07</w:t>
            </w: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1BA9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jejichž situace na trhu práce se 6 měsíců po ukončení jejich účasti zlepšila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027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F0B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Zaměstnaní, včetně OSVČ 60500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438E9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8099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3 306,000</w:t>
            </w:r>
          </w:p>
        </w:tc>
        <w:tc>
          <w:tcPr>
            <w:tcW w:w="57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D53350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39E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1 596,000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76AC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48,276%</w:t>
            </w:r>
            <w:proofErr w:type="gramEnd"/>
          </w:p>
        </w:tc>
      </w:tr>
      <w:tr w:rsidR="00014F91" w:rsidRPr="00014F91" w14:paraId="0AF8DA73" w14:textId="77777777" w:rsidTr="00014F91">
        <w:trPr>
          <w:trHeight w:val="288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57FF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A89F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CCF5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C357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D15A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3F99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AD47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6E04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7035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407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3A1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701,000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DB5C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988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391E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DAC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21E0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5B9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701,000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57FE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71CD6617" w14:textId="77777777" w:rsidTr="00014F91">
        <w:trPr>
          <w:trHeight w:val="288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1283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0E04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81DB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9CCB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FD91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7C87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2E60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A87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E6B6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AC1D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CE7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895,000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722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4FB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B12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D6D0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838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76E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895,000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9B04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001E6C3B" w14:textId="77777777" w:rsidTr="00014F91">
        <w:trPr>
          <w:trHeight w:val="243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84A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63000/CR07</w:t>
            </w: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8D8A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jejichž situace na trhu práce se 6 měsíců po ukončení jejich účasti zlepšila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8FF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2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654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Zaměstnaní, včetně OSVČ 60500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FBF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A5F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444,000</w:t>
            </w:r>
          </w:p>
        </w:tc>
        <w:tc>
          <w:tcPr>
            <w:tcW w:w="57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9625FB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BEBB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106,000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DD983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23,874%</w:t>
            </w:r>
            <w:proofErr w:type="gramEnd"/>
          </w:p>
        </w:tc>
      </w:tr>
      <w:tr w:rsidR="00014F91" w:rsidRPr="00014F91" w14:paraId="5262C863" w14:textId="77777777" w:rsidTr="00014F91">
        <w:trPr>
          <w:trHeight w:val="305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ACDC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61E6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9DB2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8DFF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542E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36909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15A0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8B87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A280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DF96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6614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48,000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FA25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29AA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A60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2F2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E81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F18F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48,000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DAEA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5835CAA0" w14:textId="77777777" w:rsidTr="00014F91">
        <w:trPr>
          <w:trHeight w:val="305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E57E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E2B6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2FD8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432D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EB73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8C9A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BB8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A03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0B2C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50B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1316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58,000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15F5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2558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0C1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1B09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0495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DA0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58,000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B6B0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312368F0" w14:textId="77777777" w:rsidTr="00014F91">
        <w:trPr>
          <w:trHeight w:val="243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494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63100/CR08</w:t>
            </w: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7B50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 ve</w:t>
            </w:r>
            <w:proofErr w:type="gramEnd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věku nad 54 let zaměstnaní 6 měsíců po ukončení své účasti, včetně OSVČ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8FE9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C15B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ve věku nad 54 let, Nezaměstnaní účastníci, včetně dlouhodobě nezaměstnaných, Neaktivní osoby, které nejsou v procesu vzdělávání nebo odborné přípravy 60700, 60100, 60400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ACB8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BC8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44,000</w:t>
            </w:r>
          </w:p>
        </w:tc>
        <w:tc>
          <w:tcPr>
            <w:tcW w:w="57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A0A538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19D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208,000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EB49A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472,727%</w:t>
            </w:r>
            <w:proofErr w:type="gramEnd"/>
          </w:p>
        </w:tc>
      </w:tr>
      <w:tr w:rsidR="00014F91" w:rsidRPr="00014F91" w14:paraId="1820D0A3" w14:textId="77777777" w:rsidTr="00014F91">
        <w:trPr>
          <w:trHeight w:val="335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D95B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5F8E9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AAB2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5E7D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B0A2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2449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A32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2B5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D6AB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102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D677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60C6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6A7A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AA28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443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0C6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9B36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C81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536140AB" w14:textId="77777777" w:rsidTr="00014F91">
        <w:trPr>
          <w:trHeight w:val="350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0B75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71C7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BC51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5D91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6A60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CC78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E74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691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41FB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C96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B7F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39,000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F52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5C6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151,000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60F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8CE3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CA51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66A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206,000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C115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47F52190" w14:textId="77777777" w:rsidTr="00014F91">
        <w:trPr>
          <w:trHeight w:val="243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BDB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63100/CR08</w:t>
            </w: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9D9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 ve</w:t>
            </w:r>
            <w:proofErr w:type="gramEnd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věku nad 54 let zaměstnaní 6 měsíců po ukončení své účasti, včetně OSVČ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5DB8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2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4B78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ve věku nad 54 let, Nezaměstnaní účastníci, včetně dlouhodobě nezaměstnaných, Neaktivní osoby, které nejsou v procesu vzdělávání nebo odborné přípravy 60700, 60100, 60400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2AF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D71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6,000</w:t>
            </w:r>
          </w:p>
        </w:tc>
        <w:tc>
          <w:tcPr>
            <w:tcW w:w="57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4298FE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41EB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18,000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2A07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300,000%</w:t>
            </w:r>
            <w:proofErr w:type="gramEnd"/>
          </w:p>
        </w:tc>
      </w:tr>
      <w:tr w:rsidR="00014F91" w:rsidRPr="00014F91" w14:paraId="57E4D081" w14:textId="77777777" w:rsidTr="00014F91">
        <w:trPr>
          <w:trHeight w:val="335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5750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7F7C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9130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D262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C873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D4BC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0437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2A7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8D4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53D7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27C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729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98A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DBB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140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4A1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665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52B2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50186625" w14:textId="77777777" w:rsidTr="00014F91">
        <w:trPr>
          <w:trHeight w:val="335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FC93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63EF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A14E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07FE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71A7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FB38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246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8764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6D5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942C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BCC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67F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A7AD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A3E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8DE2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EE8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CC7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1BA6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55A4894F" w14:textId="77777777" w:rsidTr="00014F91">
        <w:trPr>
          <w:trHeight w:val="243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36EC9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63200/CR09</w:t>
            </w: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EA9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Znevýhodnění účastníci zaměstnaní 6 měsíců po ukončení své účasti včetně OSVČ**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66F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3EFD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EA5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E04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132,000</w:t>
            </w:r>
          </w:p>
        </w:tc>
        <w:tc>
          <w:tcPr>
            <w:tcW w:w="57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EEC103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F52E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626,000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28D7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474,242%</w:t>
            </w:r>
            <w:proofErr w:type="gramEnd"/>
          </w:p>
        </w:tc>
      </w:tr>
      <w:tr w:rsidR="00014F91" w:rsidRPr="00014F91" w14:paraId="3637E332" w14:textId="77777777" w:rsidTr="00014F91">
        <w:trPr>
          <w:trHeight w:val="243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4874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7422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1C04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B9759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A2CE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8EE8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3D11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389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05D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100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E7F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8639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0891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91CC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4F0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0EB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65A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1B13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085533C3" w14:textId="77777777" w:rsidTr="00014F91">
        <w:trPr>
          <w:trHeight w:val="243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3BDB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128E9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B44E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AFC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75F4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EF58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ABA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6E4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70D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5E4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1E9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154,000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5B4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77,000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67A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380,000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71A8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A07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94B7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608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611,000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419F9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0A384146" w14:textId="77777777" w:rsidTr="00014F91">
        <w:trPr>
          <w:trHeight w:val="243"/>
        </w:trPr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6C3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63200/CR09</w:t>
            </w:r>
          </w:p>
        </w:tc>
        <w:tc>
          <w:tcPr>
            <w:tcW w:w="24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6A86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Znevýhodnění účastníci zaměstnaní 6 měsíců po ukončení své účasti včetně OSVČ**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698D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2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00E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1EC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8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45EE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18,000</w:t>
            </w:r>
          </w:p>
        </w:tc>
        <w:tc>
          <w:tcPr>
            <w:tcW w:w="575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08CC90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563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159,000</w:t>
            </w:r>
          </w:p>
        </w:tc>
        <w:tc>
          <w:tcPr>
            <w:tcW w:w="8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C577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883,333%</w:t>
            </w:r>
            <w:proofErr w:type="gramEnd"/>
          </w:p>
        </w:tc>
      </w:tr>
      <w:tr w:rsidR="00014F91" w:rsidRPr="00014F91" w14:paraId="4CF43843" w14:textId="77777777" w:rsidTr="00014F91">
        <w:trPr>
          <w:trHeight w:val="243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CC22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0C34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F8F3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5514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AC2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05EC7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CBA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A9C8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151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C385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610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2F1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6A41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35E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1BE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9B10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148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2E3A5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7AAEAA46" w14:textId="77777777" w:rsidTr="00014F91">
        <w:trPr>
          <w:trHeight w:val="243"/>
        </w:trPr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F3DF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97F4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4B05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EDD5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F231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2B95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D4C7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855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F88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F328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2FC0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6F5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65,000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CA5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90,000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C5C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FA8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CC1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3522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155,000</w:t>
            </w:r>
          </w:p>
        </w:tc>
        <w:tc>
          <w:tcPr>
            <w:tcW w:w="8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3FDD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</w:tbl>
    <w:p w14:paraId="686640FA" w14:textId="77777777" w:rsidR="00014F91" w:rsidRPr="003C2AA4" w:rsidRDefault="00014F91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</w:p>
    <w:p w14:paraId="4C152120" w14:textId="77777777" w:rsidR="003C2AA4" w:rsidRPr="003C2AA4" w:rsidRDefault="003C2AA4" w:rsidP="003C2AA4">
      <w:pPr>
        <w:tabs>
          <w:tab w:val="left" w:pos="392"/>
        </w:tabs>
        <w:ind w:left="115" w:right="815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>1</w:t>
      </w:r>
      <w:r w:rsidRPr="003C2AA4">
        <w:rPr>
          <w:rFonts w:ascii="Arial" w:eastAsia="Arial" w:hAnsi="Arial" w:cs="Arial"/>
          <w:color w:val="000000"/>
          <w:sz w:val="16"/>
        </w:rPr>
        <w:tab/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Odhad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založený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reprezentativním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vzorku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Členské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státy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mají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1: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Minimálním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požadavkem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je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dvakrát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, a to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 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případě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této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sloupci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„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proofErr w:type="gramStart"/>
      <w:r w:rsidRPr="003C2AA4">
        <w:rPr>
          <w:rFonts w:ascii="Arial" w:eastAsia="Arial" w:hAnsi="Arial" w:cs="Arial"/>
          <w:color w:val="000000"/>
          <w:sz w:val="16"/>
        </w:rPr>
        <w:t>hodnota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“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proofErr w:type="gram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2: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každý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rok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.</w:t>
      </w:r>
    </w:p>
    <w:p w14:paraId="61A4B7E4" w14:textId="77777777" w:rsidR="003C2AA4" w:rsidRP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</w:p>
    <w:p w14:paraId="072F9BEB" w14:textId="667414FD" w:rsid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03.1.52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Pomoc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pracovníkům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podnikům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podnikatelům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přizpůsobovat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se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změnám</w:t>
      </w:r>
      <w:proofErr w:type="spellEnd"/>
    </w:p>
    <w:tbl>
      <w:tblPr>
        <w:tblW w:w="159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"/>
        <w:gridCol w:w="2391"/>
        <w:gridCol w:w="976"/>
        <w:gridCol w:w="2365"/>
        <w:gridCol w:w="747"/>
        <w:gridCol w:w="887"/>
        <w:gridCol w:w="533"/>
        <w:gridCol w:w="533"/>
        <w:gridCol w:w="533"/>
        <w:gridCol w:w="647"/>
        <w:gridCol w:w="657"/>
        <w:gridCol w:w="694"/>
        <w:gridCol w:w="647"/>
        <w:gridCol w:w="525"/>
        <w:gridCol w:w="525"/>
        <w:gridCol w:w="530"/>
        <w:gridCol w:w="1004"/>
        <w:gridCol w:w="841"/>
      </w:tblGrid>
      <w:tr w:rsidR="00014F91" w:rsidRPr="00014F91" w14:paraId="57E85D7F" w14:textId="77777777" w:rsidTr="00D1537E">
        <w:trPr>
          <w:trHeight w:val="711"/>
          <w:tblHeader/>
        </w:trPr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388B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182A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B0436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5652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Společný indikátor výstupů použitý jako základ pro stanovení cíle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654C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 pro výchozí hodnotu a cíl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08D3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 (Rozdělení podle pohlaví je pro cíl nepovinné)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5600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258D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6D42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716B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D3AF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DB29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6DAA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EE52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9847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CC97D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A9741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96018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 Rozdělení podle pohlaví je nepovinné</w:t>
            </w:r>
          </w:p>
        </w:tc>
      </w:tr>
      <w:tr w:rsidR="00014F91" w:rsidRPr="00014F91" w14:paraId="2E5773F0" w14:textId="77777777" w:rsidTr="00D1537E">
        <w:trPr>
          <w:trHeight w:val="237"/>
          <w:tblHeader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7B6D1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0D360F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DFB7E4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E6286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6671A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1E21AB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81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FE7311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13C3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B00FB5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2439A531" w14:textId="77777777" w:rsidTr="00D1537E">
        <w:trPr>
          <w:trHeight w:val="237"/>
          <w:tblHeader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78837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019180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7CE83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FA70E6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CA0465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74C30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C1CC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B2AF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0BBEA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DFC5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414A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37A9E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C4DB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3EE03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EA482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EAA4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6023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3C7EE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6880AACC" w14:textId="77777777" w:rsidTr="00D1537E">
        <w:trPr>
          <w:trHeight w:val="237"/>
          <w:tblHeader/>
        </w:trPr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31753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22B2C8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315E26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F5BA30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489F2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CDFD6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3BCD4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F1AC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3977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445DF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6C54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DB724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DE1C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9F95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CE94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FC721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6FBC8" w14:textId="77777777" w:rsidR="00014F91" w:rsidRPr="00014F91" w:rsidRDefault="00014F91" w:rsidP="00014F9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D5E360" w14:textId="77777777" w:rsidR="00014F91" w:rsidRPr="00014F91" w:rsidRDefault="00014F91" w:rsidP="00014F91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1F13C00F" w14:textId="77777777" w:rsidTr="00014F91">
        <w:trPr>
          <w:trHeight w:val="237"/>
        </w:trPr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5348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62600/CR03</w:t>
            </w:r>
          </w:p>
        </w:tc>
        <w:tc>
          <w:tcPr>
            <w:tcW w:w="27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899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kteří získali kvalifikaci po ukončení své účasti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6E0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8B3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nezaměstnaných, 60500 Zaměstnaní, včetně OSVČ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9F8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6F2B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113 035,000</w:t>
            </w:r>
          </w:p>
        </w:tc>
        <w:tc>
          <w:tcPr>
            <w:tcW w:w="581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2B029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E60A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93 970,000</w:t>
            </w:r>
          </w:p>
        </w:tc>
        <w:tc>
          <w:tcPr>
            <w:tcW w:w="6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E905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83,134%</w:t>
            </w:r>
            <w:proofErr w:type="gramEnd"/>
          </w:p>
        </w:tc>
      </w:tr>
      <w:tr w:rsidR="00014F91" w:rsidRPr="00014F91" w14:paraId="1E491AB8" w14:textId="77777777" w:rsidTr="00014F91">
        <w:trPr>
          <w:trHeight w:val="237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BB53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251BC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A6D49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35988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8D1A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FEC08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C562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2EE7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173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2D2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625,000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6C3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18 316,000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30F7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28 312,000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4389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11 943,000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BF13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B3B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BE2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CEB9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59 196,000</w:t>
            </w:r>
          </w:p>
        </w:tc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7573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241D0D1E" w14:textId="77777777" w:rsidTr="00014F91">
        <w:trPr>
          <w:trHeight w:val="237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2BA7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094FB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3CE2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48DAF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04973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2AB56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E441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73C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2A86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9B2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619,000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896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9 015,000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101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16 976,000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825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8 164,000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6B9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632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ABCE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D674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34 774,000</w:t>
            </w:r>
          </w:p>
        </w:tc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609AB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10DBCD8A" w14:textId="77777777" w:rsidTr="00014F91">
        <w:trPr>
          <w:trHeight w:val="237"/>
        </w:trPr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D042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62600/CR03</w:t>
            </w:r>
          </w:p>
        </w:tc>
        <w:tc>
          <w:tcPr>
            <w:tcW w:w="27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608B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kteří získali kvalifikaci po ukončení své účasti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250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2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879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nezaměstnaných, 60500 Zaměstnaní, včetně OSVČ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AA63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7573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F9742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AE01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3312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A1E03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279A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A23BA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D69DA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69F2E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98FB8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97D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F2FB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FE5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NR</w:t>
            </w:r>
          </w:p>
        </w:tc>
      </w:tr>
      <w:tr w:rsidR="00014F91" w:rsidRPr="00014F91" w14:paraId="0D5D8A25" w14:textId="77777777" w:rsidTr="00014F91">
        <w:trPr>
          <w:trHeight w:val="281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68F0DC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ED1DE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236E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06CD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FD68A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A486A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0F5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DE5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7A9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CBE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B58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275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5A43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8F47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856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544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06A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8632F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1E782E02" w14:textId="77777777" w:rsidTr="00014F91">
        <w:trPr>
          <w:trHeight w:val="281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89563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CDB8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EFE06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A3EB3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2ADC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51E2F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191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0DA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A32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F771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645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69F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F4AE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09B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2897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1777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1287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AFA7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5AA58FDE" w14:textId="77777777" w:rsidTr="00014F91">
        <w:trPr>
          <w:trHeight w:val="251"/>
        </w:trPr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B6C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63000/CR07</w:t>
            </w:r>
          </w:p>
        </w:tc>
        <w:tc>
          <w:tcPr>
            <w:tcW w:w="27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6B98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jejichž situace na trhu práce se 6 měsíců po ukončení jejich účasti zlepšila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4ED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EC3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60500 Zaměstnaní, včetně OSVČ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B61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1EA6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4 525,000</w:t>
            </w:r>
          </w:p>
        </w:tc>
        <w:tc>
          <w:tcPr>
            <w:tcW w:w="581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A148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930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12 664,000</w:t>
            </w:r>
          </w:p>
        </w:tc>
        <w:tc>
          <w:tcPr>
            <w:tcW w:w="6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698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279,867%</w:t>
            </w:r>
            <w:proofErr w:type="gramEnd"/>
          </w:p>
        </w:tc>
      </w:tr>
      <w:tr w:rsidR="00014F91" w:rsidRPr="00014F91" w14:paraId="0A0E91B4" w14:textId="77777777" w:rsidTr="00014F91">
        <w:trPr>
          <w:trHeight w:val="281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D2A3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94F6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810F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E9E0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01606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DB9AB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50A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DEFA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B84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4B9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7F0F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8 109,000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5A1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017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5565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F39D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402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CC3E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8 109,000</w:t>
            </w:r>
          </w:p>
        </w:tc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7499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7151B204" w14:textId="77777777" w:rsidTr="00014F91">
        <w:trPr>
          <w:trHeight w:val="281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F85F2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8822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55607D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638B3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0240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D30E1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516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06C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1E8A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093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04B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4 555,000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742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36CD0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11F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4FF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01CF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C14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4 555,000</w:t>
            </w:r>
          </w:p>
        </w:tc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DA148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6AA5EE30" w14:textId="77777777" w:rsidTr="00014F91">
        <w:trPr>
          <w:trHeight w:val="237"/>
        </w:trPr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27C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63000/CR07</w:t>
            </w:r>
          </w:p>
        </w:tc>
        <w:tc>
          <w:tcPr>
            <w:tcW w:w="27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05E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jejichž situace na trhu práce se 6 měsíců po ukončení jejich účasti zlepšila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4B45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2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AC58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60500 Zaměstnaní, včetně OSVČ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E7DCA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95B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81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282D1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0AF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D137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NR</w:t>
            </w:r>
          </w:p>
        </w:tc>
      </w:tr>
      <w:tr w:rsidR="00014F91" w:rsidRPr="00014F91" w14:paraId="21F69F08" w14:textId="77777777" w:rsidTr="00014F91">
        <w:trPr>
          <w:trHeight w:val="281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FA50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A74C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3EC68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38A93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81F91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FC250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393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287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AE7CC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B480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73A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E86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6E2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06565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EB95F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A37A6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8F6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0A5F4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014F91" w:rsidRPr="00014F91" w14:paraId="5BE28C6E" w14:textId="77777777" w:rsidTr="00014F91">
        <w:trPr>
          <w:trHeight w:val="281"/>
        </w:trPr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3FC72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C712EE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2E1B6B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E7B04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220332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17E97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3023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D7AEA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58CD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85244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D179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E67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E8FC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F1E8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512B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C6B2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7FF8" w14:textId="77777777" w:rsidR="00014F91" w:rsidRPr="00014F91" w:rsidRDefault="00014F91" w:rsidP="00014F91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014F9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5116BF" w14:textId="77777777" w:rsidR="00014F91" w:rsidRPr="00014F91" w:rsidRDefault="00014F91" w:rsidP="00014F91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</w:tbl>
    <w:p w14:paraId="0E5622A7" w14:textId="77777777" w:rsidR="00014F91" w:rsidRPr="003C2AA4" w:rsidRDefault="00014F91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</w:p>
    <w:p w14:paraId="47780E51" w14:textId="77777777" w:rsidR="003C2AA4" w:rsidRPr="003C2AA4" w:rsidRDefault="003C2AA4" w:rsidP="003C2AA4">
      <w:pPr>
        <w:tabs>
          <w:tab w:val="left" w:pos="392"/>
        </w:tabs>
        <w:ind w:left="115" w:right="815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>1</w:t>
      </w:r>
      <w:r w:rsidRPr="003C2AA4">
        <w:rPr>
          <w:rFonts w:ascii="Arial" w:eastAsia="Arial" w:hAnsi="Arial" w:cs="Arial"/>
          <w:color w:val="000000"/>
          <w:sz w:val="16"/>
        </w:rPr>
        <w:tab/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Odhad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založený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reprezentativním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vzorku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Členské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státy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mají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1: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Minimálním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požadavkem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je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dvakrát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, a to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 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případě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této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sloupci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„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proofErr w:type="gramStart"/>
      <w:r w:rsidRPr="003C2AA4">
        <w:rPr>
          <w:rFonts w:ascii="Arial" w:eastAsia="Arial" w:hAnsi="Arial" w:cs="Arial"/>
          <w:color w:val="000000"/>
          <w:sz w:val="16"/>
        </w:rPr>
        <w:t>hodnota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“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proofErr w:type="gram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2: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každý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rok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.</w:t>
      </w:r>
    </w:p>
    <w:p w14:paraId="63CA1B81" w14:textId="77777777" w:rsidR="003C2AA4" w:rsidRP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</w:p>
    <w:p w14:paraId="5B8E1B26" w14:textId="622E1A9C" w:rsid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03.1.54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Modernizace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institucí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trhu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jako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veřejné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soukromé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služby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zaměstnanosti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přispívání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k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adaptaci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potřeby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trhu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prostřednictvím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opatření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zlepšení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nadnárodní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mobility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pracovníků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programů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mobility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lepší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spolupráce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mezi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institucemi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příslušnými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zúčastněnými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stranami</w:t>
      </w:r>
      <w:proofErr w:type="spellEnd"/>
    </w:p>
    <w:tbl>
      <w:tblPr>
        <w:tblW w:w="159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7"/>
        <w:gridCol w:w="2236"/>
        <w:gridCol w:w="1084"/>
        <w:gridCol w:w="2561"/>
        <w:gridCol w:w="780"/>
        <w:gridCol w:w="887"/>
        <w:gridCol w:w="559"/>
        <w:gridCol w:w="559"/>
        <w:gridCol w:w="559"/>
        <w:gridCol w:w="559"/>
        <w:gridCol w:w="559"/>
        <w:gridCol w:w="559"/>
        <w:gridCol w:w="573"/>
        <w:gridCol w:w="551"/>
        <w:gridCol w:w="551"/>
        <w:gridCol w:w="554"/>
        <w:gridCol w:w="1004"/>
        <w:gridCol w:w="841"/>
      </w:tblGrid>
      <w:tr w:rsidR="00130B05" w:rsidRPr="00130B05" w14:paraId="6295DB66" w14:textId="77777777" w:rsidTr="00D1537E">
        <w:trPr>
          <w:trHeight w:val="957"/>
          <w:tblHeader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7B85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57EE0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1E08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FDC3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Společný indikátor výstupů použitý jako základ pro stanovení cíle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8E80C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 pro výchozí hodnotu a cíl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F5C4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 (Rozdělení podle pohlaví je pro cíl nepovinné)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3F24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A00DF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5F15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C4F38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7DFB9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EA7E1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3D40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AA45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1A2A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6BC42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12B9B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2CE6C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 Rozdělení podle pohlaví je nepovinné</w:t>
            </w:r>
          </w:p>
        </w:tc>
      </w:tr>
      <w:tr w:rsidR="00130B05" w:rsidRPr="00130B05" w14:paraId="271B4F25" w14:textId="77777777" w:rsidTr="00D1537E">
        <w:trPr>
          <w:trHeight w:val="288"/>
          <w:tblHeader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0ED3EA" w14:textId="77777777" w:rsidR="00130B05" w:rsidRPr="00130B05" w:rsidRDefault="00130B05" w:rsidP="00130B0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E47527" w14:textId="77777777" w:rsidR="00130B05" w:rsidRPr="00130B05" w:rsidRDefault="00130B05" w:rsidP="00130B0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6F1508" w14:textId="77777777" w:rsidR="00130B05" w:rsidRPr="00130B05" w:rsidRDefault="00130B05" w:rsidP="00130B0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86D921" w14:textId="77777777" w:rsidR="00130B05" w:rsidRPr="00130B05" w:rsidRDefault="00130B05" w:rsidP="00130B0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449F54" w14:textId="77777777" w:rsidR="00130B05" w:rsidRPr="00130B05" w:rsidRDefault="00130B05" w:rsidP="00130B0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13947" w14:textId="77777777" w:rsidR="00130B05" w:rsidRPr="00130B05" w:rsidRDefault="00130B05" w:rsidP="00130B0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7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1F1184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BBB0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01466" w14:textId="77777777" w:rsidR="00130B05" w:rsidRPr="00130B05" w:rsidRDefault="00130B05" w:rsidP="00130B0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30B05" w:rsidRPr="00130B05" w14:paraId="44816591" w14:textId="77777777" w:rsidTr="00D1537E">
        <w:trPr>
          <w:trHeight w:val="288"/>
          <w:tblHeader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B7F9DC" w14:textId="77777777" w:rsidR="00130B05" w:rsidRPr="00130B05" w:rsidRDefault="00130B05" w:rsidP="00130B0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94855" w14:textId="77777777" w:rsidR="00130B05" w:rsidRPr="00130B05" w:rsidRDefault="00130B05" w:rsidP="00130B0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58D5CB" w14:textId="77777777" w:rsidR="00130B05" w:rsidRPr="00130B05" w:rsidRDefault="00130B05" w:rsidP="00130B0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0EC2C3" w14:textId="77777777" w:rsidR="00130B05" w:rsidRPr="00130B05" w:rsidRDefault="00130B05" w:rsidP="00130B0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52699D" w14:textId="77777777" w:rsidR="00130B05" w:rsidRPr="00130B05" w:rsidRDefault="00130B05" w:rsidP="00130B0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AA7D68" w14:textId="77777777" w:rsidR="00130B05" w:rsidRPr="00130B05" w:rsidRDefault="00130B05" w:rsidP="00130B0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E2AA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4C1C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97211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A9E0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DCF5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49BD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D457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F109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C188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6162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EAC8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DDD000" w14:textId="77777777" w:rsidR="00130B05" w:rsidRPr="00130B05" w:rsidRDefault="00130B05" w:rsidP="00130B0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30B05" w:rsidRPr="00130B05" w14:paraId="04BE8335" w14:textId="77777777" w:rsidTr="00D1537E">
        <w:trPr>
          <w:trHeight w:val="288"/>
          <w:tblHeader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225626" w14:textId="77777777" w:rsidR="00130B05" w:rsidRPr="00130B05" w:rsidRDefault="00130B05" w:rsidP="00130B0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FCDEA" w14:textId="77777777" w:rsidR="00130B05" w:rsidRPr="00130B05" w:rsidRDefault="00130B05" w:rsidP="00130B0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B693E" w14:textId="77777777" w:rsidR="00130B05" w:rsidRPr="00130B05" w:rsidRDefault="00130B05" w:rsidP="00130B0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214431" w14:textId="77777777" w:rsidR="00130B05" w:rsidRPr="00130B05" w:rsidRDefault="00130B05" w:rsidP="00130B0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41EF62" w14:textId="77777777" w:rsidR="00130B05" w:rsidRPr="00130B05" w:rsidRDefault="00130B05" w:rsidP="00130B0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94583" w14:textId="77777777" w:rsidR="00130B05" w:rsidRPr="00130B05" w:rsidRDefault="00130B05" w:rsidP="00130B0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944D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FC0F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F73C3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CF0B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B8C3F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3004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EEF35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915B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42660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144E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4CF99" w14:textId="77777777" w:rsidR="00130B05" w:rsidRPr="00130B05" w:rsidRDefault="00130B05" w:rsidP="00130B0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D0391" w14:textId="77777777" w:rsidR="00130B05" w:rsidRPr="00130B05" w:rsidRDefault="00130B05" w:rsidP="00130B0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30B05" w:rsidRPr="00130B05" w14:paraId="34F97748" w14:textId="77777777" w:rsidTr="00130B05">
        <w:trPr>
          <w:trHeight w:val="243"/>
        </w:trPr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3E34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62600/CR03</w:t>
            </w:r>
          </w:p>
        </w:tc>
        <w:tc>
          <w:tcPr>
            <w:tcW w:w="2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2257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kteří získali kvalifikaci po ukončení své účasti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2818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BD4F1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nezaměstnaných, 60500 Zaměstnaní, včetně OSVČ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5128C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C54C0B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2 790,000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030AE7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C60FA4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52EA9C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FF2908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D5E0E2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213B28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E74D84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958E94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8BA47F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8928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A875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31,000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F840C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1,111%</w:t>
            </w:r>
            <w:proofErr w:type="gramEnd"/>
          </w:p>
        </w:tc>
      </w:tr>
      <w:tr w:rsidR="00130B05" w:rsidRPr="00130B05" w14:paraId="4F46D5D7" w14:textId="77777777" w:rsidTr="00130B05">
        <w:trPr>
          <w:trHeight w:val="288"/>
        </w:trPr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1E477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684DF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4181B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DAD61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315FD2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35BF3F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CA6C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78B6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3B20A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1EDE5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2FE1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97B5E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9A92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C8936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C2F9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C8294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437B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5,000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B85BF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30B05" w:rsidRPr="00130B05" w14:paraId="1FBA9246" w14:textId="77777777" w:rsidTr="00130B05">
        <w:trPr>
          <w:trHeight w:val="288"/>
        </w:trPr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670B2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E4378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F0E2A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1F243F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E4733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E3FDA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45D40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0591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50AF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2E94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FB7E9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3ED0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7,000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6AE1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17,000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63837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8733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749C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70A5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26,000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1639F6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30B05" w:rsidRPr="00130B05" w14:paraId="6B7FD8EC" w14:textId="77777777" w:rsidTr="00130B05">
        <w:trPr>
          <w:trHeight w:val="243"/>
        </w:trPr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A3D4D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62600/CR03</w:t>
            </w:r>
          </w:p>
        </w:tc>
        <w:tc>
          <w:tcPr>
            <w:tcW w:w="2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A3D0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kteří získali kvalifikaci po ukončení své účasti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5188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A8B2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nezaměstnaných, 60500 Zaměstnaní, včetně OSVČ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F89C8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55A4AF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225,000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9B9E0D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0B0F58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588CC6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1D2753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7A791D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852D38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249575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869ABA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EA705E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92BA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C0F0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8916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0,889%</w:t>
            </w:r>
            <w:proofErr w:type="gramEnd"/>
          </w:p>
        </w:tc>
      </w:tr>
      <w:tr w:rsidR="00130B05" w:rsidRPr="00130B05" w14:paraId="7C1612D4" w14:textId="77777777" w:rsidTr="00130B05">
        <w:trPr>
          <w:trHeight w:val="288"/>
        </w:trPr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1BDF6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15352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6392B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7C124B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D6A1C2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8797F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9FE3D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B42CD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E87BF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52A1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08C5C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573CA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804CB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CB59E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2804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C1572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70C9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6959A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30B05" w:rsidRPr="00130B05" w14:paraId="22D7B91A" w14:textId="77777777" w:rsidTr="00130B05">
        <w:trPr>
          <w:trHeight w:val="288"/>
        </w:trPr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DD3FB4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E1E3C9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C788D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D98D97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19C7ED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7A26C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BC1C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64D2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FC6A5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4999C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5BE34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A424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BA4FC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54252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E25CC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CD0F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C35E" w14:textId="77777777" w:rsidR="00130B05" w:rsidRPr="00130B05" w:rsidRDefault="00130B05" w:rsidP="00130B0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30B0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ABDFE" w14:textId="77777777" w:rsidR="00130B05" w:rsidRPr="00130B05" w:rsidRDefault="00130B05" w:rsidP="00130B0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</w:tbl>
    <w:p w14:paraId="1DBFC3F7" w14:textId="77777777" w:rsidR="00130B05" w:rsidRPr="003C2AA4" w:rsidRDefault="00130B05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</w:p>
    <w:p w14:paraId="0CBAB050" w14:textId="77777777" w:rsidR="003C2AA4" w:rsidRPr="003C2AA4" w:rsidRDefault="003C2AA4" w:rsidP="003C2AA4">
      <w:pPr>
        <w:tabs>
          <w:tab w:val="left" w:pos="392"/>
        </w:tabs>
        <w:ind w:left="115" w:right="815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>1</w:t>
      </w:r>
      <w:r w:rsidRPr="003C2AA4">
        <w:rPr>
          <w:rFonts w:ascii="Arial" w:eastAsia="Arial" w:hAnsi="Arial" w:cs="Arial"/>
          <w:color w:val="000000"/>
          <w:sz w:val="16"/>
        </w:rPr>
        <w:tab/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Odhad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založený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reprezentativním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vzorku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Členské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státy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mají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1: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Minimálním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požadavkem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je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dvakrát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, a to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 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případě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této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sloupci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„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proofErr w:type="gramStart"/>
      <w:r w:rsidRPr="003C2AA4">
        <w:rPr>
          <w:rFonts w:ascii="Arial" w:eastAsia="Arial" w:hAnsi="Arial" w:cs="Arial"/>
          <w:color w:val="000000"/>
          <w:sz w:val="16"/>
        </w:rPr>
        <w:t>hodnota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“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proofErr w:type="gram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2: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každý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rok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.</w:t>
      </w:r>
    </w:p>
    <w:p w14:paraId="710A9B84" w14:textId="77777777" w:rsidR="003C2AA4" w:rsidRP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</w:p>
    <w:p w14:paraId="3EFD0878" w14:textId="234FFB9B" w:rsid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03.2.60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Aktivní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začleňování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začleňování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s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ohledem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podporu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rovných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příležitostí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gramStart"/>
      <w:r w:rsidRPr="003C2AA4">
        <w:rPr>
          <w:rFonts w:ascii="Arial" w:eastAsia="Arial" w:hAnsi="Arial" w:cs="Arial"/>
          <w:color w:val="000000"/>
          <w:sz w:val="20"/>
        </w:rPr>
        <w:t>a</w:t>
      </w:r>
      <w:proofErr w:type="gram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aktivní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účast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zlepšení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zaměstnatelnosti</w:t>
      </w:r>
      <w:proofErr w:type="spellEnd"/>
    </w:p>
    <w:tbl>
      <w:tblPr>
        <w:tblW w:w="158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2771"/>
        <w:gridCol w:w="1049"/>
        <w:gridCol w:w="1238"/>
        <w:gridCol w:w="844"/>
        <w:gridCol w:w="911"/>
        <w:gridCol w:w="648"/>
        <w:gridCol w:w="648"/>
        <w:gridCol w:w="648"/>
        <w:gridCol w:w="654"/>
        <w:gridCol w:w="659"/>
        <w:gridCol w:w="659"/>
        <w:gridCol w:w="677"/>
        <w:gridCol w:w="646"/>
        <w:gridCol w:w="646"/>
        <w:gridCol w:w="650"/>
        <w:gridCol w:w="1004"/>
        <w:gridCol w:w="944"/>
      </w:tblGrid>
      <w:tr w:rsidR="006A5124" w:rsidRPr="006A5124" w14:paraId="32837439" w14:textId="77777777" w:rsidTr="00D1537E">
        <w:trPr>
          <w:trHeight w:val="904"/>
          <w:tblHeader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39ED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2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F80A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C614A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1C91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Společný indikátor výstupů použitý jako základ pro stanovení cíle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A17F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 pro výchozí hodnotu a cíl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4F2B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 (Rozdělení podle pohlaví je pro cíl nepovinné)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E9C8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6A3D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4BB3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EBF1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6C33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28684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5350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C0A57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831E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41C18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AAD8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1069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 Rozdělení podle pohlaví je nepovinné</w:t>
            </w:r>
          </w:p>
        </w:tc>
      </w:tr>
      <w:tr w:rsidR="006A5124" w:rsidRPr="006A5124" w14:paraId="3BEE2ED7" w14:textId="77777777" w:rsidTr="00D1537E">
        <w:trPr>
          <w:trHeight w:val="241"/>
          <w:tblHeader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0E6DB8" w14:textId="77777777" w:rsidR="006A5124" w:rsidRPr="006A5124" w:rsidRDefault="006A5124" w:rsidP="006A5124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9422D4" w14:textId="77777777" w:rsidR="006A5124" w:rsidRPr="006A5124" w:rsidRDefault="006A5124" w:rsidP="006A5124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909F0" w14:textId="77777777" w:rsidR="006A5124" w:rsidRPr="006A5124" w:rsidRDefault="006A5124" w:rsidP="006A5124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F1DBF" w14:textId="77777777" w:rsidR="006A5124" w:rsidRPr="006A5124" w:rsidRDefault="006A5124" w:rsidP="006A5124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B4EEE5" w14:textId="77777777" w:rsidR="006A5124" w:rsidRPr="006A5124" w:rsidRDefault="006A5124" w:rsidP="006A5124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3D9E1C" w14:textId="77777777" w:rsidR="006A5124" w:rsidRPr="006A5124" w:rsidRDefault="006A5124" w:rsidP="006A5124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E766A0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C26B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2768DA" w14:textId="77777777" w:rsidR="006A5124" w:rsidRPr="006A5124" w:rsidRDefault="006A5124" w:rsidP="006A5124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194863C2" w14:textId="77777777" w:rsidTr="00D1537E">
        <w:trPr>
          <w:trHeight w:val="241"/>
          <w:tblHeader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7B80F" w14:textId="77777777" w:rsidR="006A5124" w:rsidRPr="006A5124" w:rsidRDefault="006A5124" w:rsidP="006A5124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ACFC00" w14:textId="77777777" w:rsidR="006A5124" w:rsidRPr="006A5124" w:rsidRDefault="006A5124" w:rsidP="006A5124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4C830F" w14:textId="77777777" w:rsidR="006A5124" w:rsidRPr="006A5124" w:rsidRDefault="006A5124" w:rsidP="006A5124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CC856" w14:textId="77777777" w:rsidR="006A5124" w:rsidRPr="006A5124" w:rsidRDefault="006A5124" w:rsidP="006A5124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E8F0C" w14:textId="77777777" w:rsidR="006A5124" w:rsidRPr="006A5124" w:rsidRDefault="006A5124" w:rsidP="006A5124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25FF5" w14:textId="77777777" w:rsidR="006A5124" w:rsidRPr="006A5124" w:rsidRDefault="006A5124" w:rsidP="006A5124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7EE02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7874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B6AF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286D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90B3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EF839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6A56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57F5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42F71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C8EF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4C38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9E08D" w14:textId="77777777" w:rsidR="006A5124" w:rsidRPr="006A5124" w:rsidRDefault="006A5124" w:rsidP="006A5124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292B4D83" w14:textId="77777777" w:rsidTr="00D1537E">
        <w:trPr>
          <w:trHeight w:val="241"/>
          <w:tblHeader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27B77C" w14:textId="77777777" w:rsidR="006A5124" w:rsidRPr="006A5124" w:rsidRDefault="006A5124" w:rsidP="006A5124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6D7C1" w14:textId="77777777" w:rsidR="006A5124" w:rsidRPr="006A5124" w:rsidRDefault="006A5124" w:rsidP="006A5124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7FDA6F" w14:textId="77777777" w:rsidR="006A5124" w:rsidRPr="006A5124" w:rsidRDefault="006A5124" w:rsidP="006A5124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BAD90" w14:textId="77777777" w:rsidR="006A5124" w:rsidRPr="006A5124" w:rsidRDefault="006A5124" w:rsidP="006A5124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E53F7" w14:textId="77777777" w:rsidR="006A5124" w:rsidRPr="006A5124" w:rsidRDefault="006A5124" w:rsidP="006A5124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97FEBA" w14:textId="77777777" w:rsidR="006A5124" w:rsidRPr="006A5124" w:rsidRDefault="006A5124" w:rsidP="006A5124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F0CC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9AA0A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F2A4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291D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70578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A575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63AE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CC73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2122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E886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27FC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BB714" w14:textId="77777777" w:rsidR="006A5124" w:rsidRPr="006A5124" w:rsidRDefault="006A5124" w:rsidP="006A5124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755056A9" w14:textId="77777777" w:rsidTr="006A5124">
        <w:trPr>
          <w:trHeight w:val="301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96CDC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62400</w:t>
            </w: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CR01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1EB3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Neaktivní účastníci, kteří znovu začali hledat zaměstnání po ukončení své účasti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665B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3AD23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60300 Neaktivní účastníci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1020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7191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2 984,000</w:t>
            </w:r>
          </w:p>
        </w:tc>
        <w:tc>
          <w:tcPr>
            <w:tcW w:w="65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32AEA1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1FFE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1 386,000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3461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46,448</w:t>
            </w:r>
          </w:p>
        </w:tc>
      </w:tr>
      <w:tr w:rsidR="006A5124" w:rsidRPr="006A5124" w14:paraId="00973D12" w14:textId="77777777" w:rsidTr="006A5124">
        <w:trPr>
          <w:trHeight w:val="301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9810A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828FC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928E9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3328F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6F78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C0810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33DE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8E42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662D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A8AEA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0030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E85D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F0BB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468,000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1193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BED7F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0AB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EBF57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468,000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F0A34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40B06071" w14:textId="77777777" w:rsidTr="006A5124">
        <w:trPr>
          <w:trHeight w:val="301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E84AD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4AFF9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FC192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1B6E9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2DD50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129A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761DA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C9E6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775D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F988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D2F0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416AE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F4B7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918,000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F2B6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0EFA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6503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F5EA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918,000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ED2F8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7284657D" w14:textId="77777777" w:rsidTr="006A5124">
        <w:trPr>
          <w:trHeight w:val="301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09BB4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62400</w:t>
            </w: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CR01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1B44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Neaktivní účastníci, kteří znovu začali hledat zaměstnání po ukončení své účasti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AF22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845E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60300 Neaktivní účastníci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DE988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E904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342,000</w:t>
            </w:r>
          </w:p>
        </w:tc>
        <w:tc>
          <w:tcPr>
            <w:tcW w:w="65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4BF36E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868C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44,000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4880E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12,865</w:t>
            </w:r>
          </w:p>
        </w:tc>
      </w:tr>
      <w:tr w:rsidR="006A5124" w:rsidRPr="006A5124" w14:paraId="71FC0737" w14:textId="77777777" w:rsidTr="006A5124">
        <w:trPr>
          <w:trHeight w:val="301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65588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C3C9E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E36B0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4EE1A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F586C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02689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46FD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71CFE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2840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C8EA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C6C30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F233D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79EAC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24,000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EF937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B6674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6682E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5FBD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24,000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E0A3E3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04CE8ACC" w14:textId="77777777" w:rsidTr="006A5124">
        <w:trPr>
          <w:trHeight w:val="301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DBB52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819D2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36FD2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59FA9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ADE1B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75EC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5E72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FBB5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FC64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52D30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98B9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FA8D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6CB1D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AF3D9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9D48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97A4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D492A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20,000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3CC141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2CAC37CE" w14:textId="77777777" w:rsidTr="006A5124">
        <w:trPr>
          <w:trHeight w:val="3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F5FB9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lastRenderedPageBreak/>
              <w:t>62700</w:t>
            </w: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CR04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E4BF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zaměstnaní po ukončení své účasti, včetně OSVČ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3121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CA33D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F5CDC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A4DF2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1 244,000</w:t>
            </w:r>
          </w:p>
        </w:tc>
        <w:tc>
          <w:tcPr>
            <w:tcW w:w="65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9D17A8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3C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6 104,000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DE19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490,675</w:t>
            </w:r>
          </w:p>
        </w:tc>
      </w:tr>
      <w:tr w:rsidR="006A5124" w:rsidRPr="006A5124" w14:paraId="6D73EB39" w14:textId="77777777" w:rsidTr="006A5124">
        <w:trPr>
          <w:trHeight w:val="34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A1B1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8E48F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512F2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4B550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CB161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D9E9F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FF13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300D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4CBF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160D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61,000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C252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444,000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9636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139,000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67F7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1 955,000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3A1C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813AB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7C9C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43F52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2 599,000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DEDAD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6CAE98E7" w14:textId="77777777" w:rsidTr="006A5124">
        <w:trPr>
          <w:trHeight w:val="34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3E0B2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FD138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A5944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F4C5C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14A47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B4C00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7D68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DDB7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894A4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2547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66,000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FC7E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544,000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569A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97,000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709D7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2 798,000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6A46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F239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32AD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D2A4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3 505,000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0B578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337E162D" w14:textId="77777777" w:rsidTr="006A5124">
        <w:trPr>
          <w:trHeight w:val="3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CCDBC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62700</w:t>
            </w: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CR04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437F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zaměstnaní po ukončení své účasti, včetně OSVČ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1A54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600E3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EA24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5393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142,000</w:t>
            </w:r>
          </w:p>
        </w:tc>
        <w:tc>
          <w:tcPr>
            <w:tcW w:w="65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4608D6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E0329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196,000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C1AD4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138,028</w:t>
            </w:r>
          </w:p>
        </w:tc>
      </w:tr>
      <w:tr w:rsidR="006A5124" w:rsidRPr="006A5124" w14:paraId="01EAB87E" w14:textId="77777777" w:rsidTr="006A5124">
        <w:trPr>
          <w:trHeight w:val="34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58A0D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DD60F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9E646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3E9B0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8F21C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CE89A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419E9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E1CD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4D5D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DC51A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F2188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69,000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622E4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30,000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5F6A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5681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430B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9CEF8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5CEFE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106,000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2CA62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01E3187F" w14:textId="77777777" w:rsidTr="006A5124">
        <w:trPr>
          <w:trHeight w:val="34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477AB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F8FF3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229ED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F625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C2CD2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05B3E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2307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A4A7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65DBA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9837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A422F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52,000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9D47F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28,000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FAA7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D5CB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D9FC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818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B783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90,000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C0184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0BA1ED00" w14:textId="77777777" w:rsidTr="006A5124">
        <w:trPr>
          <w:trHeight w:val="241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F7710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62800</w:t>
            </w: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CR05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59C3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Znevýhodnění účastníci, kteří po ukončení své účasti hledají zaměstnání, jsou v procesu vzdělávání/ odborné přípravy, rozšiřují si kvalifikaci nebo jsou zaměstnaní, a to i OSVČ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B5A1D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CD0AB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E0A8F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7F301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5 057,000</w:t>
            </w:r>
          </w:p>
        </w:tc>
        <w:tc>
          <w:tcPr>
            <w:tcW w:w="65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424C26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1F06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5 542,000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3257D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109,591</w:t>
            </w:r>
          </w:p>
        </w:tc>
      </w:tr>
      <w:tr w:rsidR="006A5124" w:rsidRPr="006A5124" w14:paraId="75DDDF74" w14:textId="77777777" w:rsidTr="006A5124">
        <w:trPr>
          <w:trHeight w:val="241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DE281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74FF8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3C684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3A598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4AAEF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7043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58139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3B1A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734A8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CD32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85,000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BF1E5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563,000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CC43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174,000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7F9BB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1 688,000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48182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146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03B10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9C85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2 518,000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F6DA3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0162CEE1" w14:textId="77777777" w:rsidTr="006A5124">
        <w:trPr>
          <w:trHeight w:val="241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24BCB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27EE4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AC9FE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3F4F6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93320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AF71E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FEFB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CF29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01A1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5DFF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83,000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9D7AD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478,000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3F218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367,000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724A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2 094,000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C461E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C071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59D31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6175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3 024,000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137456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4E9E14FD" w14:textId="77777777" w:rsidTr="006A5124">
        <w:trPr>
          <w:trHeight w:val="241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33BA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62800</w:t>
            </w: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CR05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43EF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Znevýhodnění účastníci, kteří po ukončení své účasti hledají zaměstnání, jsou v procesu vzdělávání/ odborné přípravy, rozšiřují si kvalifikaci nebo jsou zaměstnaní, a to i OSVČ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F333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E163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8887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7CA7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579,000</w:t>
            </w:r>
          </w:p>
        </w:tc>
        <w:tc>
          <w:tcPr>
            <w:tcW w:w="65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881C2A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36B9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237,000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92B47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40,933</w:t>
            </w:r>
          </w:p>
        </w:tc>
      </w:tr>
      <w:tr w:rsidR="006A5124" w:rsidRPr="006A5124" w14:paraId="4E71D783" w14:textId="77777777" w:rsidTr="006A5124">
        <w:trPr>
          <w:trHeight w:val="241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811B8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C7138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0661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90D51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0C687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CE450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9E8A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1FDEF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7F94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65517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24CE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64,000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B752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9F60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55,000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716DE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51930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3EC7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00D4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129,000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1A91F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52045259" w14:textId="77777777" w:rsidTr="006A5124">
        <w:trPr>
          <w:trHeight w:val="241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5A0D9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859A8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45E0B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8B652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737F6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ABFD9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E9563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E196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C238B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3C20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6D0A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61,000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1B88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16D5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47,000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CED6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798F8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448E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5B20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108,000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D9D9C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18F72BC9" w14:textId="77777777" w:rsidTr="006A5124">
        <w:trPr>
          <w:trHeight w:val="3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F0A9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62900</w:t>
            </w: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CR06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2C1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zaměstnaní 6 měsíců po ukončení své účasti, včetně OSVČ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ED4F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FB4B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68C3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AE9F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772,000</w:t>
            </w:r>
          </w:p>
        </w:tc>
        <w:tc>
          <w:tcPr>
            <w:tcW w:w="65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BEE2ED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47DC8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6 223,000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39C6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806,088</w:t>
            </w:r>
          </w:p>
        </w:tc>
      </w:tr>
      <w:tr w:rsidR="006A5124" w:rsidRPr="006A5124" w14:paraId="46605205" w14:textId="77777777" w:rsidTr="006A5124">
        <w:trPr>
          <w:trHeight w:val="34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7831A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D686C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BA0E6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84ABC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7CF98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3F2BE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43EAA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4B8DB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6CC4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98C9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B1AFB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326,000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6DF5B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124,000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8D8A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2 157,000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94B0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A0E90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7013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4081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2 629,000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943FCD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6C99C196" w14:textId="77777777" w:rsidTr="006A5124">
        <w:trPr>
          <w:trHeight w:val="34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76CA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FE630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E76CF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0C5F6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7167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540CD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3B817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0600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F7F5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3032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23,000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ABEDD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285,000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EFD0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130,000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4DC00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3 155,000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8B2E2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35B7E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9F757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CD7F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3 594,000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27BF2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2FE4D46C" w14:textId="77777777" w:rsidTr="006A5124">
        <w:trPr>
          <w:trHeight w:val="346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8D0E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62900</w:t>
            </w: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CR06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42BC7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zaměstnaní 6 měsíců po ukončení své účasti, včetně OSVČ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3508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F2F2D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AA52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FFCA1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88,000</w:t>
            </w:r>
          </w:p>
        </w:tc>
        <w:tc>
          <w:tcPr>
            <w:tcW w:w="65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4B9B75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B1B9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224,000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ADFF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254,545</w:t>
            </w:r>
          </w:p>
        </w:tc>
      </w:tr>
      <w:tr w:rsidR="006A5124" w:rsidRPr="006A5124" w14:paraId="00E059E7" w14:textId="77777777" w:rsidTr="006A5124">
        <w:trPr>
          <w:trHeight w:val="34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60354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AB462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71202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A9AAF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D221D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273A6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7B3A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33B55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0EDC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E5D0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338DF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47,000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BAD3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37,000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0F522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27,000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91A4E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2ED0A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762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374C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111,000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F078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333B27BA" w14:textId="77777777" w:rsidTr="006A5124">
        <w:trPr>
          <w:trHeight w:val="34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5AB91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39971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25919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0CDC7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31FE2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2413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DA38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79712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69C6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C1C6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918A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32,000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70EFB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23,000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A7B3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58,000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42E3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D588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9ECC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2AA29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113,000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6CD9F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4E11453F" w14:textId="77777777" w:rsidTr="006A5124">
        <w:trPr>
          <w:trHeight w:val="241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D1AC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63000</w:t>
            </w: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CR07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C22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jejichž situace na trhu práce se 6 měsíců po ukončení jejich účasti zlepšila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3FFA6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36709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60500 Zaměstnaní, včetně OSVČ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4950B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6997E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734,000</w:t>
            </w:r>
          </w:p>
        </w:tc>
        <w:tc>
          <w:tcPr>
            <w:tcW w:w="65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EB5017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C499E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153,577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DBE9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20,923</w:t>
            </w:r>
          </w:p>
        </w:tc>
      </w:tr>
      <w:tr w:rsidR="006A5124" w:rsidRPr="006A5124" w14:paraId="08386E74" w14:textId="77777777" w:rsidTr="006A5124">
        <w:trPr>
          <w:trHeight w:val="241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A664B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30E02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D3680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082D3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7A694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E5202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F32F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57D3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7F5F8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40D66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2E7E1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66,282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69D3E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B5320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D95A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F2CBB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3F65F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7EB2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66,282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BC208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52DEF3B3" w14:textId="77777777" w:rsidTr="006A5124">
        <w:trPr>
          <w:trHeight w:val="241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20D69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97AF8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F3F74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22A4C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D6153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BA46F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3D20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9F69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4E20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BFF9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7C98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87,295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8220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D439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17D4D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D0B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39282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6E80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87,295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34063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0858353E" w14:textId="77777777" w:rsidTr="006A5124">
        <w:trPr>
          <w:trHeight w:val="241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E8B4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63000</w:t>
            </w: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CR07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71097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jejichž situace na trhu práce se 6 měsíců po ukončení jejich účasti zlepšila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4A79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C0BA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60500 Zaměstnaní, včetně OSVČ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35EF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D078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61,000</w:t>
            </w:r>
          </w:p>
        </w:tc>
        <w:tc>
          <w:tcPr>
            <w:tcW w:w="65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B061E9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0B13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7,423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B32A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12,170</w:t>
            </w:r>
          </w:p>
        </w:tc>
      </w:tr>
      <w:tr w:rsidR="006A5124" w:rsidRPr="006A5124" w14:paraId="50F1CFE0" w14:textId="77777777" w:rsidTr="006A5124">
        <w:trPr>
          <w:trHeight w:val="241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F3CFA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31829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D8D3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50146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C68E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3ED41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1D53F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8478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9402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F534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BBFB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4,033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D8233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8954C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7C59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2000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6649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C089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4,033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EDFC37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1D372E90" w14:textId="77777777" w:rsidTr="006A5124">
        <w:trPr>
          <w:trHeight w:val="241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0B4FD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C4E56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61FD2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F8851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D5AC6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457B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5A91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798A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C8F8E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0E0D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41644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3,390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6E6D2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2085E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BE3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0312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A147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31588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3,390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DDC3E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0A1F1986" w14:textId="77777777" w:rsidTr="006A5124">
        <w:trPr>
          <w:trHeight w:val="904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FD56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lastRenderedPageBreak/>
              <w:t>63100</w:t>
            </w: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CR08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0C0D6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ve věku nad 54 let zaměstnaní 6 měsíců po ukončení své účasti, včetně OSVČ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7721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11F5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nezaměstnaných, 60700 účastníci ve věku nad 54 let, 60400 Neaktivní osoby, které nejsou v procesu vzdělávání nebo odborné přípravy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BA8D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6F52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124,000</w:t>
            </w:r>
          </w:p>
        </w:tc>
        <w:tc>
          <w:tcPr>
            <w:tcW w:w="65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3B5AD4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86025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514,000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18DA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414,516</w:t>
            </w:r>
          </w:p>
        </w:tc>
      </w:tr>
      <w:tr w:rsidR="006A5124" w:rsidRPr="006A5124" w14:paraId="08E1DAE0" w14:textId="77777777" w:rsidTr="006A5124">
        <w:trPr>
          <w:trHeight w:val="90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2D13D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20DC4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6F4AB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4FD2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030AF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884EA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FC898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42EA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E0BA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119E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B044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32,000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00B0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2D8F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217,000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CE0B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690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A34F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D3E9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264,000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34CB0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2FA13872" w14:textId="77777777" w:rsidTr="006A5124">
        <w:trPr>
          <w:trHeight w:val="90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67C2B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671B0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42E46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01C41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8C7DF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8A32E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0E93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08B2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990F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D326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5EEE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26,000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28954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568D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205,000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1C98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9DA2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FBFB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CBDC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250,000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CA48B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2EE33C3E" w14:textId="77777777" w:rsidTr="006A5124">
        <w:trPr>
          <w:trHeight w:val="904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F3FFC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63100</w:t>
            </w: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CR08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686D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ve věku nad 54 let zaměstnaní 6 měsíců po ukončení své účasti, včetně OSVČ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5C84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D0433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nezaměstnaných, 60700 účastníci ve věku nad 54 let, 60400 Neaktivní osoby, které nejsou v procesu vzdělávání nebo odborné přípravy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706F8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4E67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14,000</w:t>
            </w:r>
          </w:p>
        </w:tc>
        <w:tc>
          <w:tcPr>
            <w:tcW w:w="65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93BE6D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42D9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32,000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6435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228,571</w:t>
            </w:r>
          </w:p>
        </w:tc>
      </w:tr>
      <w:tr w:rsidR="006A5124" w:rsidRPr="006A5124" w14:paraId="16CE4C26" w14:textId="77777777" w:rsidTr="006A5124">
        <w:trPr>
          <w:trHeight w:val="90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ADB1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39630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75F1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A9BD6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08D4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48DAD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E576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C1E0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07854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1311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96A3D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71AF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4A60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50BD4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3C4BE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8942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99D2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21,000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6D60B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5F0D695C" w14:textId="77777777" w:rsidTr="006A5124">
        <w:trPr>
          <w:trHeight w:val="904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13DE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2D8C2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24B4B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F4B4B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86E49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BD1E4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FFCD4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4B85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52CEC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1A06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2C2E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8594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4055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C4E3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014C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C895D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9CF1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11,000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7693E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07092109" w14:textId="77777777" w:rsidTr="006A5124">
        <w:trPr>
          <w:trHeight w:val="241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C651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63200</w:t>
            </w: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CR09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C760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Znevýhodnění účastníci zaměstnaní 6 měsíců po ukončení své účasti včetně OSVČ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7F53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957A3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3E2CD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C377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747,000</w:t>
            </w:r>
          </w:p>
        </w:tc>
        <w:tc>
          <w:tcPr>
            <w:tcW w:w="65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4782C6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0B7E7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4 385,000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BE7D0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587,015</w:t>
            </w:r>
          </w:p>
        </w:tc>
      </w:tr>
      <w:tr w:rsidR="006A5124" w:rsidRPr="006A5124" w14:paraId="39C98738" w14:textId="77777777" w:rsidTr="006A5124">
        <w:trPr>
          <w:trHeight w:val="241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4FD29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CBC9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6B93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C0244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FC6A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4568D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911F3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6FFE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F3F82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44F11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2E25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275,000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1BBB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93,000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AA0C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1 691,000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9BC0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CE54D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7890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11FD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2 081,000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20367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4E395A05" w14:textId="77777777" w:rsidTr="006A5124">
        <w:trPr>
          <w:trHeight w:val="241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5527A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9D1B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F0038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851AA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1C120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A9E5A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9F3C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B802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FE31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572FE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6845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206,000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EB6B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75,000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453C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2 003,000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CEB5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F3A3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E6DAE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B8A0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2 304,000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1BB40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1096E597" w14:textId="77777777" w:rsidTr="006A5124">
        <w:trPr>
          <w:trHeight w:val="241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F4E82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63200</w:t>
            </w: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CR09</w:t>
            </w:r>
          </w:p>
        </w:tc>
        <w:tc>
          <w:tcPr>
            <w:tcW w:w="2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78CA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Znevýhodnění účastníci zaměstnaní 6 měsíců po ukončení své účasti včetně OSVČ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B39F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DD96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1A307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0DB9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85,000</w:t>
            </w:r>
          </w:p>
        </w:tc>
        <w:tc>
          <w:tcPr>
            <w:tcW w:w="65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63454D" w14:textId="77777777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85AD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199,000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2E422" w14:textId="1C6F6580" w:rsidR="006A5124" w:rsidRPr="006A5124" w:rsidRDefault="006A5124" w:rsidP="006A512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234,118</w:t>
            </w:r>
          </w:p>
        </w:tc>
      </w:tr>
      <w:tr w:rsidR="006A5124" w:rsidRPr="006A5124" w14:paraId="7DC0F9D4" w14:textId="77777777" w:rsidTr="006A5124">
        <w:trPr>
          <w:trHeight w:val="241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28170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C6646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C7B4C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2F3CB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F7CC7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2A374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65B9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0FBE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4EC4F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359D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BA9A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46,000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E755F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36,000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985AC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9C7E3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3658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FA782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0264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107,000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1A79D6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6A5124" w:rsidRPr="006A5124" w14:paraId="12523CDD" w14:textId="77777777" w:rsidTr="006A5124">
        <w:trPr>
          <w:trHeight w:val="241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D3A37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F4818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D7AC9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C6874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01883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9226C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51FD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83F10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0EDF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547B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D9DC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31,000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AAB54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22,000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B0A0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39,000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3AE4F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F1C8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3A69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7CD2" w14:textId="77777777" w:rsidR="006A5124" w:rsidRPr="006A5124" w:rsidRDefault="006A5124" w:rsidP="006A5124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6A5124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92,000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AC8AB6" w14:textId="77777777" w:rsidR="006A5124" w:rsidRPr="006A5124" w:rsidRDefault="006A5124" w:rsidP="006A5124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</w:tbl>
    <w:p w14:paraId="4E741C8F" w14:textId="77777777" w:rsidR="006A5124" w:rsidRPr="003C2AA4" w:rsidRDefault="006A512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</w:p>
    <w:p w14:paraId="745A0CDE" w14:textId="77777777" w:rsidR="003C2AA4" w:rsidRPr="003C2AA4" w:rsidRDefault="003C2AA4" w:rsidP="003C2AA4">
      <w:pPr>
        <w:tabs>
          <w:tab w:val="left" w:pos="392"/>
        </w:tabs>
        <w:ind w:left="115" w:right="815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>1</w:t>
      </w:r>
      <w:r w:rsidRPr="003C2AA4">
        <w:rPr>
          <w:rFonts w:ascii="Arial" w:eastAsia="Arial" w:hAnsi="Arial" w:cs="Arial"/>
          <w:color w:val="000000"/>
          <w:sz w:val="16"/>
        </w:rPr>
        <w:tab/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Odhad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založený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reprezentativním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vzorku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Členské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státy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mají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1: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Minimálním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požadavkem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je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dvakrát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, a to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 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případě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této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sloupci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„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proofErr w:type="gramStart"/>
      <w:r w:rsidRPr="003C2AA4">
        <w:rPr>
          <w:rFonts w:ascii="Arial" w:eastAsia="Arial" w:hAnsi="Arial" w:cs="Arial"/>
          <w:color w:val="000000"/>
          <w:sz w:val="16"/>
        </w:rPr>
        <w:t>hodnota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“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proofErr w:type="gram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2: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každý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rok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.</w:t>
      </w:r>
    </w:p>
    <w:p w14:paraId="1ECE0169" w14:textId="77777777" w:rsidR="00716028" w:rsidRDefault="00716028" w:rsidP="00716028">
      <w:pPr>
        <w:ind w:right="108"/>
        <w:jc w:val="both"/>
        <w:rPr>
          <w:rFonts w:ascii="Arial" w:eastAsia="Arial" w:hAnsi="Arial" w:cs="Arial"/>
          <w:color w:val="000000"/>
          <w:sz w:val="20"/>
        </w:rPr>
      </w:pPr>
    </w:p>
    <w:p w14:paraId="1E792CD9" w14:textId="2FE7E3B4" w:rsid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03.2.63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Zlepšování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přístupu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k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dostupným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udržitelným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vysoce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kvalitním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službám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zdravotnictví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sociálních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služeb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obecného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zájmu</w:t>
      </w:r>
      <w:proofErr w:type="spellEnd"/>
    </w:p>
    <w:tbl>
      <w:tblPr>
        <w:tblW w:w="158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2570"/>
        <w:gridCol w:w="1007"/>
        <w:gridCol w:w="2498"/>
        <w:gridCol w:w="762"/>
        <w:gridCol w:w="887"/>
        <w:gridCol w:w="547"/>
        <w:gridCol w:w="547"/>
        <w:gridCol w:w="547"/>
        <w:gridCol w:w="560"/>
        <w:gridCol w:w="647"/>
        <w:gridCol w:w="647"/>
        <w:gridCol w:w="647"/>
        <w:gridCol w:w="540"/>
        <w:gridCol w:w="540"/>
        <w:gridCol w:w="545"/>
        <w:gridCol w:w="1004"/>
        <w:gridCol w:w="841"/>
      </w:tblGrid>
      <w:tr w:rsidR="00716028" w:rsidRPr="00716028" w14:paraId="2BEE6454" w14:textId="77777777" w:rsidTr="00D1537E">
        <w:trPr>
          <w:trHeight w:val="779"/>
          <w:tblHeader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5510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2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114B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32DA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3AF68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Společný indikátor výstupů použitý jako základ pro stanovení cíle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1D4B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 pro výchozí hodnotu a cíl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9B165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 (Rozdělení podle pohlaví je pro cíl nepovinné)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73FCB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708E5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EADE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30E6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B0E8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ADD0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F63B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FE09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A9FD9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315FB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2956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71FA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 Rozdělení podle pohlaví je nepovinné</w:t>
            </w:r>
          </w:p>
        </w:tc>
      </w:tr>
      <w:tr w:rsidR="00716028" w:rsidRPr="00716028" w14:paraId="46A06B8C" w14:textId="77777777" w:rsidTr="00D1537E">
        <w:trPr>
          <w:trHeight w:val="259"/>
          <w:tblHeader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BC28E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3ABD5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D3FA19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2E6441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C8DCEB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FEBE7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99D02B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AD88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B4FED0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716028" w:rsidRPr="00716028" w14:paraId="7BE09277" w14:textId="77777777" w:rsidTr="00D1537E">
        <w:trPr>
          <w:trHeight w:val="259"/>
          <w:tblHeader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4AA89D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333ED7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FE9399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713817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18639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71791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EDDF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2F79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F5EC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24B8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7359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E244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28BE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FB2EE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06E3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15AC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D2DD8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A48074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716028" w:rsidRPr="00716028" w14:paraId="3ACDCB49" w14:textId="77777777" w:rsidTr="00D1537E">
        <w:trPr>
          <w:trHeight w:val="259"/>
          <w:tblHeader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FE580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4639A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DC769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7F764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A6E8D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CFEC0B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F2D26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EBC3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87354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D2F09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5E17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4876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A1DF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6BB08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205A2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0F0F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1B248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A12323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716028" w:rsidRPr="00716028" w14:paraId="64DF8C60" w14:textId="77777777" w:rsidTr="00716028">
        <w:trPr>
          <w:trHeight w:val="259"/>
        </w:trPr>
        <w:tc>
          <w:tcPr>
            <w:tcW w:w="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C73A2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62600</w:t>
            </w: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CR03</w:t>
            </w:r>
          </w:p>
        </w:tc>
        <w:tc>
          <w:tcPr>
            <w:tcW w:w="2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C59A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kteří získali kvalifikaci po ukončení své účasti</w:t>
            </w:r>
          </w:p>
        </w:tc>
        <w:tc>
          <w:tcPr>
            <w:tcW w:w="1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5DD1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EF97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nezaměstnaných, 60500 Zaměstnaní, včetně OSVČ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07DCC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E462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11 458,000</w:t>
            </w:r>
          </w:p>
        </w:tc>
        <w:tc>
          <w:tcPr>
            <w:tcW w:w="56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646561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3C03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5 719,000</w:t>
            </w:r>
          </w:p>
        </w:tc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3002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49,913</w:t>
            </w:r>
          </w:p>
        </w:tc>
      </w:tr>
      <w:tr w:rsidR="00716028" w:rsidRPr="00716028" w14:paraId="41A1FC54" w14:textId="77777777" w:rsidTr="00716028">
        <w:trPr>
          <w:trHeight w:val="259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91BEF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19098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4D8EF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307C4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DB3DC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9C79B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4021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7FC04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10FA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1365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FBF4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179,000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6BFFE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153,000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052F6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385,000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B591E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C51E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D50E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E6D07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717,000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97172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716028" w:rsidRPr="00716028" w14:paraId="0EF3706E" w14:textId="77777777" w:rsidTr="00716028">
        <w:trPr>
          <w:trHeight w:val="259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9FB27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502CC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94139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7FDE0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34FDF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BDB28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34967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3ACEB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6534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0275A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68A9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1 624,000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F860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742,000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2F07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2 636,000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E335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1C8F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4530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EE7F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5 002,000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3507B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716028" w:rsidRPr="00716028" w14:paraId="75BD4DB4" w14:textId="77777777" w:rsidTr="00716028">
        <w:trPr>
          <w:trHeight w:val="259"/>
        </w:trPr>
        <w:tc>
          <w:tcPr>
            <w:tcW w:w="5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CD53F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62600</w:t>
            </w: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CR03</w:t>
            </w:r>
          </w:p>
        </w:tc>
        <w:tc>
          <w:tcPr>
            <w:tcW w:w="28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AEF2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kteří získali kvalifikaci po ukončení své účasti</w:t>
            </w:r>
          </w:p>
        </w:tc>
        <w:tc>
          <w:tcPr>
            <w:tcW w:w="1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D6AAE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2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7D36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nezaměstnaných, 60500 Zaměstnaní, včetně OSVČ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5EF3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846B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2 317,000</w:t>
            </w:r>
          </w:p>
        </w:tc>
        <w:tc>
          <w:tcPr>
            <w:tcW w:w="569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E9C52D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40E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566,000</w:t>
            </w:r>
          </w:p>
        </w:tc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FB55B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24,428</w:t>
            </w:r>
          </w:p>
        </w:tc>
      </w:tr>
      <w:tr w:rsidR="00716028" w:rsidRPr="00716028" w14:paraId="49CC358E" w14:textId="77777777" w:rsidTr="00716028">
        <w:trPr>
          <w:trHeight w:val="259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AF6EF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3B78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61BD1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62E18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30A49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E7BDE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DC79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EC37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2E728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A8F99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39E8C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21,000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4303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19,000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5C858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75,000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B447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FF9A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A1CB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C356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115,000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CE84DE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716028" w:rsidRPr="00716028" w14:paraId="6D8ABB04" w14:textId="77777777" w:rsidTr="00716028">
        <w:trPr>
          <w:trHeight w:val="259"/>
        </w:trPr>
        <w:tc>
          <w:tcPr>
            <w:tcW w:w="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F5AA2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4CEB8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B48D4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5BAA4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60650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CF1A5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F24D3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A358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B4801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0A87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D7C7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30,000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B527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22,000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540F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399,000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BACF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7EAC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86C5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F7D4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451,000</w:t>
            </w: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7C45B3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</w:tbl>
    <w:p w14:paraId="654115DF" w14:textId="77777777" w:rsidR="006A5124" w:rsidRPr="003C2AA4" w:rsidRDefault="006A512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</w:p>
    <w:p w14:paraId="14638D2E" w14:textId="77777777" w:rsidR="003C2AA4" w:rsidRPr="003C2AA4" w:rsidRDefault="003C2AA4" w:rsidP="003C2AA4">
      <w:pPr>
        <w:tabs>
          <w:tab w:val="left" w:pos="392"/>
        </w:tabs>
        <w:ind w:left="115" w:right="815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>1</w:t>
      </w:r>
      <w:r w:rsidRPr="003C2AA4">
        <w:rPr>
          <w:rFonts w:ascii="Arial" w:eastAsia="Arial" w:hAnsi="Arial" w:cs="Arial"/>
          <w:color w:val="000000"/>
          <w:sz w:val="16"/>
        </w:rPr>
        <w:tab/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Odhad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založený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reprezentativním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vzorku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Členské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státy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mají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1: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Minimálním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požadavkem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je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dvakrát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, a to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 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případě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této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sloupci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„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proofErr w:type="gramStart"/>
      <w:r w:rsidRPr="003C2AA4">
        <w:rPr>
          <w:rFonts w:ascii="Arial" w:eastAsia="Arial" w:hAnsi="Arial" w:cs="Arial"/>
          <w:color w:val="000000"/>
          <w:sz w:val="16"/>
        </w:rPr>
        <w:t>hodnota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“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proofErr w:type="gram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2: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každý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rok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.</w:t>
      </w:r>
    </w:p>
    <w:p w14:paraId="4A2BC7BF" w14:textId="77777777" w:rsidR="003C2AA4" w:rsidRP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</w:p>
    <w:p w14:paraId="0C9AC068" w14:textId="226FEF8C" w:rsid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03.2.65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Strategie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komunitně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vedeného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místního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rozvoje</w:t>
      </w:r>
      <w:proofErr w:type="spellEnd"/>
    </w:p>
    <w:tbl>
      <w:tblPr>
        <w:tblW w:w="158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2648"/>
        <w:gridCol w:w="1015"/>
        <w:gridCol w:w="2542"/>
        <w:gridCol w:w="768"/>
        <w:gridCol w:w="887"/>
        <w:gridCol w:w="551"/>
        <w:gridCol w:w="551"/>
        <w:gridCol w:w="551"/>
        <w:gridCol w:w="551"/>
        <w:gridCol w:w="569"/>
        <w:gridCol w:w="569"/>
        <w:gridCol w:w="647"/>
        <w:gridCol w:w="545"/>
        <w:gridCol w:w="545"/>
        <w:gridCol w:w="545"/>
        <w:gridCol w:w="13"/>
        <w:gridCol w:w="991"/>
        <w:gridCol w:w="13"/>
        <w:gridCol w:w="828"/>
        <w:gridCol w:w="6"/>
      </w:tblGrid>
      <w:tr w:rsidR="00716028" w:rsidRPr="00716028" w14:paraId="2F343922" w14:textId="77777777" w:rsidTr="00D1537E">
        <w:trPr>
          <w:gridAfter w:val="1"/>
          <w:wAfter w:w="6" w:type="dxa"/>
          <w:trHeight w:val="910"/>
          <w:tblHeader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1A55B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2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82BB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0FE45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</w:t>
            </w:r>
          </w:p>
        </w:tc>
        <w:tc>
          <w:tcPr>
            <w:tcW w:w="2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7A211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Společný indikátor výstupů použitý jako základ pro stanovení cíle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298A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 pro výchozí hodnotu a cíl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351EC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 (Rozdělení podle pohlaví je pro cíl nepovinné)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AACD1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49EDA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CB44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8C0C7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5A4C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D04CE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1B98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55801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0AA3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D4D4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72AC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3064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 Rozdělení podle pohlaví je nepovinné</w:t>
            </w:r>
          </w:p>
        </w:tc>
      </w:tr>
      <w:tr w:rsidR="00716028" w:rsidRPr="00716028" w14:paraId="28B73C0A" w14:textId="77777777" w:rsidTr="00D1537E">
        <w:trPr>
          <w:trHeight w:val="242"/>
          <w:tblHeader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087CD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66AA9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6AF29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A8E11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B8D14E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280D7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1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559A56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B41A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021A2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716028" w:rsidRPr="00716028" w14:paraId="3A15FC9C" w14:textId="77777777" w:rsidTr="00D1537E">
        <w:trPr>
          <w:gridAfter w:val="1"/>
          <w:wAfter w:w="6" w:type="dxa"/>
          <w:trHeight w:val="242"/>
          <w:tblHeader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870C99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FB0F91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90FA2E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A7BA5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C646FA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DBD17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BCDC9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254DC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68A4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4AED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41694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F33F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9CAB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0B70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8DD2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8BBA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E41A1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8760F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716028" w:rsidRPr="00716028" w14:paraId="354BC551" w14:textId="77777777" w:rsidTr="00D1537E">
        <w:trPr>
          <w:gridAfter w:val="1"/>
          <w:wAfter w:w="6" w:type="dxa"/>
          <w:trHeight w:val="242"/>
          <w:tblHeader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8BA5F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62B637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F51E71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DB350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F4CADF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179970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4204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759C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B991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EA5A0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BC92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17E2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3A0E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7F5CA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23E5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6D60C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E3345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1BEA7" w14:textId="77777777" w:rsidR="00716028" w:rsidRPr="00716028" w:rsidRDefault="00716028" w:rsidP="00716028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716028" w:rsidRPr="00716028" w14:paraId="40880DCE" w14:textId="77777777" w:rsidTr="00716028">
        <w:trPr>
          <w:trHeight w:val="242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7431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62600</w:t>
            </w: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CR03</w:t>
            </w:r>
          </w:p>
        </w:tc>
        <w:tc>
          <w:tcPr>
            <w:tcW w:w="2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4561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kteří získali kvalifikaci po ukončení své účasti</w:t>
            </w: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58251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1C5D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nezaměstnaných, 60500 Zaměstnaní, včetně OSVČ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0BCD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A697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5 345,000</w:t>
            </w:r>
          </w:p>
        </w:tc>
        <w:tc>
          <w:tcPr>
            <w:tcW w:w="561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2ED701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2DA3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154,000</w:t>
            </w:r>
          </w:p>
        </w:tc>
        <w:tc>
          <w:tcPr>
            <w:tcW w:w="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8BBF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2,881</w:t>
            </w:r>
          </w:p>
        </w:tc>
      </w:tr>
      <w:tr w:rsidR="00716028" w:rsidRPr="00716028" w14:paraId="44BAD2D1" w14:textId="77777777" w:rsidTr="00716028">
        <w:trPr>
          <w:gridAfter w:val="1"/>
          <w:wAfter w:w="6" w:type="dxa"/>
          <w:trHeight w:val="242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67592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944CB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10905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E687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F771F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9D54C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BA2B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0399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E7B7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16DE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361D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CCED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78A7F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35,000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0147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2E425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5A19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582F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47,000</w:t>
            </w:r>
          </w:p>
        </w:tc>
        <w:tc>
          <w:tcPr>
            <w:tcW w:w="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BBDA84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716028" w:rsidRPr="00716028" w14:paraId="179D2121" w14:textId="77777777" w:rsidTr="00716028">
        <w:trPr>
          <w:gridAfter w:val="1"/>
          <w:wAfter w:w="6" w:type="dxa"/>
          <w:trHeight w:val="242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68619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355AF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AE3EF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6F4A1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B629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FE523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49EE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EFD9D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434D3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2C63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2B279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AF75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33,000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9241A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73,000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B204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229E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AEBC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44A00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107,000</w:t>
            </w:r>
          </w:p>
        </w:tc>
        <w:tc>
          <w:tcPr>
            <w:tcW w:w="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E7A475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716028" w:rsidRPr="00716028" w14:paraId="073B6BCF" w14:textId="77777777" w:rsidTr="00716028">
        <w:trPr>
          <w:trHeight w:val="242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B5F3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62700</w:t>
            </w: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CR04</w:t>
            </w:r>
          </w:p>
        </w:tc>
        <w:tc>
          <w:tcPr>
            <w:tcW w:w="2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DF47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zaměstnaní po ukončení své účasti, včetně OSVČ</w:t>
            </w: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E82E2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FEBA6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0716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CB147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3 519,000</w:t>
            </w:r>
          </w:p>
        </w:tc>
        <w:tc>
          <w:tcPr>
            <w:tcW w:w="561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79EC46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2074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963,000</w:t>
            </w:r>
          </w:p>
        </w:tc>
        <w:tc>
          <w:tcPr>
            <w:tcW w:w="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F8FA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27,366</w:t>
            </w:r>
          </w:p>
        </w:tc>
      </w:tr>
      <w:tr w:rsidR="00716028" w:rsidRPr="00716028" w14:paraId="0C7515E4" w14:textId="77777777" w:rsidTr="00716028">
        <w:trPr>
          <w:gridAfter w:val="1"/>
          <w:wAfter w:w="6" w:type="dxa"/>
          <w:trHeight w:val="242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3A7A3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2DDF9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A776B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4152B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CEF89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E173C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E4909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E237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533C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1D5C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00FF1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48E5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969CF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185,000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0456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44CA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7C24B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609B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193,000</w:t>
            </w:r>
          </w:p>
        </w:tc>
        <w:tc>
          <w:tcPr>
            <w:tcW w:w="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C7FE56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716028" w:rsidRPr="00716028" w14:paraId="2E0708B9" w14:textId="77777777" w:rsidTr="00716028">
        <w:trPr>
          <w:gridAfter w:val="1"/>
          <w:wAfter w:w="6" w:type="dxa"/>
          <w:trHeight w:val="242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8DD8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F4BEB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055E8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C8677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F4D43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3C880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FA313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0022A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059C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4115A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AA82D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9134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93CFA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730,000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086F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133FC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2416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93C27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770,000</w:t>
            </w:r>
          </w:p>
        </w:tc>
        <w:tc>
          <w:tcPr>
            <w:tcW w:w="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58E0B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716028" w:rsidRPr="00716028" w14:paraId="1C3B898A" w14:textId="77777777" w:rsidTr="00716028">
        <w:trPr>
          <w:trHeight w:val="242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7B0B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62800</w:t>
            </w: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CR05</w:t>
            </w:r>
          </w:p>
        </w:tc>
        <w:tc>
          <w:tcPr>
            <w:tcW w:w="2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4D08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Znevýhodnění účastníci, kteří po ukončení své účasti hledají zaměstnání, jsou v procesu vzdělávání/ odborné přípravy, rozšiřují si kvalifikaci nebo jsou zaměstnaní, a to i OSVČ</w:t>
            </w: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054D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302D6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977E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0AF1E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7 378,000</w:t>
            </w:r>
          </w:p>
        </w:tc>
        <w:tc>
          <w:tcPr>
            <w:tcW w:w="561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8ACC6B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F964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273,000</w:t>
            </w:r>
          </w:p>
        </w:tc>
        <w:tc>
          <w:tcPr>
            <w:tcW w:w="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46F8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3,700</w:t>
            </w:r>
          </w:p>
        </w:tc>
      </w:tr>
      <w:tr w:rsidR="00716028" w:rsidRPr="00716028" w14:paraId="5A5F506A" w14:textId="77777777" w:rsidTr="00716028">
        <w:trPr>
          <w:gridAfter w:val="1"/>
          <w:wAfter w:w="6" w:type="dxa"/>
          <w:trHeight w:val="242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26C2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3C016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CDD23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C7D0D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646F2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C88FB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FE191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7674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26DD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DED9D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674A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781E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30,000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10903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82,000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AA82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FEB7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82E1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D594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114,000</w:t>
            </w:r>
          </w:p>
        </w:tc>
        <w:tc>
          <w:tcPr>
            <w:tcW w:w="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B7D36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716028" w:rsidRPr="00716028" w14:paraId="3C5164FD" w14:textId="77777777" w:rsidTr="00716028">
        <w:trPr>
          <w:gridAfter w:val="1"/>
          <w:wAfter w:w="6" w:type="dxa"/>
          <w:trHeight w:val="242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CDD82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A8664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6CB6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17FC5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F99DB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E58F9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8304E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171A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F019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DD00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234D3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144BE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26,000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E871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129,000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01277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29C8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D397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4450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159,000</w:t>
            </w:r>
          </w:p>
        </w:tc>
        <w:tc>
          <w:tcPr>
            <w:tcW w:w="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7F7FAA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716028" w:rsidRPr="00716028" w14:paraId="3B557639" w14:textId="77777777" w:rsidTr="00716028">
        <w:trPr>
          <w:trHeight w:val="242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C1BA6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62900</w:t>
            </w: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CR06</w:t>
            </w:r>
          </w:p>
        </w:tc>
        <w:tc>
          <w:tcPr>
            <w:tcW w:w="2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6BB3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zaměstnaní 6 měsíců po ukončení své účasti, včetně OSVČ</w:t>
            </w: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974F1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FCE6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B1A4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88E4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4 930,000</w:t>
            </w:r>
          </w:p>
        </w:tc>
        <w:tc>
          <w:tcPr>
            <w:tcW w:w="561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546207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8027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1 019,000</w:t>
            </w:r>
          </w:p>
        </w:tc>
        <w:tc>
          <w:tcPr>
            <w:tcW w:w="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61AA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20,669</w:t>
            </w:r>
          </w:p>
        </w:tc>
      </w:tr>
      <w:tr w:rsidR="00716028" w:rsidRPr="00716028" w14:paraId="62096811" w14:textId="77777777" w:rsidTr="00716028">
        <w:trPr>
          <w:gridAfter w:val="1"/>
          <w:wAfter w:w="6" w:type="dxa"/>
          <w:trHeight w:val="242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53CC7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9707D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4F37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4C8B9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52F95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F40D1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67C06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D3D0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A009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726E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4B4C9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6027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AFE7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187,000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214CC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B4D2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A68C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6FC90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189,000</w:t>
            </w:r>
          </w:p>
        </w:tc>
        <w:tc>
          <w:tcPr>
            <w:tcW w:w="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3E086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716028" w:rsidRPr="00716028" w14:paraId="7EBCBAD5" w14:textId="77777777" w:rsidTr="00716028">
        <w:trPr>
          <w:gridAfter w:val="1"/>
          <w:wAfter w:w="6" w:type="dxa"/>
          <w:trHeight w:val="242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A49E4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17104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98157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3CD1B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0713C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4B7E8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0018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7721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01BC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A4D7B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4CC4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CAFF5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F8B0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812,000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31A2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E873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53A08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FE580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830,000</w:t>
            </w:r>
          </w:p>
        </w:tc>
        <w:tc>
          <w:tcPr>
            <w:tcW w:w="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439DE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716028" w:rsidRPr="00716028" w14:paraId="396D32E2" w14:textId="77777777" w:rsidTr="00716028">
        <w:trPr>
          <w:trHeight w:val="242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87EA2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63100</w:t>
            </w: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CR08</w:t>
            </w:r>
          </w:p>
        </w:tc>
        <w:tc>
          <w:tcPr>
            <w:tcW w:w="2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ECD11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ve věku nad 54 let zaměstnaní 6 měsíců po ukončení své účasti, včetně OSVČ</w:t>
            </w: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DD234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E43D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nezaměstnaných, 60700 účastníci ve věku nad 54 let, 60400 Neaktivní osoby, které nejsou v procesu vzdělávání nebo odborné přípravy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1DFB6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02401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1 623,000</w:t>
            </w:r>
          </w:p>
        </w:tc>
        <w:tc>
          <w:tcPr>
            <w:tcW w:w="561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7220DE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AAB5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83,000</w:t>
            </w:r>
          </w:p>
        </w:tc>
        <w:tc>
          <w:tcPr>
            <w:tcW w:w="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B539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5,114</w:t>
            </w:r>
          </w:p>
        </w:tc>
      </w:tr>
      <w:tr w:rsidR="00716028" w:rsidRPr="00716028" w14:paraId="5132E289" w14:textId="77777777" w:rsidTr="00716028">
        <w:trPr>
          <w:gridAfter w:val="1"/>
          <w:wAfter w:w="6" w:type="dxa"/>
          <w:trHeight w:val="242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5E696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BE434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E8551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59F5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0C447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69B14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2C74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E1DFA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0F6BB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47E4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0B524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1293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F6BD7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28,000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FA29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D5AD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F456F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78944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28,000</w:t>
            </w:r>
          </w:p>
        </w:tc>
        <w:tc>
          <w:tcPr>
            <w:tcW w:w="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19DCA7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716028" w:rsidRPr="00716028" w14:paraId="49EB9D9F" w14:textId="77777777" w:rsidTr="00716028">
        <w:trPr>
          <w:gridAfter w:val="1"/>
          <w:wAfter w:w="6" w:type="dxa"/>
          <w:trHeight w:val="242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982E1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EB4CC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AE5C2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CE950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F97D9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14E5B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A989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FDA9E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9DF7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2D9E8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E7691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777FC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DA30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54,000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91C88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76FC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5267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FD62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55,000</w:t>
            </w:r>
          </w:p>
        </w:tc>
        <w:tc>
          <w:tcPr>
            <w:tcW w:w="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7426A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716028" w:rsidRPr="00716028" w14:paraId="0164EB22" w14:textId="77777777" w:rsidTr="00716028">
        <w:trPr>
          <w:trHeight w:val="242"/>
        </w:trPr>
        <w:tc>
          <w:tcPr>
            <w:tcW w:w="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B0AE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63200</w:t>
            </w: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CR09</w:t>
            </w:r>
          </w:p>
        </w:tc>
        <w:tc>
          <w:tcPr>
            <w:tcW w:w="28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EDD6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Znevýhodnění účastníci zaměstnaní 6 měsíců po ukončení své účasti včetně OSVČ</w:t>
            </w:r>
          </w:p>
        </w:tc>
        <w:tc>
          <w:tcPr>
            <w:tcW w:w="1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F081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3C77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4C2B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C42B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2 465,000</w:t>
            </w:r>
          </w:p>
        </w:tc>
        <w:tc>
          <w:tcPr>
            <w:tcW w:w="561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778873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9418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189,000</w:t>
            </w:r>
          </w:p>
        </w:tc>
        <w:tc>
          <w:tcPr>
            <w:tcW w:w="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4145" w14:textId="77777777" w:rsidR="00716028" w:rsidRPr="00716028" w:rsidRDefault="00716028" w:rsidP="00716028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7,667</w:t>
            </w:r>
          </w:p>
        </w:tc>
      </w:tr>
      <w:tr w:rsidR="00716028" w:rsidRPr="00716028" w14:paraId="0BB61D9C" w14:textId="77777777" w:rsidTr="00716028">
        <w:trPr>
          <w:gridAfter w:val="1"/>
          <w:wAfter w:w="6" w:type="dxa"/>
          <w:trHeight w:val="242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D1C85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BD165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CBBB6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A1729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76C03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B36A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BAF5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0D7D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94EFF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7DA1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86007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8E4E1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15ACA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73,000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C310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C01D2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BA4A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A363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74,000</w:t>
            </w:r>
          </w:p>
        </w:tc>
        <w:tc>
          <w:tcPr>
            <w:tcW w:w="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20C7E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716028" w:rsidRPr="00716028" w14:paraId="40137628" w14:textId="77777777" w:rsidTr="00716028">
        <w:trPr>
          <w:gridAfter w:val="1"/>
          <w:wAfter w:w="6" w:type="dxa"/>
          <w:trHeight w:val="242"/>
        </w:trPr>
        <w:tc>
          <w:tcPr>
            <w:tcW w:w="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AA95C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01766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E69E4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10E64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205DD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7F316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59F2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99A5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B04AA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D0AB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DA9A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45C6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9221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110,000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99D42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2B956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BFE1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F7F3" w14:textId="77777777" w:rsidR="00716028" w:rsidRPr="00716028" w:rsidRDefault="00716028" w:rsidP="00716028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716028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115,000</w:t>
            </w:r>
          </w:p>
        </w:tc>
        <w:tc>
          <w:tcPr>
            <w:tcW w:w="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C9FD9E" w14:textId="77777777" w:rsidR="00716028" w:rsidRPr="00716028" w:rsidRDefault="00716028" w:rsidP="00716028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</w:tbl>
    <w:p w14:paraId="3B458ED3" w14:textId="77777777" w:rsidR="00716028" w:rsidRPr="003C2AA4" w:rsidRDefault="00716028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</w:p>
    <w:p w14:paraId="6A2DB65A" w14:textId="77777777" w:rsidR="003C2AA4" w:rsidRPr="003C2AA4" w:rsidRDefault="003C2AA4" w:rsidP="003C2AA4">
      <w:pPr>
        <w:tabs>
          <w:tab w:val="left" w:pos="392"/>
        </w:tabs>
        <w:ind w:left="115" w:right="815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>1</w:t>
      </w:r>
      <w:r w:rsidRPr="003C2AA4">
        <w:rPr>
          <w:rFonts w:ascii="Arial" w:eastAsia="Arial" w:hAnsi="Arial" w:cs="Arial"/>
          <w:color w:val="000000"/>
          <w:sz w:val="16"/>
        </w:rPr>
        <w:tab/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Odhad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založený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reprezentativním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vzorku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Členské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státy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mají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1: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Minimálním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požadavkem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je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dvakrát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, a to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 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případě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této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sloupci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„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proofErr w:type="gramStart"/>
      <w:r w:rsidRPr="003C2AA4">
        <w:rPr>
          <w:rFonts w:ascii="Arial" w:eastAsia="Arial" w:hAnsi="Arial" w:cs="Arial"/>
          <w:color w:val="000000"/>
          <w:sz w:val="16"/>
        </w:rPr>
        <w:t>hodnota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“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proofErr w:type="gram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2: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každý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rok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.</w:t>
      </w:r>
    </w:p>
    <w:p w14:paraId="76B98DC8" w14:textId="77777777" w:rsidR="003C2AA4" w:rsidRP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</w:p>
    <w:p w14:paraId="478131DC" w14:textId="46B92C8B" w:rsid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03.3.48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Přístup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k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osoby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hledající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neaktivní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osoby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dlouhodobě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nezaměstnaných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gramStart"/>
      <w:r w:rsidRPr="003C2AA4">
        <w:rPr>
          <w:rFonts w:ascii="Arial" w:eastAsia="Arial" w:hAnsi="Arial" w:cs="Arial"/>
          <w:color w:val="000000"/>
          <w:sz w:val="20"/>
        </w:rPr>
        <w:t>a</w:t>
      </w:r>
      <w:proofErr w:type="gram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osob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vzdálených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trhu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také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prostřednictvím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místních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iniciativ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podporu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zaměstnanosti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mobility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pracovníků</w:t>
      </w:r>
      <w:proofErr w:type="spellEnd"/>
    </w:p>
    <w:tbl>
      <w:tblPr>
        <w:tblW w:w="159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2753"/>
        <w:gridCol w:w="1023"/>
        <w:gridCol w:w="2572"/>
        <w:gridCol w:w="775"/>
        <w:gridCol w:w="887"/>
        <w:gridCol w:w="558"/>
        <w:gridCol w:w="558"/>
        <w:gridCol w:w="558"/>
        <w:gridCol w:w="569"/>
        <w:gridCol w:w="569"/>
        <w:gridCol w:w="569"/>
        <w:gridCol w:w="558"/>
        <w:gridCol w:w="555"/>
        <w:gridCol w:w="555"/>
        <w:gridCol w:w="556"/>
        <w:gridCol w:w="1004"/>
        <w:gridCol w:w="841"/>
      </w:tblGrid>
      <w:tr w:rsidR="001D1CB0" w:rsidRPr="001D1CB0" w14:paraId="067EEC8A" w14:textId="77777777" w:rsidTr="00D1537E">
        <w:trPr>
          <w:trHeight w:val="904"/>
          <w:tblHeader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197E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B38A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B9AE3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</w:t>
            </w:r>
          </w:p>
        </w:tc>
        <w:tc>
          <w:tcPr>
            <w:tcW w:w="2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C391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Společný indikátor výstupů použitý jako základ pro stanovení cíle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67FD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 pro výchozí hodnotu a cíl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A5EB4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 (Rozdělení podle pohlaví je pro cíl nepovinné)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FFABB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9B86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1102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75CF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6583F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3EC0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5219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56C8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81E5B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71E2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AC970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9B76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 Rozdělení podle pohlaví je nepovinné</w:t>
            </w:r>
          </w:p>
        </w:tc>
      </w:tr>
      <w:tr w:rsidR="001D1CB0" w:rsidRPr="001D1CB0" w14:paraId="75A53AC7" w14:textId="77777777" w:rsidTr="00D1537E">
        <w:trPr>
          <w:trHeight w:val="253"/>
          <w:tblHeader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452879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2E8897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AF281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61D0C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453B90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AD3DC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6E82E0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B10D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582C37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1CB0" w:rsidRPr="001D1CB0" w14:paraId="01B29F93" w14:textId="77777777" w:rsidTr="00D1537E">
        <w:trPr>
          <w:trHeight w:val="253"/>
          <w:tblHeader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CEDC9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CB1DD8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4E1E6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B2D44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245514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E0D621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7F1D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4E2E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21F6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BFC0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D302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DEA6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467DC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4FCC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EF5BD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62915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D7CE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DD720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1CB0" w:rsidRPr="001D1CB0" w14:paraId="7B00F334" w14:textId="77777777" w:rsidTr="00D1537E">
        <w:trPr>
          <w:trHeight w:val="253"/>
          <w:tblHeader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A07FAD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EEF4E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F83EA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B47629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5C7AE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A2E4F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6D35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624C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0C17E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EE57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6B35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7D71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CF979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4AE2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49538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6C60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348FC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13C888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1CB0" w:rsidRPr="001D1CB0" w14:paraId="300F7385" w14:textId="77777777" w:rsidTr="001D1CB0">
        <w:trPr>
          <w:trHeight w:val="253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EFE02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62600</w:t>
            </w: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CR03</w:t>
            </w:r>
          </w:p>
        </w:tc>
        <w:tc>
          <w:tcPr>
            <w:tcW w:w="29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9721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kteří získali kvalifikaci po ukončení své účasti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97EF7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8A97D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nezaměstnaných, 60500 Zaměstnaní, včetně OSVČ</w:t>
            </w:r>
          </w:p>
        </w:tc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FFA6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319D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86,000</w:t>
            </w:r>
          </w:p>
        </w:tc>
        <w:tc>
          <w:tcPr>
            <w:tcW w:w="56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421141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CAD73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372,000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EF84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432,558%</w:t>
            </w:r>
            <w:proofErr w:type="gramEnd"/>
          </w:p>
        </w:tc>
      </w:tr>
      <w:tr w:rsidR="001D1CB0" w:rsidRPr="001D1CB0" w14:paraId="6E68A401" w14:textId="77777777" w:rsidTr="001D1CB0">
        <w:trPr>
          <w:trHeight w:val="253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F839D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9171F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8C81E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20828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FB787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09D72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4EB5D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3D87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4FDD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B9BD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4313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78,000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31AD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72,000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AAC5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F0C8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D862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1C7D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4CF0A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218,000</w:t>
            </w: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976E21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1CB0" w:rsidRPr="001D1CB0" w14:paraId="7B6F8CEA" w14:textId="77777777" w:rsidTr="001D1CB0">
        <w:trPr>
          <w:trHeight w:val="253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8BE27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3BC34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7EF29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EAA53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8EEFF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572FE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699D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A918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4B756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523C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69,000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822B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76,000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B7234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1E48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62E2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50D1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3E2A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9BBD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154,000</w:t>
            </w: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EE6A44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1CB0" w:rsidRPr="001D1CB0" w14:paraId="095EC534" w14:textId="77777777" w:rsidTr="001D1CB0">
        <w:trPr>
          <w:trHeight w:val="253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E187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62600</w:t>
            </w: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CR03</w:t>
            </w:r>
          </w:p>
        </w:tc>
        <w:tc>
          <w:tcPr>
            <w:tcW w:w="29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968A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kteří získali kvalifikaci po ukončení své účasti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0333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CA361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nezaměstnaných, 60500 Zaměstnaní, včetně OSVČ</w:t>
            </w:r>
          </w:p>
        </w:tc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490A3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933B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12,000</w:t>
            </w:r>
          </w:p>
        </w:tc>
        <w:tc>
          <w:tcPr>
            <w:tcW w:w="56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462C5B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6484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50,000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0467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416,667%</w:t>
            </w:r>
            <w:proofErr w:type="gramEnd"/>
          </w:p>
        </w:tc>
      </w:tr>
      <w:tr w:rsidR="001D1CB0" w:rsidRPr="001D1CB0" w14:paraId="6D3AF49E" w14:textId="77777777" w:rsidTr="001D1CB0">
        <w:trPr>
          <w:trHeight w:val="253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010F1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6B81B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1B361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B8CB2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15743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D93EE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1590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F1C8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4F8A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4185B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2FE1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495E5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72CCA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DF681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AABF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15334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1C85D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29,000</w:t>
            </w: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A03C6D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1CB0" w:rsidRPr="001D1CB0" w14:paraId="56B04D26" w14:textId="77777777" w:rsidTr="001D1CB0">
        <w:trPr>
          <w:trHeight w:val="253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73522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E03D6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60234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F8073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F8368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11F7F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287F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766A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39806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BFE04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9F25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110E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50BEC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1B4D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F2626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75D17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1AAA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21,000</w:t>
            </w: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AC764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</w:tbl>
    <w:p w14:paraId="48EEB3A0" w14:textId="77777777" w:rsidR="001D1CB0" w:rsidRPr="003C2AA4" w:rsidRDefault="001D1CB0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</w:p>
    <w:p w14:paraId="2BD055F5" w14:textId="77777777" w:rsidR="003C2AA4" w:rsidRPr="003C2AA4" w:rsidRDefault="003C2AA4" w:rsidP="003C2AA4">
      <w:pPr>
        <w:tabs>
          <w:tab w:val="left" w:pos="392"/>
        </w:tabs>
        <w:ind w:left="115" w:right="815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>1</w:t>
      </w:r>
      <w:r w:rsidRPr="003C2AA4">
        <w:rPr>
          <w:rFonts w:ascii="Arial" w:eastAsia="Arial" w:hAnsi="Arial" w:cs="Arial"/>
          <w:color w:val="000000"/>
          <w:sz w:val="16"/>
        </w:rPr>
        <w:tab/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Odhad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založený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reprezentativním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vzorku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Členské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státy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mají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1: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Minimálním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požadavkem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je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dvakrát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, a to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 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případě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této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sloupci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„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proofErr w:type="gramStart"/>
      <w:r w:rsidRPr="003C2AA4">
        <w:rPr>
          <w:rFonts w:ascii="Arial" w:eastAsia="Arial" w:hAnsi="Arial" w:cs="Arial"/>
          <w:color w:val="000000"/>
          <w:sz w:val="16"/>
        </w:rPr>
        <w:t>hodnota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“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proofErr w:type="gram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2: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každý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rok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.</w:t>
      </w:r>
    </w:p>
    <w:p w14:paraId="727E6F54" w14:textId="77777777" w:rsidR="003C2AA4" w:rsidRP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</w:p>
    <w:p w14:paraId="7781F178" w14:textId="370197EB" w:rsid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03.3.60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Aktivní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začleňování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začleňování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s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ohledem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podporu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rovných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příležitostí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gramStart"/>
      <w:r w:rsidRPr="003C2AA4">
        <w:rPr>
          <w:rFonts w:ascii="Arial" w:eastAsia="Arial" w:hAnsi="Arial" w:cs="Arial"/>
          <w:color w:val="000000"/>
          <w:sz w:val="20"/>
        </w:rPr>
        <w:t>a</w:t>
      </w:r>
      <w:proofErr w:type="gram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aktivní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účast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zlepšení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zaměstnatelnosti</w:t>
      </w:r>
      <w:proofErr w:type="spellEnd"/>
    </w:p>
    <w:tbl>
      <w:tblPr>
        <w:tblW w:w="15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2749"/>
        <w:gridCol w:w="1021"/>
        <w:gridCol w:w="2569"/>
        <w:gridCol w:w="774"/>
        <w:gridCol w:w="887"/>
        <w:gridCol w:w="558"/>
        <w:gridCol w:w="558"/>
        <w:gridCol w:w="558"/>
        <w:gridCol w:w="558"/>
        <w:gridCol w:w="569"/>
        <w:gridCol w:w="569"/>
        <w:gridCol w:w="558"/>
        <w:gridCol w:w="554"/>
        <w:gridCol w:w="554"/>
        <w:gridCol w:w="554"/>
        <w:gridCol w:w="1004"/>
        <w:gridCol w:w="841"/>
      </w:tblGrid>
      <w:tr w:rsidR="001D1CB0" w:rsidRPr="001D1CB0" w14:paraId="452DCE20" w14:textId="77777777" w:rsidTr="00D1537E">
        <w:trPr>
          <w:trHeight w:val="848"/>
          <w:tblHeader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9B9C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926D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F48E0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74B7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Společný indikátor výstupů použitý jako základ pro stanovení cíle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98B49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 pro výchozí hodnotu a cíl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64A3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 (Rozdělení podle pohlaví je pro cíl nepovinné)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7118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822F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FE19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C154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687D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6D5D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D361D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F29E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6972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1048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7A24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84B4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 Rozdělení podle pohlaví je nepovinné</w:t>
            </w:r>
          </w:p>
        </w:tc>
      </w:tr>
      <w:tr w:rsidR="001D1CB0" w:rsidRPr="001D1CB0" w14:paraId="4F90FE8A" w14:textId="77777777" w:rsidTr="00D1537E">
        <w:trPr>
          <w:trHeight w:val="242"/>
          <w:tblHeader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496836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2F9723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60A69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A18CF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E6C604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77B5E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549EFD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42196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92A85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1CB0" w:rsidRPr="001D1CB0" w14:paraId="7EDC165D" w14:textId="77777777" w:rsidTr="00D1537E">
        <w:trPr>
          <w:trHeight w:val="242"/>
          <w:tblHeader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1E641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6AF139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B51EF3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714B3D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0197C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BE77F9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D61B4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EC7E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56CB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8C5A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D4B09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7928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A1B0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B295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C934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D03F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BA36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65B5E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1CB0" w:rsidRPr="001D1CB0" w14:paraId="146CECE9" w14:textId="77777777" w:rsidTr="00D1537E">
        <w:trPr>
          <w:trHeight w:val="242"/>
          <w:tblHeader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52D93B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4988D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3D5D8C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3A954F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EBC2F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0631A9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1163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D982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C2233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CD6D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B2B5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70A5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27D6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FF192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323B0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CF2DF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5058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D1936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1CB0" w:rsidRPr="001D1CB0" w14:paraId="7B8E70BA" w14:textId="77777777" w:rsidTr="001D1CB0">
        <w:trPr>
          <w:trHeight w:val="242"/>
        </w:trPr>
        <w:tc>
          <w:tcPr>
            <w:tcW w:w="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5447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62600</w:t>
            </w: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CR03</w:t>
            </w:r>
          </w:p>
        </w:tc>
        <w:tc>
          <w:tcPr>
            <w:tcW w:w="2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F306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kteří získali kvalifikaci po ukončení své účasti</w:t>
            </w:r>
          </w:p>
        </w:tc>
        <w:tc>
          <w:tcPr>
            <w:tcW w:w="1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EEBE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0C664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nezaměstnaných, 60500 Zaměstnaní, včetně OSVČ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7BC39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CC500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97,000</w:t>
            </w:r>
          </w:p>
        </w:tc>
        <w:tc>
          <w:tcPr>
            <w:tcW w:w="56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7E793A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72F3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120,000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95B0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123,711%</w:t>
            </w:r>
            <w:proofErr w:type="gramEnd"/>
          </w:p>
        </w:tc>
      </w:tr>
      <w:tr w:rsidR="001D1CB0" w:rsidRPr="001D1CB0" w14:paraId="156EC84B" w14:textId="77777777" w:rsidTr="001D1CB0">
        <w:trPr>
          <w:trHeight w:val="242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79013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9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EF029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024C4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F652C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90706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F5A4F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361B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0867F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8410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300E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F658C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8B3F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75,000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AC21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4954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DF19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1BC25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B86DF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88,000</w:t>
            </w: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1F206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1CB0" w:rsidRPr="001D1CB0" w14:paraId="47CC1079" w14:textId="77777777" w:rsidTr="001D1CB0">
        <w:trPr>
          <w:trHeight w:val="242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69F51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9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AB77F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E7182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5510E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37535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4340C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D4FE9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3CD1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E6FB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1FD9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9AA1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8E151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9733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50E7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56B70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6008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0387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32,000</w:t>
            </w: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6005D1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1CB0" w:rsidRPr="001D1CB0" w14:paraId="7AB745BA" w14:textId="77777777" w:rsidTr="001D1CB0">
        <w:trPr>
          <w:trHeight w:val="242"/>
        </w:trPr>
        <w:tc>
          <w:tcPr>
            <w:tcW w:w="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BADC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62600</w:t>
            </w: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CR03</w:t>
            </w:r>
          </w:p>
        </w:tc>
        <w:tc>
          <w:tcPr>
            <w:tcW w:w="2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8003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kteří získali kvalifikaci po ukončení své účasti</w:t>
            </w:r>
          </w:p>
        </w:tc>
        <w:tc>
          <w:tcPr>
            <w:tcW w:w="1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4B0C3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2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C8C2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nezaměstnaných, 60500 Zaměstnaní, včetně OSVČ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BB9D9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7C71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13,000</w:t>
            </w:r>
          </w:p>
        </w:tc>
        <w:tc>
          <w:tcPr>
            <w:tcW w:w="56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73E73F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B40D1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16,000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25F19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123,077%</w:t>
            </w:r>
            <w:proofErr w:type="gramEnd"/>
          </w:p>
        </w:tc>
      </w:tr>
      <w:tr w:rsidR="001D1CB0" w:rsidRPr="001D1CB0" w14:paraId="78856564" w14:textId="77777777" w:rsidTr="001D1CB0">
        <w:trPr>
          <w:trHeight w:val="242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AF651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9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8641C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5421C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6385C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D1BEE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552B4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283AD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7E35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0828F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707B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0F1EE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09BB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35B5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13473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F57F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DB2F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6FF1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12,000</w:t>
            </w: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935088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1CB0" w:rsidRPr="001D1CB0" w14:paraId="72EA2CDB" w14:textId="77777777" w:rsidTr="001D1CB0">
        <w:trPr>
          <w:trHeight w:val="242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FB46D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9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98042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A2277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91BCE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C68E1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5EAC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CCBA5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46A5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E948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319F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58A9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1234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2151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04C1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84245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28F6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71B52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4,000</w:t>
            </w: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FC3E0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</w:tbl>
    <w:p w14:paraId="532DECBC" w14:textId="77777777" w:rsidR="001D1CB0" w:rsidRPr="003C2AA4" w:rsidRDefault="001D1CB0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</w:p>
    <w:p w14:paraId="29C76938" w14:textId="77777777" w:rsidR="003C2AA4" w:rsidRPr="003C2AA4" w:rsidRDefault="003C2AA4" w:rsidP="003C2AA4">
      <w:pPr>
        <w:tabs>
          <w:tab w:val="left" w:pos="392"/>
        </w:tabs>
        <w:ind w:left="115" w:right="815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>1</w:t>
      </w:r>
      <w:r w:rsidRPr="003C2AA4">
        <w:rPr>
          <w:rFonts w:ascii="Arial" w:eastAsia="Arial" w:hAnsi="Arial" w:cs="Arial"/>
          <w:color w:val="000000"/>
          <w:sz w:val="16"/>
        </w:rPr>
        <w:tab/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Odhad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založený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reprezentativním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vzorku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Členské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státy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mají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1: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Minimálním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požadavkem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je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dvakrát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, a to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 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případě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této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sloupci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„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proofErr w:type="gramStart"/>
      <w:r w:rsidRPr="003C2AA4">
        <w:rPr>
          <w:rFonts w:ascii="Arial" w:eastAsia="Arial" w:hAnsi="Arial" w:cs="Arial"/>
          <w:color w:val="000000"/>
          <w:sz w:val="16"/>
        </w:rPr>
        <w:t>hodnota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“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proofErr w:type="gram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2: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každý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rok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.</w:t>
      </w:r>
    </w:p>
    <w:p w14:paraId="621C5E03" w14:textId="77777777" w:rsidR="003C2AA4" w:rsidRPr="003C2AA4" w:rsidRDefault="003C2AA4" w:rsidP="00164344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754F7CAB" w14:textId="31B522D7" w:rsid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lastRenderedPageBreak/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03.3.74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do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institucionální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kapacity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gramStart"/>
      <w:r w:rsidRPr="003C2AA4">
        <w:rPr>
          <w:rFonts w:ascii="Arial" w:eastAsia="Arial" w:hAnsi="Arial" w:cs="Arial"/>
          <w:color w:val="000000"/>
          <w:sz w:val="20"/>
        </w:rPr>
        <w:t>a</w:t>
      </w:r>
      <w:proofErr w:type="gram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efektivnosti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veřejné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správy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veřejných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služeb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celostátní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regionální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místní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úrovni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za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účelem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reforem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zlepšování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úpravy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řádné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správy</w:t>
      </w:r>
      <w:proofErr w:type="spellEnd"/>
    </w:p>
    <w:tbl>
      <w:tblPr>
        <w:tblW w:w="159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2745"/>
        <w:gridCol w:w="1018"/>
        <w:gridCol w:w="2565"/>
        <w:gridCol w:w="773"/>
        <w:gridCol w:w="887"/>
        <w:gridCol w:w="557"/>
        <w:gridCol w:w="557"/>
        <w:gridCol w:w="557"/>
        <w:gridCol w:w="557"/>
        <w:gridCol w:w="557"/>
        <w:gridCol w:w="569"/>
        <w:gridCol w:w="557"/>
        <w:gridCol w:w="553"/>
        <w:gridCol w:w="553"/>
        <w:gridCol w:w="553"/>
        <w:gridCol w:w="1004"/>
        <w:gridCol w:w="841"/>
      </w:tblGrid>
      <w:tr w:rsidR="001D1CB0" w:rsidRPr="001D1CB0" w14:paraId="5755484F" w14:textId="77777777" w:rsidTr="00D1537E">
        <w:trPr>
          <w:trHeight w:val="738"/>
          <w:tblHeader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95CC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55E0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D5701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F9907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Společný indikátor výstupů použitý jako základ pro stanovení cíle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8F4F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 pro výchozí hodnotu a cíl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CDE0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 (Rozdělení podle pohlaví je pro cíl nepovinné)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2CDBC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B8A74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4003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6B96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331AE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D865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8205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BFE0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C7D8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790A5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E859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29971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 Rozdělení podle pohlaví je nepovinné</w:t>
            </w:r>
          </w:p>
        </w:tc>
      </w:tr>
      <w:tr w:rsidR="001D1CB0" w:rsidRPr="001D1CB0" w14:paraId="2371C483" w14:textId="77777777" w:rsidTr="00D1537E">
        <w:trPr>
          <w:trHeight w:val="246"/>
          <w:tblHeader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C3EABE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117860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3F6BC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D4770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8A75EC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DA973C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E88A9F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AEDF3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27443D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1CB0" w:rsidRPr="001D1CB0" w14:paraId="1359B762" w14:textId="77777777" w:rsidTr="00D1537E">
        <w:trPr>
          <w:trHeight w:val="246"/>
          <w:tblHeader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C92BB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5F22A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8141D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89B16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E29340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7EC8C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78B9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1E16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F367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A637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3FC1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BCA8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684D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21C6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56D90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15D7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9B90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07E7F0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1CB0" w:rsidRPr="001D1CB0" w14:paraId="0A05BA65" w14:textId="77777777" w:rsidTr="00D1537E">
        <w:trPr>
          <w:trHeight w:val="246"/>
          <w:tblHeader/>
        </w:trPr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CF23B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5B425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CF33D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C587C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CB410D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B4572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0952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5FA2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C9AE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ED8D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3627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060A4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851B1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AC2C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E8A7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13240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8429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7FA9A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1CB0" w:rsidRPr="001D1CB0" w14:paraId="03364573" w14:textId="77777777" w:rsidTr="001D1CB0">
        <w:trPr>
          <w:trHeight w:val="246"/>
        </w:trPr>
        <w:tc>
          <w:tcPr>
            <w:tcW w:w="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5D01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62600</w:t>
            </w: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CR03</w:t>
            </w:r>
          </w:p>
        </w:tc>
        <w:tc>
          <w:tcPr>
            <w:tcW w:w="29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BE8F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kteří získali kvalifikaci po ukončení své účasti</w:t>
            </w: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373EE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2E3A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nezaměstnaných, 60500 Zaměstnaní, včetně OSVČ</w:t>
            </w:r>
          </w:p>
        </w:tc>
        <w:tc>
          <w:tcPr>
            <w:tcW w:w="7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4CD2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07E8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37,000</w:t>
            </w:r>
          </w:p>
        </w:tc>
        <w:tc>
          <w:tcPr>
            <w:tcW w:w="56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B50D2B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2C2D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42,000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7012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113,514</w:t>
            </w:r>
          </w:p>
        </w:tc>
      </w:tr>
      <w:tr w:rsidR="001D1CB0" w:rsidRPr="001D1CB0" w14:paraId="083F9AC7" w14:textId="77777777" w:rsidTr="001D1CB0">
        <w:trPr>
          <w:trHeight w:val="246"/>
        </w:trPr>
        <w:tc>
          <w:tcPr>
            <w:tcW w:w="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2F743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49ECE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D3109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EE4D7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DB2EB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5BEA8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1258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6F3E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47CFB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9E38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C00E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C0A3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081B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B3F3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33756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B1B6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47A4B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34,000</w:t>
            </w: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946DA7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1CB0" w:rsidRPr="001D1CB0" w14:paraId="50CBF045" w14:textId="77777777" w:rsidTr="001D1CB0">
        <w:trPr>
          <w:trHeight w:val="246"/>
        </w:trPr>
        <w:tc>
          <w:tcPr>
            <w:tcW w:w="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1888E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07546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FAF0E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A7DF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3CC2F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0D6E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ED15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C1A58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B6207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B25C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4B29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58A3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18B0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0FFA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9CFF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BECC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481FC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8,000</w:t>
            </w: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B6D46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1CB0" w:rsidRPr="001D1CB0" w14:paraId="04349C7F" w14:textId="77777777" w:rsidTr="001D1CB0">
        <w:trPr>
          <w:trHeight w:val="246"/>
        </w:trPr>
        <w:tc>
          <w:tcPr>
            <w:tcW w:w="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D58BD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62600</w:t>
            </w: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CR03</w:t>
            </w:r>
          </w:p>
        </w:tc>
        <w:tc>
          <w:tcPr>
            <w:tcW w:w="29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240C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kteří získali kvalifikaci po ukončení své účasti</w:t>
            </w:r>
          </w:p>
        </w:tc>
        <w:tc>
          <w:tcPr>
            <w:tcW w:w="1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DD4F4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3A08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nezaměstnaných, 60500 Zaměstnaní, včetně OSVČ</w:t>
            </w:r>
          </w:p>
        </w:tc>
        <w:tc>
          <w:tcPr>
            <w:tcW w:w="7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210E3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A5FD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5,000</w:t>
            </w:r>
          </w:p>
        </w:tc>
        <w:tc>
          <w:tcPr>
            <w:tcW w:w="56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C2A65E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51440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6,000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6CC9F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120,000</w:t>
            </w:r>
          </w:p>
        </w:tc>
      </w:tr>
      <w:tr w:rsidR="001D1CB0" w:rsidRPr="001D1CB0" w14:paraId="269F42E5" w14:textId="77777777" w:rsidTr="001D1CB0">
        <w:trPr>
          <w:trHeight w:val="246"/>
        </w:trPr>
        <w:tc>
          <w:tcPr>
            <w:tcW w:w="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47878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E869C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EE19E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24729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0C4CA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A4B82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F70B2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35EE4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C35E8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CE066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957BD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A75A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22A6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3D48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DBA1D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C4E7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87A4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5,000</w:t>
            </w: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7817C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1CB0" w:rsidRPr="001D1CB0" w14:paraId="54641192" w14:textId="77777777" w:rsidTr="001D1CB0">
        <w:trPr>
          <w:trHeight w:val="246"/>
        </w:trPr>
        <w:tc>
          <w:tcPr>
            <w:tcW w:w="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624A8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9163A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676B4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4A3BE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A8D62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ECEE0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36541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4E73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E5178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2B34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5617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96EEB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20EA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867EE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7F4C5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0534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7B59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2EEE8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</w:tbl>
    <w:p w14:paraId="0D0663EE" w14:textId="77777777" w:rsidR="001D1CB0" w:rsidRPr="003C2AA4" w:rsidRDefault="001D1CB0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</w:p>
    <w:p w14:paraId="0240B363" w14:textId="77777777" w:rsidR="003C2AA4" w:rsidRPr="003C2AA4" w:rsidRDefault="003C2AA4" w:rsidP="003C2AA4">
      <w:pPr>
        <w:tabs>
          <w:tab w:val="left" w:pos="392"/>
        </w:tabs>
        <w:ind w:left="115" w:right="815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>1</w:t>
      </w:r>
      <w:r w:rsidRPr="003C2AA4">
        <w:rPr>
          <w:rFonts w:ascii="Arial" w:eastAsia="Arial" w:hAnsi="Arial" w:cs="Arial"/>
          <w:color w:val="000000"/>
          <w:sz w:val="16"/>
        </w:rPr>
        <w:tab/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Odhad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založený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reprezentativním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vzorku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Členské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státy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mají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1: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Minimálním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požadavkem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je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dvakrát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, a to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 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případě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této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sloupci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„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proofErr w:type="gramStart"/>
      <w:r w:rsidRPr="003C2AA4">
        <w:rPr>
          <w:rFonts w:ascii="Arial" w:eastAsia="Arial" w:hAnsi="Arial" w:cs="Arial"/>
          <w:color w:val="000000"/>
          <w:sz w:val="16"/>
        </w:rPr>
        <w:t>hodnota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“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proofErr w:type="gram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2: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každý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rok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.</w:t>
      </w:r>
    </w:p>
    <w:p w14:paraId="072E813C" w14:textId="77777777" w:rsidR="003C2AA4" w:rsidRPr="003C2AA4" w:rsidRDefault="003C2AA4" w:rsidP="00164344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1E208AFB" w14:textId="015060D9" w:rsid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03.4.74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do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institucionální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kapacity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gramStart"/>
      <w:r w:rsidRPr="003C2AA4">
        <w:rPr>
          <w:rFonts w:ascii="Arial" w:eastAsia="Arial" w:hAnsi="Arial" w:cs="Arial"/>
          <w:color w:val="000000"/>
          <w:sz w:val="20"/>
        </w:rPr>
        <w:t>a</w:t>
      </w:r>
      <w:proofErr w:type="gram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efektivnosti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veřejné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správy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veřejných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služeb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celostátní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regionální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místní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úrovni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za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účelem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reforem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zlepšování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úpravy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řádné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správy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>.</w:t>
      </w:r>
    </w:p>
    <w:tbl>
      <w:tblPr>
        <w:tblW w:w="159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5"/>
        <w:gridCol w:w="2146"/>
        <w:gridCol w:w="1068"/>
        <w:gridCol w:w="2676"/>
        <w:gridCol w:w="800"/>
        <w:gridCol w:w="887"/>
        <w:gridCol w:w="576"/>
        <w:gridCol w:w="576"/>
        <w:gridCol w:w="576"/>
        <w:gridCol w:w="585"/>
        <w:gridCol w:w="647"/>
        <w:gridCol w:w="655"/>
        <w:gridCol w:w="647"/>
        <w:gridCol w:w="571"/>
        <w:gridCol w:w="571"/>
        <w:gridCol w:w="575"/>
        <w:gridCol w:w="1004"/>
        <w:gridCol w:w="841"/>
      </w:tblGrid>
      <w:tr w:rsidR="001D1CB0" w:rsidRPr="001D1CB0" w14:paraId="1D5F8478" w14:textId="77777777" w:rsidTr="00D1537E">
        <w:trPr>
          <w:trHeight w:val="906"/>
          <w:tblHeader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A5175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3EF91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A3D08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</w:t>
            </w:r>
          </w:p>
        </w:tc>
        <w:tc>
          <w:tcPr>
            <w:tcW w:w="2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42DF5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Společný indikátor výstupů použitý jako základ pro stanovení cíle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3BF82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 pro výchozí hodnotu a cíl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6BE36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 (Rozdělení podle pohlaví je pro cíl nepovinné)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BEB3D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C8A43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0CCA2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747B5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6C7F6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22713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1BD4D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7EBB1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9D265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95884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5821E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D7B49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 Rozdělení podle pohlaví je nepovinné</w:t>
            </w:r>
          </w:p>
        </w:tc>
      </w:tr>
      <w:tr w:rsidR="001D1CB0" w:rsidRPr="001D1CB0" w14:paraId="49770D2B" w14:textId="77777777" w:rsidTr="00D1537E">
        <w:trPr>
          <w:trHeight w:val="241"/>
          <w:tblHeader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69A96F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961039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F908C9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2FC0E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1C9AA5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5ABFF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97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84195F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E3326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CDFEB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1CB0" w:rsidRPr="001D1CB0" w14:paraId="2CB4043F" w14:textId="77777777" w:rsidTr="00D1537E">
        <w:trPr>
          <w:trHeight w:val="241"/>
          <w:tblHeader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40F971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E678E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75DAB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6153F8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DF2BAF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BA333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0D86F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BEC60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7CE62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53F39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75257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E84FB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085EB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E8893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A4125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22F2A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82884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703A8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1CB0" w:rsidRPr="001D1CB0" w14:paraId="1C2BA7C2" w14:textId="77777777" w:rsidTr="00D1537E">
        <w:trPr>
          <w:trHeight w:val="241"/>
          <w:tblHeader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13B1EB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D2D5C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E1E39D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5B28F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FFE74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D16E33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D6DFF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1B6D0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F280C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03012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108F8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1D142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5AF88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BFD74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70728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A7654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A4476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015BCD" w14:textId="77777777" w:rsidR="001D1CB0" w:rsidRPr="001D1CB0" w:rsidRDefault="001D1CB0" w:rsidP="001D1CB0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1CB0" w:rsidRPr="001D1CB0" w14:paraId="77674B2D" w14:textId="77777777" w:rsidTr="001D1CB0">
        <w:trPr>
          <w:trHeight w:val="241"/>
        </w:trPr>
        <w:tc>
          <w:tcPr>
            <w:tcW w:w="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F809D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62600</w:t>
            </w: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CR03</w:t>
            </w:r>
          </w:p>
        </w:tc>
        <w:tc>
          <w:tcPr>
            <w:tcW w:w="2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5D749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kteří získali kvalifikaci po ukončení své účasti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0D39A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2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28ABF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nezaměstnaných, 60500 Zaměstnaní, včetně OSVČ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18605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F5657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15 085,000</w:t>
            </w:r>
          </w:p>
        </w:tc>
        <w:tc>
          <w:tcPr>
            <w:tcW w:w="597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90305B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BEA59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7 667,000</w:t>
            </w:r>
          </w:p>
        </w:tc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A49A0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50,825%</w:t>
            </w:r>
            <w:proofErr w:type="gramEnd"/>
          </w:p>
        </w:tc>
      </w:tr>
      <w:tr w:rsidR="001D1CB0" w:rsidRPr="001D1CB0" w14:paraId="1D64EFFA" w14:textId="77777777" w:rsidTr="001D1CB0">
        <w:trPr>
          <w:trHeight w:val="241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BE533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4A613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40ADB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1593D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93F5D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0DA8D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D5886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9C58E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C86E4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FBC69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17,000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BCAFB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378,000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6D9ED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2 268,000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30B4D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857,000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55747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1EB26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6FF06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26A71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3 520,000</w:t>
            </w:r>
          </w:p>
        </w:tc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DA1BAF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1CB0" w:rsidRPr="001D1CB0" w14:paraId="46B6006F" w14:textId="77777777" w:rsidTr="001D1CB0">
        <w:trPr>
          <w:trHeight w:val="241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716C6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1724F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2C60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21306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0B734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1208E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AB92F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F127F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5647B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CB46D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21,000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2893F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612,000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812F3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2 089,000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BBEAE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1 425,000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F0137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E52F5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1286C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8592C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4 147,000</w:t>
            </w:r>
          </w:p>
        </w:tc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1F80E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1CB0" w:rsidRPr="001D1CB0" w14:paraId="21501030" w14:textId="77777777" w:rsidTr="001D1CB0">
        <w:trPr>
          <w:trHeight w:val="241"/>
        </w:trPr>
        <w:tc>
          <w:tcPr>
            <w:tcW w:w="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B89E0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62600</w:t>
            </w: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br/>
              <w:t>CR03</w:t>
            </w:r>
          </w:p>
        </w:tc>
        <w:tc>
          <w:tcPr>
            <w:tcW w:w="2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53144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kteří získali kvalifikaci po ukončení své účasti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FBDD8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2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2CD88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 Nezaměstnaní účastníci, včetně dlouhodobě nezaměstnaných, 60500 Zaměstnaní, včetně OSVČ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38784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293C4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1 515,000</w:t>
            </w:r>
          </w:p>
        </w:tc>
        <w:tc>
          <w:tcPr>
            <w:tcW w:w="597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2BA49D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6EFC8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806,000</w:t>
            </w:r>
          </w:p>
        </w:tc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98FD8" w14:textId="77777777" w:rsidR="001D1CB0" w:rsidRPr="001D1CB0" w:rsidRDefault="001D1CB0" w:rsidP="001D1CB0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53,201%</w:t>
            </w:r>
            <w:proofErr w:type="gramEnd"/>
          </w:p>
        </w:tc>
      </w:tr>
      <w:tr w:rsidR="001D1CB0" w:rsidRPr="001D1CB0" w14:paraId="4C22F88A" w14:textId="77777777" w:rsidTr="001D1CB0">
        <w:trPr>
          <w:trHeight w:val="241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9B631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247C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762BE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3E79E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97503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ABB0B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695B8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AB672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5FDF8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CE2AB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09036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46,000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95C81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122,000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EA87D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83,000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2A545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B0417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8866C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9D38D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251,000</w:t>
            </w:r>
          </w:p>
        </w:tc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E58B6F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1CB0" w:rsidRPr="001D1CB0" w14:paraId="34B5520B" w14:textId="77777777" w:rsidTr="001D1CB0">
        <w:trPr>
          <w:trHeight w:val="241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B074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48AE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3FC7A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98FD0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F00F1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40A59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DC847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944B9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E7401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51B83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3,000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D3F91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71,000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C6263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368,000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73919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113,000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6325A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65801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ACAE9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712BE" w14:textId="77777777" w:rsidR="001D1CB0" w:rsidRPr="001D1CB0" w:rsidRDefault="001D1CB0" w:rsidP="001D1CB0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1CB0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555,000</w:t>
            </w:r>
          </w:p>
        </w:tc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6C6CC" w14:textId="77777777" w:rsidR="001D1CB0" w:rsidRPr="001D1CB0" w:rsidRDefault="001D1CB0" w:rsidP="001D1CB0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</w:tbl>
    <w:p w14:paraId="577B6790" w14:textId="7D0EAE1A" w:rsidR="003C2AA4" w:rsidRPr="00D1537E" w:rsidRDefault="003C2AA4" w:rsidP="00D1537E">
      <w:pPr>
        <w:tabs>
          <w:tab w:val="left" w:pos="392"/>
        </w:tabs>
        <w:ind w:right="815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>1</w:t>
      </w:r>
      <w:r w:rsidRPr="003C2AA4">
        <w:rPr>
          <w:rFonts w:ascii="Arial" w:eastAsia="Arial" w:hAnsi="Arial" w:cs="Arial"/>
          <w:color w:val="000000"/>
          <w:sz w:val="16"/>
        </w:rPr>
        <w:tab/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Odhad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založený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reprezentativním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vzorku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Členské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státy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mají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1: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Minimálním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požadavkem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je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dvakrát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, a to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 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případě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této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sloupci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„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proofErr w:type="gramStart"/>
      <w:r w:rsidRPr="003C2AA4">
        <w:rPr>
          <w:rFonts w:ascii="Arial" w:eastAsia="Arial" w:hAnsi="Arial" w:cs="Arial"/>
          <w:color w:val="000000"/>
          <w:sz w:val="16"/>
        </w:rPr>
        <w:t>hodnota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“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proofErr w:type="gram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2: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každý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rok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.</w:t>
      </w:r>
    </w:p>
    <w:p w14:paraId="3440E597" w14:textId="77777777" w:rsidR="003C2AA4" w:rsidRP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lastRenderedPageBreak/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03.5.125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Technická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pomoc</w:t>
      </w:r>
      <w:proofErr w:type="spellEnd"/>
    </w:p>
    <w:tbl>
      <w:tblPr>
        <w:tblW w:w="0" w:type="auto"/>
        <w:tblInd w:w="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977"/>
        <w:gridCol w:w="838"/>
        <w:gridCol w:w="1155"/>
        <w:gridCol w:w="705"/>
        <w:gridCol w:w="848"/>
        <w:gridCol w:w="849"/>
        <w:gridCol w:w="849"/>
        <w:gridCol w:w="849"/>
        <w:gridCol w:w="850"/>
        <w:gridCol w:w="853"/>
        <w:gridCol w:w="849"/>
        <w:gridCol w:w="850"/>
        <w:gridCol w:w="849"/>
        <w:gridCol w:w="849"/>
        <w:gridCol w:w="854"/>
        <w:gridCol w:w="1166"/>
        <w:gridCol w:w="882"/>
      </w:tblGrid>
      <w:tr w:rsidR="003C2AA4" w:rsidRPr="003C2AA4" w14:paraId="65D8BF7D" w14:textId="77777777" w:rsidTr="003C2AA4">
        <w:trPr>
          <w:cantSplit/>
          <w:tblHeader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B4A95F" w14:textId="77777777" w:rsidR="003C2AA4" w:rsidRPr="003C2AA4" w:rsidRDefault="003C2AA4" w:rsidP="003C2AA4">
            <w:pPr>
              <w:keepNext/>
              <w:keepLines/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ID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D28159" w14:textId="77777777" w:rsidR="003C2AA4" w:rsidRPr="003C2AA4" w:rsidRDefault="003C2AA4" w:rsidP="003C2AA4">
            <w:pPr>
              <w:keepNext/>
              <w:keepLines/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Indikátor</w:t>
            </w:r>
            <w:proofErr w:type="spellEnd"/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B8F305" w14:textId="77777777" w:rsidR="003C2AA4" w:rsidRPr="003C2AA4" w:rsidRDefault="003C2AA4" w:rsidP="003C2AA4">
            <w:pPr>
              <w:keepNext/>
              <w:keepLines/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Kategorie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regionu</w:t>
            </w:r>
            <w:proofErr w:type="spellEnd"/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4FEFCB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Společný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indikátor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výstupů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použitý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jako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základ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pro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stanovení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cíle</w:t>
            </w:r>
            <w:proofErr w:type="spellEnd"/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AF04A7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Měrná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jednotka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pro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výchozí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hodnotu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a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cíl</w:t>
            </w:r>
            <w:proofErr w:type="spellEnd"/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526691" w14:textId="77777777" w:rsidR="003C2AA4" w:rsidRPr="003C2AA4" w:rsidRDefault="003C2AA4" w:rsidP="003C2AA4">
            <w:pPr>
              <w:keepNext/>
              <w:keepLines/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Cílová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hodnota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(2023)</w:t>
            </w:r>
          </w:p>
          <w:p w14:paraId="133591BC" w14:textId="77777777" w:rsidR="003C2AA4" w:rsidRPr="003C2AA4" w:rsidRDefault="003C2AA4" w:rsidP="003C2AA4">
            <w:pPr>
              <w:keepNext/>
              <w:keepLines/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(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Rozdělení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podle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pohlaví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je pro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cíl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nepovinné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249099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  <w:p w14:paraId="5ACBF301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2014</w:t>
            </w:r>
          </w:p>
          <w:p w14:paraId="5D365AC2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44A5D0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  <w:p w14:paraId="2999CE2B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2015</w:t>
            </w:r>
          </w:p>
          <w:p w14:paraId="0C87048B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C5EF76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  <w:p w14:paraId="6E8046B9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2016</w:t>
            </w:r>
          </w:p>
          <w:p w14:paraId="4A2624A3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585DC1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  <w:p w14:paraId="3D11751A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2017</w:t>
            </w:r>
          </w:p>
          <w:p w14:paraId="61C644EE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4F3A2D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  <w:p w14:paraId="1077906A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2018</w:t>
            </w:r>
          </w:p>
          <w:p w14:paraId="55EBF199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A0522C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  <w:p w14:paraId="3C7D48C9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2019</w:t>
            </w:r>
          </w:p>
          <w:p w14:paraId="2D5E28F4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55DBA1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  <w:p w14:paraId="48D771CD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2020</w:t>
            </w:r>
          </w:p>
          <w:p w14:paraId="0C3595CD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C08228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  <w:p w14:paraId="3A4E2A93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2021</w:t>
            </w:r>
          </w:p>
          <w:p w14:paraId="63C40E8F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6F76E3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  <w:p w14:paraId="1630D4BC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2022</w:t>
            </w:r>
          </w:p>
          <w:p w14:paraId="6A5DE3EC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FDB458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  <w:p w14:paraId="55FC651D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2023</w:t>
            </w:r>
          </w:p>
          <w:p w14:paraId="4EBFFEDF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A19C16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Kumulativní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hodnota</w:t>
            </w:r>
            <w:proofErr w:type="spellEnd"/>
          </w:p>
          <w:p w14:paraId="70EDC11F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(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vypočítána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automaticky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)</w:t>
            </w:r>
          </w:p>
        </w:tc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16A6E3" w14:textId="77777777" w:rsidR="003C2AA4" w:rsidRPr="003C2AA4" w:rsidRDefault="003C2AA4" w:rsidP="003C2AA4">
            <w:pPr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Míra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splnění</w:t>
            </w:r>
            <w:proofErr w:type="spellEnd"/>
          </w:p>
          <w:p w14:paraId="3C0D5092" w14:textId="77777777" w:rsidR="003C2AA4" w:rsidRPr="003C2AA4" w:rsidRDefault="003C2AA4" w:rsidP="003C2AA4">
            <w:pPr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Rozdělení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podle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pohlaví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je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nepovinné</w:t>
            </w:r>
            <w:proofErr w:type="spellEnd"/>
          </w:p>
        </w:tc>
      </w:tr>
      <w:tr w:rsidR="003C2AA4" w:rsidRPr="003C2AA4" w14:paraId="43FD91C3" w14:textId="77777777" w:rsidTr="003C2AA4">
        <w:trPr>
          <w:cantSplit/>
          <w:tblHeader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36FF11" w14:textId="77777777" w:rsidR="003C2AA4" w:rsidRPr="003C2AA4" w:rsidRDefault="003C2AA4" w:rsidP="003C2AA4"/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E41528" w14:textId="77777777" w:rsidR="003C2AA4" w:rsidRPr="003C2AA4" w:rsidRDefault="003C2AA4" w:rsidP="003C2AA4"/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C5B2E" w14:textId="77777777" w:rsidR="003C2AA4" w:rsidRPr="003C2AA4" w:rsidRDefault="003C2AA4" w:rsidP="003C2AA4"/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12974D" w14:textId="77777777" w:rsidR="003C2AA4" w:rsidRPr="003C2AA4" w:rsidRDefault="003C2AA4" w:rsidP="003C2AA4"/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434987" w14:textId="77777777" w:rsidR="003C2AA4" w:rsidRPr="003C2AA4" w:rsidRDefault="003C2AA4" w:rsidP="003C2AA4"/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689E87" w14:textId="77777777" w:rsidR="003C2AA4" w:rsidRPr="003C2AA4" w:rsidRDefault="003C2AA4" w:rsidP="003C2AA4"/>
        </w:tc>
        <w:tc>
          <w:tcPr>
            <w:tcW w:w="85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967CC2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  <w:p w14:paraId="793CDE89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Roční</w:t>
            </w:r>
            <w:proofErr w:type="spellEnd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hodnota</w:t>
            </w:r>
            <w:proofErr w:type="spellEnd"/>
          </w:p>
          <w:p w14:paraId="2F323996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D8073C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  <w:p w14:paraId="5E9A572C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Celkem</w:t>
            </w:r>
            <w:proofErr w:type="spellEnd"/>
          </w:p>
          <w:p w14:paraId="620F0CAC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660C94" w14:textId="77777777" w:rsidR="003C2AA4" w:rsidRPr="003C2AA4" w:rsidRDefault="003C2AA4" w:rsidP="003C2AA4"/>
        </w:tc>
      </w:tr>
      <w:tr w:rsidR="003C2AA4" w:rsidRPr="003C2AA4" w14:paraId="14703AAC" w14:textId="77777777" w:rsidTr="003C2AA4">
        <w:trPr>
          <w:cantSplit/>
          <w:tblHeader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CDB363" w14:textId="77777777" w:rsidR="003C2AA4" w:rsidRPr="003C2AA4" w:rsidRDefault="003C2AA4" w:rsidP="003C2AA4"/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7DD17" w14:textId="77777777" w:rsidR="003C2AA4" w:rsidRPr="003C2AA4" w:rsidRDefault="003C2AA4" w:rsidP="003C2AA4"/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9AC92" w14:textId="77777777" w:rsidR="003C2AA4" w:rsidRPr="003C2AA4" w:rsidRDefault="003C2AA4" w:rsidP="003C2AA4"/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7E488F" w14:textId="77777777" w:rsidR="003C2AA4" w:rsidRPr="003C2AA4" w:rsidRDefault="003C2AA4" w:rsidP="003C2AA4"/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B288E5" w14:textId="77777777" w:rsidR="003C2AA4" w:rsidRPr="003C2AA4" w:rsidRDefault="003C2AA4" w:rsidP="003C2AA4"/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3A5EBB" w14:textId="77777777" w:rsidR="003C2AA4" w:rsidRPr="003C2AA4" w:rsidRDefault="003C2AA4" w:rsidP="003C2AA4"/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5105D8" w14:textId="77777777" w:rsidR="003C2AA4" w:rsidRPr="003C2AA4" w:rsidRDefault="003C2AA4" w:rsidP="003C2AA4">
            <w:pPr>
              <w:keepNext/>
              <w:keepLines/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5A2E78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B5AD39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C358AC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2D86CA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98D816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A6A2A0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9BDC6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B23344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65857A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BE87FD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</w:t>
            </w:r>
          </w:p>
        </w:tc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73D99D" w14:textId="77777777" w:rsidR="003C2AA4" w:rsidRPr="003C2AA4" w:rsidRDefault="003C2AA4" w:rsidP="003C2AA4"/>
        </w:tc>
      </w:tr>
      <w:tr w:rsidR="003C2AA4" w:rsidRPr="003C2AA4" w14:paraId="76E7614A" w14:textId="77777777" w:rsidTr="003C2AA4">
        <w:trPr>
          <w:cantSplit/>
          <w:tblHeader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879BC5" w14:textId="77777777" w:rsidR="003C2AA4" w:rsidRPr="003C2AA4" w:rsidRDefault="003C2AA4" w:rsidP="003C2AA4"/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6FB2C0" w14:textId="77777777" w:rsidR="003C2AA4" w:rsidRPr="003C2AA4" w:rsidRDefault="003C2AA4" w:rsidP="003C2AA4"/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2955F4" w14:textId="77777777" w:rsidR="003C2AA4" w:rsidRPr="003C2AA4" w:rsidRDefault="003C2AA4" w:rsidP="003C2AA4"/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D34230" w14:textId="77777777" w:rsidR="003C2AA4" w:rsidRPr="003C2AA4" w:rsidRDefault="003C2AA4" w:rsidP="003C2AA4"/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9F0F64" w14:textId="77777777" w:rsidR="003C2AA4" w:rsidRPr="003C2AA4" w:rsidRDefault="003C2AA4" w:rsidP="003C2AA4"/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1E5502" w14:textId="77777777" w:rsidR="003C2AA4" w:rsidRPr="003C2AA4" w:rsidRDefault="003C2AA4" w:rsidP="003C2AA4"/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AFF3DC" w14:textId="77777777" w:rsidR="003C2AA4" w:rsidRPr="003C2AA4" w:rsidRDefault="003C2AA4" w:rsidP="003C2AA4">
            <w:pPr>
              <w:keepNext/>
              <w:keepLines/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2B195C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78C17A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A3441B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Ž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789108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60B5D9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2D2CC9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1BE4AC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208988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Ž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48E160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Ž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FAF7D7" w14:textId="77777777" w:rsidR="003C2AA4" w:rsidRPr="003C2AA4" w:rsidRDefault="003C2AA4" w:rsidP="003C2AA4">
            <w:pPr>
              <w:keepNext/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 w:rsidRPr="003C2AA4"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Ž</w:t>
            </w:r>
          </w:p>
        </w:tc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02D663" w14:textId="77777777" w:rsidR="003C2AA4" w:rsidRPr="003C2AA4" w:rsidRDefault="003C2AA4" w:rsidP="003C2AA4"/>
        </w:tc>
      </w:tr>
    </w:tbl>
    <w:p w14:paraId="1EDA8F9F" w14:textId="45CDCD64" w:rsidR="003C2AA4" w:rsidRPr="00CE70C5" w:rsidRDefault="003C2AA4" w:rsidP="00CE70C5">
      <w:pPr>
        <w:tabs>
          <w:tab w:val="left" w:pos="392"/>
        </w:tabs>
        <w:ind w:left="115" w:right="815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>1</w:t>
      </w:r>
      <w:r w:rsidRPr="003C2AA4">
        <w:rPr>
          <w:rFonts w:ascii="Arial" w:eastAsia="Arial" w:hAnsi="Arial" w:cs="Arial"/>
          <w:color w:val="000000"/>
          <w:sz w:val="16"/>
        </w:rPr>
        <w:tab/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Odhad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založený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reprezentativním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vzorku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Členské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státy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mají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1: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Minimálním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požadavkem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je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dvakrát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, a to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 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případě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této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sloupci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„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proofErr w:type="gramStart"/>
      <w:r w:rsidRPr="003C2AA4">
        <w:rPr>
          <w:rFonts w:ascii="Arial" w:eastAsia="Arial" w:hAnsi="Arial" w:cs="Arial"/>
          <w:color w:val="000000"/>
          <w:sz w:val="16"/>
        </w:rPr>
        <w:t>hodnota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“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proofErr w:type="gram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2: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každý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rok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.</w:t>
      </w:r>
    </w:p>
    <w:p w14:paraId="41C47ECF" w14:textId="77777777" w:rsidR="003C2AA4" w:rsidRPr="003C2AA4" w:rsidRDefault="003C2AA4" w:rsidP="003C2AA4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>----------------------------------------------------</w:t>
      </w:r>
    </w:p>
    <w:p w14:paraId="2A419FF2" w14:textId="77777777" w:rsidR="003C2AA4" w:rsidRPr="003C2AA4" w:rsidRDefault="003C2AA4" w:rsidP="003C2AA4">
      <w:pPr>
        <w:keepNext/>
        <w:tabs>
          <w:tab w:val="left" w:pos="1675"/>
        </w:tabs>
        <w:ind w:left="115" w:right="529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 xml:space="preserve">4 -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Strukturované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požadované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YEI,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která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má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být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předložena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dubnu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2015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souladu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s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čl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19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odst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3 a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přílohou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II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nařízení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(EU) č. 1304/2013.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Pokud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obsahuje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cíl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společný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ukazatel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výsledků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ESF, je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nutno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příslušný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ukazatel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výsledků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poskytnout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vybrané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cílově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skupině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(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tj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společný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ukazatel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výstupů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použitý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jako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referenční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) a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rovněž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celkový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počet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účastníků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kteří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období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provádění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dosáhli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příslušného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výsledku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.</w:t>
      </w:r>
    </w:p>
    <w:p w14:paraId="32A1CB1A" w14:textId="77777777" w:rsidR="003C2AA4" w:rsidRPr="003C2AA4" w:rsidRDefault="003C2AA4" w:rsidP="003C2AA4">
      <w:pPr>
        <w:spacing w:line="312" w:lineRule="auto"/>
        <w:ind w:left="115" w:right="670"/>
        <w:jc w:val="both"/>
        <w:rPr>
          <w:rFonts w:ascii="Arial" w:eastAsia="Arial" w:hAnsi="Arial" w:cs="Arial"/>
          <w:color w:val="000000"/>
          <w:sz w:val="16"/>
        </w:rPr>
      </w:pPr>
    </w:p>
    <w:p w14:paraId="115DF703" w14:textId="793BBAE2" w:rsidR="003C2AA4" w:rsidRPr="003C2AA4" w:rsidRDefault="003C2AA4" w:rsidP="001D52AA">
      <w:r w:rsidRPr="003C2AA4">
        <w:br w:type="page"/>
      </w:r>
    </w:p>
    <w:p w14:paraId="5CD9DCC5" w14:textId="77777777" w:rsidR="003C2AA4" w:rsidRPr="003C2AA4" w:rsidRDefault="003C2AA4" w:rsidP="003C2AA4">
      <w:pPr>
        <w:spacing w:line="312" w:lineRule="auto"/>
        <w:ind w:left="115" w:right="670"/>
        <w:jc w:val="both"/>
        <w:rPr>
          <w:rFonts w:ascii="Arial" w:eastAsia="Arial" w:hAnsi="Arial" w:cs="Arial"/>
          <w:b/>
          <w:bCs/>
          <w:i/>
          <w:iCs/>
          <w:color w:val="000000"/>
          <w:sz w:val="16"/>
        </w:rPr>
      </w:pP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lastRenderedPageBreak/>
        <w:t>Tabulka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2B: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Indikátory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výsledků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pro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Iniciativu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podporu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zaměstnanosti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mladých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lidí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(YEI)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podle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prioritních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os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nebo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v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části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prioritní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osy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(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čl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. 19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odst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. 3,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příloha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I </w:t>
      </w:r>
      <w:proofErr w:type="gram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a</w:t>
      </w:r>
      <w:proofErr w:type="gram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II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nařízení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o ESF) </w:t>
      </w:r>
      <w:r w:rsidRPr="003C2AA4">
        <w:rPr>
          <w:rFonts w:ascii="Arial" w:eastAsia="Arial" w:hAnsi="Arial" w:cs="Arial"/>
          <w:b/>
          <w:bCs/>
          <w:i/>
          <w:iCs/>
          <w:color w:val="000000"/>
          <w:sz w:val="16"/>
        </w:rPr>
        <w:t>(5)</w:t>
      </w:r>
    </w:p>
    <w:p w14:paraId="2CF751A0" w14:textId="07EB5E57" w:rsidR="003C2AA4" w:rsidRDefault="003C2AA4" w:rsidP="001D52AA">
      <w:pPr>
        <w:keepNext/>
        <w:ind w:left="113" w:right="108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03.1.49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Trvalé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začlenění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mladých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lidí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trh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mimo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jiné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pomocí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r w:rsidR="001D52AA">
        <w:rPr>
          <w:rFonts w:ascii="Arial" w:eastAsia="Arial" w:hAnsi="Arial" w:cs="Arial"/>
          <w:color w:val="000000"/>
          <w:sz w:val="20"/>
        </w:rPr>
        <w:t>“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záruky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mladé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lidi</w:t>
      </w:r>
      <w:proofErr w:type="spellEnd"/>
      <w:r w:rsidR="001D52AA">
        <w:rPr>
          <w:rFonts w:ascii="Arial" w:eastAsia="Arial" w:hAnsi="Arial" w:cs="Arial"/>
          <w:color w:val="000000"/>
          <w:sz w:val="20"/>
        </w:rPr>
        <w:t>”</w:t>
      </w:r>
      <w:r w:rsidRPr="003C2AA4">
        <w:rPr>
          <w:rFonts w:ascii="Arial" w:eastAsia="Arial" w:hAnsi="Arial" w:cs="Arial"/>
          <w:color w:val="000000"/>
          <w:sz w:val="20"/>
        </w:rPr>
        <w:t xml:space="preserve">, a to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zejména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těch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kteří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nejsou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vzdělávání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v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nebo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profesní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přípravě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těch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mladých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lidí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kterým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hrozí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sociální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vyloučení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mladých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lidí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z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marginalizovaných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komunit</w:t>
      </w:r>
      <w:proofErr w:type="spellEnd"/>
    </w:p>
    <w:tbl>
      <w:tblPr>
        <w:tblW w:w="158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7"/>
        <w:gridCol w:w="4147"/>
        <w:gridCol w:w="1046"/>
        <w:gridCol w:w="997"/>
        <w:gridCol w:w="647"/>
        <w:gridCol w:w="647"/>
        <w:gridCol w:w="647"/>
        <w:gridCol w:w="726"/>
        <w:gridCol w:w="805"/>
        <w:gridCol w:w="826"/>
        <w:gridCol w:w="726"/>
        <w:gridCol w:w="645"/>
        <w:gridCol w:w="645"/>
        <w:gridCol w:w="645"/>
        <w:gridCol w:w="6"/>
        <w:gridCol w:w="1121"/>
        <w:gridCol w:w="6"/>
        <w:gridCol w:w="947"/>
      </w:tblGrid>
      <w:tr w:rsidR="001D52AA" w:rsidRPr="001D52AA" w14:paraId="7E7D4DE6" w14:textId="77777777" w:rsidTr="00D1537E">
        <w:trPr>
          <w:trHeight w:val="760"/>
          <w:tblHeader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64A0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2297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D729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1620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 (Rozdělení podle pohlaví je pro cíl nepovinné)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33F4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8052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CB7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7E8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23F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3D9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952F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26D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FBE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4859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551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386F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 Rozdělení podle pohlaví je nepovinné</w:t>
            </w:r>
          </w:p>
        </w:tc>
      </w:tr>
      <w:tr w:rsidR="001D52AA" w:rsidRPr="001D52AA" w14:paraId="44F2B7C9" w14:textId="77777777" w:rsidTr="00D1537E">
        <w:trPr>
          <w:trHeight w:val="283"/>
          <w:tblHeader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7C26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18091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E0E72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6D0819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96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9B5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161C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00594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05DDC1C9" w14:textId="77777777" w:rsidTr="00D1537E">
        <w:trPr>
          <w:trHeight w:val="238"/>
          <w:tblHeader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17CA0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6E177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455D2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6D069F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D77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E5BB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EAC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99A7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482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FAB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51D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A703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FBB2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CAD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933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D406F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374C48B4" w14:textId="77777777" w:rsidTr="00D1537E">
        <w:trPr>
          <w:trHeight w:val="238"/>
          <w:tblHeader/>
        </w:trPr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FFF3B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51A7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C37A1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EEBAA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399D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D3E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3C1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DDA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0CD7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698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163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62269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2D53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366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5AC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10F32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262B15B3" w14:textId="77777777" w:rsidTr="001D52AA">
        <w:trPr>
          <w:trHeight w:val="238"/>
        </w:trPr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DE3B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64100</w:t>
            </w:r>
          </w:p>
        </w:tc>
        <w:tc>
          <w:tcPr>
            <w:tcW w:w="41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540B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Nezaměstnaní účastníci, kteří dokončili program podporovaný YEI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07B8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FDC1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FD0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8CE0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3D08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2E46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0B00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3B3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2B1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964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279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758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227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4 586,000</w:t>
            </w:r>
          </w:p>
        </w:tc>
        <w:tc>
          <w:tcPr>
            <w:tcW w:w="9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817F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183,440%</w:t>
            </w:r>
            <w:proofErr w:type="gramEnd"/>
          </w:p>
        </w:tc>
      </w:tr>
      <w:tr w:rsidR="001D52AA" w:rsidRPr="001D52AA" w14:paraId="58F141D4" w14:textId="77777777" w:rsidTr="001D52AA">
        <w:trPr>
          <w:trHeight w:val="238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EC40C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7D05F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A335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6F5D7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F95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B56E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A7E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2DD1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115,000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7F66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933,000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62E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1 073,000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F1CD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47,000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57E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A29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75E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8F2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2 168,000</w:t>
            </w:r>
          </w:p>
        </w:tc>
        <w:tc>
          <w:tcPr>
            <w:tcW w:w="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B9189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182B2E03" w14:textId="77777777" w:rsidTr="001D52AA">
        <w:trPr>
          <w:trHeight w:val="238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74E4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3326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1FBE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1A90C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3E4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7DB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176A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D67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141,000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036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1 008,000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139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1 208,000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402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61,000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AF0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D621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A4A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D51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2 418,000</w:t>
            </w:r>
          </w:p>
        </w:tc>
        <w:tc>
          <w:tcPr>
            <w:tcW w:w="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1AA3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63A6DA97" w14:textId="77777777" w:rsidTr="001D52AA">
        <w:trPr>
          <w:trHeight w:val="238"/>
        </w:trPr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0E78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64200</w:t>
            </w:r>
          </w:p>
        </w:tc>
        <w:tc>
          <w:tcPr>
            <w:tcW w:w="41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E257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Nezaměstnaní účastníci, kteří po ukončení své účasti dostanou nabídku zaměstnání, dalšího vzdělávání, učňovské nebo odborné přípravy po ukončení své účasti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02BC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B900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18BF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2CBA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BD8D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A0CF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0324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6946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82AD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0DB9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4128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6CDF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8FE6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460,000</w:t>
            </w:r>
          </w:p>
        </w:tc>
        <w:tc>
          <w:tcPr>
            <w:tcW w:w="9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4CF0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30,667%</w:t>
            </w:r>
            <w:proofErr w:type="gramEnd"/>
          </w:p>
        </w:tc>
      </w:tr>
      <w:tr w:rsidR="001D52AA" w:rsidRPr="001D52AA" w14:paraId="62A34CBC" w14:textId="77777777" w:rsidTr="001D52AA">
        <w:trPr>
          <w:trHeight w:val="238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CC2A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64347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3CC09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5767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F692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1216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A72F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9105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14,000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FD0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140,000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BAF1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44,000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8CC0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13,000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773F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7D11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E73A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460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211,000</w:t>
            </w:r>
          </w:p>
        </w:tc>
        <w:tc>
          <w:tcPr>
            <w:tcW w:w="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14664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787AB522" w14:textId="77777777" w:rsidTr="001D52AA">
        <w:trPr>
          <w:trHeight w:val="238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C3BDF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A5A6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B26C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1BF98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FE02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7B9B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BC70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FC19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22,000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B55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154,000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FEC6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44,000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DB8B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29,000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3F0E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E0FE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51B6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723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249,000</w:t>
            </w:r>
          </w:p>
        </w:tc>
        <w:tc>
          <w:tcPr>
            <w:tcW w:w="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728C3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6194BE35" w14:textId="77777777" w:rsidTr="001D52AA">
        <w:trPr>
          <w:trHeight w:val="238"/>
        </w:trPr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3C34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64300</w:t>
            </w:r>
          </w:p>
        </w:tc>
        <w:tc>
          <w:tcPr>
            <w:tcW w:w="41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834D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Nezaměstnaní účastníci, kteří jsou v procesu vzdělávání či odborné přípravy nebo získávají </w:t>
            </w:r>
            <w:proofErr w:type="spellStart"/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kvalifikacinebo</w:t>
            </w:r>
            <w:proofErr w:type="spellEnd"/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jsou zaměstnaní včetně OSVČ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F199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532E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3FD17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52CBF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68B75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4EB6A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C154D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E1B7B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50E2A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1338D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778D3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0F79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D3F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3 829,000</w:t>
            </w:r>
          </w:p>
        </w:tc>
        <w:tc>
          <w:tcPr>
            <w:tcW w:w="9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F67F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382,900%</w:t>
            </w:r>
            <w:proofErr w:type="gramEnd"/>
          </w:p>
        </w:tc>
      </w:tr>
      <w:tr w:rsidR="001D52AA" w:rsidRPr="001D52AA" w14:paraId="77723418" w14:textId="77777777" w:rsidTr="001D52AA">
        <w:trPr>
          <w:trHeight w:val="238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51CFA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8B9D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E94C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F1D3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0AF5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410E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81A8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F428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96,000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889E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686,000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E418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977,000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481C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37,000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38FC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0838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222E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23B2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1 796,000</w:t>
            </w:r>
          </w:p>
        </w:tc>
        <w:tc>
          <w:tcPr>
            <w:tcW w:w="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753B5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57299782" w14:textId="77777777" w:rsidTr="001D52AA">
        <w:trPr>
          <w:trHeight w:val="238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5857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1DECB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0FE5A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EA0D1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4E18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CDE6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CA72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6451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64,000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436E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807,000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A14D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1 103,000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DE09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58,000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E811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BF11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D5BC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7A6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2 033,000</w:t>
            </w:r>
          </w:p>
        </w:tc>
        <w:tc>
          <w:tcPr>
            <w:tcW w:w="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806ED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5740B5C4" w14:textId="77777777" w:rsidTr="001D52AA">
        <w:trPr>
          <w:trHeight w:val="238"/>
        </w:trPr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628C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64400</w:t>
            </w:r>
          </w:p>
        </w:tc>
        <w:tc>
          <w:tcPr>
            <w:tcW w:w="41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7FA6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Dlouhodobě nezaměstnaní účastníci, kteří dokončili program podporovaný YEI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DB7E7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4F02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520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4D32A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9DE70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B4924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5D1B2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E804E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1017C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6D510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C9B59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47F8A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A411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A17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314,000</w:t>
            </w:r>
          </w:p>
        </w:tc>
        <w:tc>
          <w:tcPr>
            <w:tcW w:w="9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3109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60,385%</w:t>
            </w:r>
            <w:proofErr w:type="gramEnd"/>
          </w:p>
        </w:tc>
      </w:tr>
      <w:tr w:rsidR="001D52AA" w:rsidRPr="001D52AA" w14:paraId="793754AD" w14:textId="77777777" w:rsidTr="001D52AA">
        <w:trPr>
          <w:trHeight w:val="238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A078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FB26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7B72D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11A5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B4D1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9905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37F4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66B3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16,000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B4B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77,000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15A0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32,000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78E3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29,000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6CAD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14AB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B29E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BA8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154,000</w:t>
            </w:r>
          </w:p>
        </w:tc>
        <w:tc>
          <w:tcPr>
            <w:tcW w:w="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4748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48FD5716" w14:textId="77777777" w:rsidTr="001D52AA">
        <w:trPr>
          <w:trHeight w:val="238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877C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D885D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3031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EB34F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CDCB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C86F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3735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C01B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12,000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4C5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69,000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F089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44,000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A173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35,000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8C0C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8E75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ED16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491D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160,000</w:t>
            </w:r>
          </w:p>
        </w:tc>
        <w:tc>
          <w:tcPr>
            <w:tcW w:w="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AF59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31E3F870" w14:textId="77777777" w:rsidTr="001D52AA">
        <w:trPr>
          <w:trHeight w:val="238"/>
        </w:trPr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2B2A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64500</w:t>
            </w:r>
          </w:p>
        </w:tc>
        <w:tc>
          <w:tcPr>
            <w:tcW w:w="41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D357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Dlouhodobě nezaměstnaní účastníci, kteří po ukončení své účasti dostanou nabídku zaměstnání, dalšího vzdělávání, </w:t>
            </w:r>
            <w:proofErr w:type="spellStart"/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učńovské</w:t>
            </w:r>
            <w:proofErr w:type="spellEnd"/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nebo odborné přípravy po ukončení své účasti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A07C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9317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310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8A6ED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CB80E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1C0FD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990F6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F11A9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95FED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5DDB0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A8E82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DFC7A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AFD6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91B7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122,000</w:t>
            </w:r>
          </w:p>
        </w:tc>
        <w:tc>
          <w:tcPr>
            <w:tcW w:w="9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E4D3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39,355%</w:t>
            </w:r>
            <w:proofErr w:type="gramEnd"/>
          </w:p>
        </w:tc>
      </w:tr>
      <w:tr w:rsidR="001D52AA" w:rsidRPr="001D52AA" w14:paraId="430ACBA2" w14:textId="77777777" w:rsidTr="001D52AA">
        <w:trPr>
          <w:trHeight w:val="238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EBDE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87F8E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448F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F715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CC38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58AC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9B66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6890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604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37,000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261D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17,000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1006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8395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CAFF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7B67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4A0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60,000</w:t>
            </w:r>
          </w:p>
        </w:tc>
        <w:tc>
          <w:tcPr>
            <w:tcW w:w="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E5A57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10C457F3" w14:textId="77777777" w:rsidTr="001D52AA">
        <w:trPr>
          <w:trHeight w:val="238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2DF2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A83BE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0DF69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AB0A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741B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0137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7B93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9258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A9B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34,000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6293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7613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7,000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8829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5F8D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8868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DAB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62,000</w:t>
            </w:r>
          </w:p>
        </w:tc>
        <w:tc>
          <w:tcPr>
            <w:tcW w:w="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A66B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5D190798" w14:textId="77777777" w:rsidTr="001D52AA">
        <w:trPr>
          <w:trHeight w:val="238"/>
        </w:trPr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EBF5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64600</w:t>
            </w:r>
          </w:p>
        </w:tc>
        <w:tc>
          <w:tcPr>
            <w:tcW w:w="41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F8A6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Dlouhodobě nezaměstnaní účastníci, kteří jsou v procesu vzdělávání či odborné přípravy nebo získávají </w:t>
            </w:r>
            <w:proofErr w:type="spellStart"/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kvalifikacinebo</w:t>
            </w:r>
            <w:proofErr w:type="spellEnd"/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jsou zaměstnaní včetně OSVČ*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D7FC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C313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F8D3B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DFBB7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26FC2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A421A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D154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165BC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CB94F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1FBAD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500A4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7DC0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D66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234,000</w:t>
            </w:r>
          </w:p>
        </w:tc>
        <w:tc>
          <w:tcPr>
            <w:tcW w:w="9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0DE3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111,429%</w:t>
            </w:r>
            <w:proofErr w:type="gramEnd"/>
          </w:p>
        </w:tc>
      </w:tr>
      <w:tr w:rsidR="001D52AA" w:rsidRPr="001D52AA" w14:paraId="1663FC4D" w14:textId="77777777" w:rsidTr="001D52AA">
        <w:trPr>
          <w:trHeight w:val="238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452D7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EAAA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16139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9C3B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74BF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9BA1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5C8A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F4CA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FC3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58,000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8364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40,000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8242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13,000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EDF0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DFB1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7418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9C88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114,000</w:t>
            </w:r>
          </w:p>
        </w:tc>
        <w:tc>
          <w:tcPr>
            <w:tcW w:w="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E15B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211ECAA6" w14:textId="77777777" w:rsidTr="001D52AA">
        <w:trPr>
          <w:trHeight w:val="238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D2E25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41678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2CF2D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E063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238F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0174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AA7F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A4AA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C58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53,000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9E7D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39,000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F2EF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26,000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9A51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FBB8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9DEC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E6C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120,000</w:t>
            </w:r>
          </w:p>
        </w:tc>
        <w:tc>
          <w:tcPr>
            <w:tcW w:w="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06B37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76340ED3" w14:textId="77777777" w:rsidTr="001D52AA">
        <w:trPr>
          <w:trHeight w:val="238"/>
        </w:trPr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0F88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64700</w:t>
            </w:r>
          </w:p>
        </w:tc>
        <w:tc>
          <w:tcPr>
            <w:tcW w:w="41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C268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Neaktivní účastníci, kteří nejsou v procesu vzdělávání či odborné přípravy, kteří dokončili program podporovaný YEI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F7CD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5E029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954F6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12DE7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EDEEE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F2BBB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17D38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1B253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7028F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DF7D9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E1F41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E790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553B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365,000</w:t>
            </w:r>
          </w:p>
        </w:tc>
        <w:tc>
          <w:tcPr>
            <w:tcW w:w="9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85A7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235,484%</w:t>
            </w:r>
            <w:proofErr w:type="gramEnd"/>
          </w:p>
        </w:tc>
      </w:tr>
      <w:tr w:rsidR="001D52AA" w:rsidRPr="001D52AA" w14:paraId="133BA614" w14:textId="77777777" w:rsidTr="001D52AA">
        <w:trPr>
          <w:trHeight w:val="238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29B57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3064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B46AD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2C76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81DA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6265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AE5D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09FC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8F5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103,000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E456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58,000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9C58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CAE7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D781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6315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24D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163,000</w:t>
            </w:r>
          </w:p>
        </w:tc>
        <w:tc>
          <w:tcPr>
            <w:tcW w:w="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F5A80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076E6959" w14:textId="77777777" w:rsidTr="001D52AA">
        <w:trPr>
          <w:trHeight w:val="238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5F141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1E95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B11FD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F83A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9690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E9AC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422A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2252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23C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111,000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0942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1863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9,000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7068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36B3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54A4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D7F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202,000</w:t>
            </w:r>
          </w:p>
        </w:tc>
        <w:tc>
          <w:tcPr>
            <w:tcW w:w="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D0BE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00E9D3FE" w14:textId="77777777" w:rsidTr="001D52AA">
        <w:trPr>
          <w:trHeight w:val="238"/>
        </w:trPr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C394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64800</w:t>
            </w:r>
          </w:p>
        </w:tc>
        <w:tc>
          <w:tcPr>
            <w:tcW w:w="41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EFAC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Neaktivní účastníci, kteří nejsou v procesu vzdělávání či odborné přípravy, kteří po ukončení své účasti dostanou nabídku zaměstnání, dalšího vzdělávání, </w:t>
            </w:r>
            <w:proofErr w:type="spellStart"/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učńovské</w:t>
            </w:r>
            <w:proofErr w:type="spellEnd"/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nebo odborné přípravy po ukončení své účasti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70917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4BA0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31AD6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D73DB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7466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04F51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3AA5F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FD697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C4D72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7F890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B7B2E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7CD1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D96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225,000</w:t>
            </w:r>
          </w:p>
        </w:tc>
        <w:tc>
          <w:tcPr>
            <w:tcW w:w="9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44437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250,000%</w:t>
            </w:r>
            <w:proofErr w:type="gramEnd"/>
          </w:p>
        </w:tc>
      </w:tr>
      <w:tr w:rsidR="001D52AA" w:rsidRPr="001D52AA" w14:paraId="7224784B" w14:textId="77777777" w:rsidTr="001D52AA">
        <w:trPr>
          <w:trHeight w:val="238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65AD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88B4D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E784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AA228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C496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7ACA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79F7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E854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F33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58,000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DAF6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34,000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F3EB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5B7C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89AE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B2D3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271A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94,000</w:t>
            </w:r>
          </w:p>
        </w:tc>
        <w:tc>
          <w:tcPr>
            <w:tcW w:w="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E98B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53CDFC0A" w14:textId="77777777" w:rsidTr="001D52AA">
        <w:trPr>
          <w:trHeight w:val="238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7C5B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8C9A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E0E1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EBE0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CE53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149C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7AA3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8C01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053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85,000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B57D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46,000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6924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765B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6244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A88D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174A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131,000</w:t>
            </w:r>
          </w:p>
        </w:tc>
        <w:tc>
          <w:tcPr>
            <w:tcW w:w="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5519D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4E427342" w14:textId="77777777" w:rsidTr="001D52AA">
        <w:trPr>
          <w:trHeight w:val="238"/>
        </w:trPr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AF3C9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64900</w:t>
            </w:r>
          </w:p>
        </w:tc>
        <w:tc>
          <w:tcPr>
            <w:tcW w:w="41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72BE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Neaktivní účastníci, kteří nejsou v procesu vzdělávání či odborné přípravy a kteří jsou v jednom z těchto procesů, a kteří získají kvalifikaci nebo jsou zaměstnaní včetně OSVČ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D0EF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515B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6E04F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C12D2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EE1E9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175BA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23A0E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E0C79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54ACA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6FD47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35A3C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7FF8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A9E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336,000</w:t>
            </w:r>
          </w:p>
        </w:tc>
        <w:tc>
          <w:tcPr>
            <w:tcW w:w="9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05CB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516,923%</w:t>
            </w:r>
            <w:proofErr w:type="gramEnd"/>
          </w:p>
        </w:tc>
      </w:tr>
      <w:tr w:rsidR="001D52AA" w:rsidRPr="001D52AA" w14:paraId="60AFDD39" w14:textId="77777777" w:rsidTr="001D52AA">
        <w:trPr>
          <w:trHeight w:val="238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C987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135B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6815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C30C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93F0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2DFF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7791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E8B6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6D2E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73,000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58B4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70,000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D3F2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D31A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7D0F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8EED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CCA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144,000</w:t>
            </w:r>
          </w:p>
        </w:tc>
        <w:tc>
          <w:tcPr>
            <w:tcW w:w="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CE3E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6180C8A5" w14:textId="77777777" w:rsidTr="001D52AA">
        <w:trPr>
          <w:trHeight w:val="238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C6B86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9D89C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BB9E3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2692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97CB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39B6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DAD7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4690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E1C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97,000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76E4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83,000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E400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8,000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A58A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6F26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E320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33EB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192,000</w:t>
            </w:r>
          </w:p>
        </w:tc>
        <w:tc>
          <w:tcPr>
            <w:tcW w:w="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9E77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2EF8EE9B" w14:textId="77777777" w:rsidTr="001D52AA">
        <w:trPr>
          <w:trHeight w:val="238"/>
        </w:trPr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E3FA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65000</w:t>
            </w:r>
          </w:p>
        </w:tc>
        <w:tc>
          <w:tcPr>
            <w:tcW w:w="41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DB29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kteří 6 měsíců po ukončení své účasti absolvují další vzdělání, program odborné přípravy se získáním kvalifikace, učňovskou nebo odbornou přípravu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9A73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0F10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C542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75C46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FB46A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D356B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B21AE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BEA56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DCFF2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35F3C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D60D5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B43C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524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1 010,000</w:t>
            </w:r>
          </w:p>
        </w:tc>
        <w:tc>
          <w:tcPr>
            <w:tcW w:w="9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9323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1010,000%</w:t>
            </w:r>
            <w:proofErr w:type="gramEnd"/>
          </w:p>
        </w:tc>
      </w:tr>
      <w:tr w:rsidR="001D52AA" w:rsidRPr="001D52AA" w14:paraId="6CD6D2B4" w14:textId="77777777" w:rsidTr="001D52AA">
        <w:trPr>
          <w:trHeight w:val="238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E67CB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4C1CA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3084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18A0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9CAA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110F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3829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64FB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D36C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487,000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ABD6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171,000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17EF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27,000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0ECC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84B5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FE3A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938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685,000</w:t>
            </w:r>
          </w:p>
        </w:tc>
        <w:tc>
          <w:tcPr>
            <w:tcW w:w="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F867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69828546" w14:textId="77777777" w:rsidTr="001D52AA">
        <w:trPr>
          <w:trHeight w:val="238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E422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D525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CFB4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7159B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BA9C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D317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0DF2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DCB7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4389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234,000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C3CA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F517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11,000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5460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C67C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683C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498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325,000</w:t>
            </w:r>
          </w:p>
        </w:tc>
        <w:tc>
          <w:tcPr>
            <w:tcW w:w="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42960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375D0728" w14:textId="77777777" w:rsidTr="001D52AA">
        <w:trPr>
          <w:trHeight w:val="238"/>
        </w:trPr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FBC8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65100</w:t>
            </w:r>
          </w:p>
        </w:tc>
        <w:tc>
          <w:tcPr>
            <w:tcW w:w="41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F4DD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Zaměstnaní účastníci 6 měsíců po ukončení své účasti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94A87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D03B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837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C397A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9DF9A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7E30B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1EA74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052D3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A51EB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8ADC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5037F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80A65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9879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3394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3 473,000</w:t>
            </w:r>
          </w:p>
        </w:tc>
        <w:tc>
          <w:tcPr>
            <w:tcW w:w="9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8D33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414,934%</w:t>
            </w:r>
            <w:proofErr w:type="gramEnd"/>
          </w:p>
        </w:tc>
      </w:tr>
      <w:tr w:rsidR="001D52AA" w:rsidRPr="001D52AA" w14:paraId="3AB35B75" w14:textId="77777777" w:rsidTr="001D52AA">
        <w:trPr>
          <w:trHeight w:val="238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E8594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4F6A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6DE3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68191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7157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E6F9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B97A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6749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9,000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3C7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557,000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36DE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193,000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B49F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838,000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1AB4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38F4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BF57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41D3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1 597,000</w:t>
            </w:r>
          </w:p>
        </w:tc>
        <w:tc>
          <w:tcPr>
            <w:tcW w:w="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4171B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63678302" w14:textId="77777777" w:rsidTr="001D52AA">
        <w:trPr>
          <w:trHeight w:val="238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86E4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3B33F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448D7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F35A0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0C16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8CC5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2D38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8EFC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9,000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37F0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1 473,000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E2D2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251,000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70EA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143,000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AF70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4F01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B5C9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526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1 876,000</w:t>
            </w:r>
          </w:p>
        </w:tc>
        <w:tc>
          <w:tcPr>
            <w:tcW w:w="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56C4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72337793" w14:textId="77777777" w:rsidTr="001D52AA">
        <w:trPr>
          <w:trHeight w:val="238"/>
        </w:trPr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9CBC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65200</w:t>
            </w:r>
          </w:p>
        </w:tc>
        <w:tc>
          <w:tcPr>
            <w:tcW w:w="41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C5CC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OSVČ 6 měsíců po ukončení své účasti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007F4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DBDF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9D413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DA987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17F8C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AED0B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88E23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5ABEC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56BD7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AFC6A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653D5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E83A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C6F3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263,000</w:t>
            </w:r>
          </w:p>
        </w:tc>
        <w:tc>
          <w:tcPr>
            <w:tcW w:w="9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43008" w14:textId="445B8A1A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proofErr w:type="gramStart"/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417,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</w:t>
            </w: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60%</w:t>
            </w:r>
            <w:proofErr w:type="gramEnd"/>
          </w:p>
        </w:tc>
      </w:tr>
      <w:tr w:rsidR="001D52AA" w:rsidRPr="001D52AA" w14:paraId="7C1E4E8C" w14:textId="77777777" w:rsidTr="001D52AA">
        <w:trPr>
          <w:trHeight w:val="238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7F25F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E0F77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82253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A5D1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0FD7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9739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5014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F30A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360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39,000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8AA8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29,000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3B98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90,000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1C69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B5D9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1B36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8E6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160,000</w:t>
            </w:r>
          </w:p>
        </w:tc>
        <w:tc>
          <w:tcPr>
            <w:tcW w:w="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D3743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73693B12" w14:textId="77777777" w:rsidTr="001D52AA">
        <w:trPr>
          <w:trHeight w:val="238"/>
        </w:trPr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858A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1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CF76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CC96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6F56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0E50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F265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FC26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1FD1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7A8C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20,000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3E94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16,000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9788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66,000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09E5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65EC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E812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DFD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103,000</w:t>
            </w:r>
          </w:p>
        </w:tc>
        <w:tc>
          <w:tcPr>
            <w:tcW w:w="9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37FC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</w:tbl>
    <w:p w14:paraId="6B8EDFEF" w14:textId="77777777" w:rsidR="001D52AA" w:rsidRPr="003C2AA4" w:rsidRDefault="001D52AA" w:rsidP="003C2AA4">
      <w:pPr>
        <w:keepNext/>
        <w:spacing w:before="240"/>
        <w:ind w:left="115" w:right="106"/>
        <w:jc w:val="both"/>
        <w:rPr>
          <w:rFonts w:ascii="Arial" w:eastAsia="Arial" w:hAnsi="Arial" w:cs="Arial"/>
          <w:color w:val="000000"/>
          <w:sz w:val="20"/>
        </w:rPr>
      </w:pPr>
    </w:p>
    <w:p w14:paraId="4DC64B81" w14:textId="77777777" w:rsidR="003C2AA4" w:rsidRPr="003C2AA4" w:rsidRDefault="003C2AA4" w:rsidP="003C2AA4">
      <w:pPr>
        <w:keepNext/>
        <w:tabs>
          <w:tab w:val="left" w:pos="392"/>
        </w:tabs>
        <w:ind w:left="115" w:right="815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>1</w:t>
      </w:r>
      <w:r w:rsidRPr="003C2AA4">
        <w:rPr>
          <w:rFonts w:ascii="Arial" w:eastAsia="Arial" w:hAnsi="Arial" w:cs="Arial"/>
          <w:color w:val="000000"/>
          <w:sz w:val="16"/>
        </w:rPr>
        <w:tab/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Odhad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daný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rok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založený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reprezentativním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vzorku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.</w:t>
      </w:r>
    </w:p>
    <w:p w14:paraId="4B4B76B1" w14:textId="77777777" w:rsidR="003C2AA4" w:rsidRPr="003C2AA4" w:rsidRDefault="003C2AA4" w:rsidP="003C2AA4">
      <w:pPr>
        <w:keepNext/>
        <w:tabs>
          <w:tab w:val="left" w:pos="392"/>
        </w:tabs>
        <w:ind w:left="115" w:right="815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>2</w:t>
      </w:r>
      <w:r w:rsidRPr="003C2AA4">
        <w:rPr>
          <w:rFonts w:ascii="Arial" w:eastAsia="Arial" w:hAnsi="Arial" w:cs="Arial"/>
          <w:color w:val="000000"/>
          <w:sz w:val="16"/>
        </w:rPr>
        <w:tab/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Odhad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daný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rok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založený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reprezentativním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vzorku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Členské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státy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mají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 1: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Minimálním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požadavkem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je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dvakrát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, a to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případě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této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sloupci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„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proofErr w:type="gramStart"/>
      <w:r w:rsidRPr="003C2AA4">
        <w:rPr>
          <w:rFonts w:ascii="Arial" w:eastAsia="Arial" w:hAnsi="Arial" w:cs="Arial"/>
          <w:color w:val="000000"/>
          <w:sz w:val="16"/>
        </w:rPr>
        <w:t>hodnota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“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proofErr w:type="gram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2019 a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závěrečné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 2: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každý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rok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.</w:t>
      </w:r>
    </w:p>
    <w:p w14:paraId="2915548C" w14:textId="77777777" w:rsidR="003C2AA4" w:rsidRPr="003C2AA4" w:rsidRDefault="003C2AA4" w:rsidP="003C2AA4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32593615" w14:textId="77777777" w:rsidR="003C2AA4" w:rsidRPr="003C2AA4" w:rsidRDefault="003C2AA4" w:rsidP="003C2AA4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237C9873" w14:textId="77777777" w:rsidR="003C2AA4" w:rsidRPr="003C2AA4" w:rsidRDefault="003C2AA4" w:rsidP="003C2AA4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7DF13EED" w14:textId="77777777" w:rsidR="003C2AA4" w:rsidRPr="003C2AA4" w:rsidRDefault="003C2AA4" w:rsidP="003C2AA4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>----------------------------------------------------</w:t>
      </w:r>
    </w:p>
    <w:p w14:paraId="2B08116B" w14:textId="77777777" w:rsidR="003C2AA4" w:rsidRPr="003C2AA4" w:rsidRDefault="003C2AA4" w:rsidP="003C2AA4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 xml:space="preserve">5 -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Strukturované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požadované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YEI,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která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má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být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předložena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dubnu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2015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souladu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s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čl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19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odst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3 a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přílohou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II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nařízení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(EU) č. 1304/2013.</w:t>
      </w:r>
    </w:p>
    <w:p w14:paraId="6F911181" w14:textId="77777777" w:rsidR="003C2AA4" w:rsidRPr="003C2AA4" w:rsidRDefault="003C2AA4" w:rsidP="003C2AA4">
      <w:pPr>
        <w:tabs>
          <w:tab w:val="left" w:pos="1675"/>
        </w:tabs>
        <w:ind w:left="115" w:right="670"/>
        <w:rPr>
          <w:rFonts w:ascii="Arial" w:eastAsia="Arial" w:hAnsi="Arial" w:cs="Arial"/>
          <w:color w:val="000000"/>
          <w:sz w:val="16"/>
        </w:rPr>
      </w:pPr>
    </w:p>
    <w:p w14:paraId="2B5987B0" w14:textId="77777777" w:rsidR="003C2AA4" w:rsidRPr="003C2AA4" w:rsidRDefault="003C2AA4" w:rsidP="003C2AA4">
      <w:r w:rsidRPr="003C2AA4">
        <w:br w:type="page"/>
      </w:r>
    </w:p>
    <w:p w14:paraId="24B72E4D" w14:textId="77777777" w:rsidR="003C2AA4" w:rsidRPr="003C2AA4" w:rsidRDefault="003C2AA4" w:rsidP="003C2AA4">
      <w:pPr>
        <w:tabs>
          <w:tab w:val="left" w:pos="1675"/>
        </w:tabs>
        <w:ind w:left="115" w:right="670"/>
      </w:pPr>
    </w:p>
    <w:p w14:paraId="2277FEC4" w14:textId="77777777" w:rsidR="003C2AA4" w:rsidRPr="003C2AA4" w:rsidRDefault="003C2AA4" w:rsidP="003C2AA4">
      <w:pPr>
        <w:tabs>
          <w:tab w:val="left" w:pos="1675"/>
        </w:tabs>
        <w:ind w:left="115" w:right="670"/>
        <w:rPr>
          <w:rFonts w:ascii="Arial" w:eastAsia="Arial" w:hAnsi="Arial" w:cs="Arial"/>
          <w:b/>
          <w:bCs/>
          <w:i/>
          <w:iCs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Tabulka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2C: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Indikátory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výsledků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specifické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pro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jednotlivé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programy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pro ESF (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podle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prioritních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os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investičních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priorit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případně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kategorií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regionů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);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platí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rovněž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pro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prioritní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osu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„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technická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proofErr w:type="gram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pomoc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“</w:t>
      </w:r>
      <w:proofErr w:type="gramEnd"/>
    </w:p>
    <w:p w14:paraId="707560EB" w14:textId="77777777" w:rsidR="003C2AA4" w:rsidRPr="003C2AA4" w:rsidRDefault="003C2AA4" w:rsidP="003C2AA4">
      <w:pPr>
        <w:keepLines/>
        <w:tabs>
          <w:tab w:val="left" w:pos="1675"/>
        </w:tabs>
        <w:ind w:left="115" w:right="670"/>
        <w:rPr>
          <w:rFonts w:ascii="Arial" w:eastAsia="Arial" w:hAnsi="Arial" w:cs="Arial"/>
          <w:i/>
          <w:iCs/>
          <w:color w:val="000000"/>
          <w:sz w:val="16"/>
        </w:rPr>
      </w:pPr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(U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ukazatelů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specifických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pro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jednotlivé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programy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pro YEI se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rozdělení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podle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kategorií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regionů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nevyžaduje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pro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každou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prioritní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osu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nebo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její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část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podporující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YEI) </w:t>
      </w:r>
      <w:r w:rsidRPr="003C2AA4">
        <w:rPr>
          <w:rFonts w:ascii="Arial" w:eastAsia="Arial" w:hAnsi="Arial" w:cs="Arial"/>
          <w:i/>
          <w:iCs/>
          <w:color w:val="000000"/>
          <w:sz w:val="16"/>
        </w:rPr>
        <w:t>(6)</w:t>
      </w:r>
    </w:p>
    <w:p w14:paraId="62140EA8" w14:textId="77777777" w:rsidR="003C2AA4" w:rsidRPr="003C2AA4" w:rsidRDefault="003C2AA4" w:rsidP="00164344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36832377" w14:textId="77777777" w:rsidR="003C2AA4" w:rsidRP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03.1.48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Přístup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k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osoby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hledající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neaktivní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osoby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dlouhodobě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nezaměstnaných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gramStart"/>
      <w:r w:rsidRPr="003C2AA4">
        <w:rPr>
          <w:rFonts w:ascii="Arial" w:eastAsia="Arial" w:hAnsi="Arial" w:cs="Arial"/>
          <w:color w:val="000000"/>
          <w:sz w:val="20"/>
        </w:rPr>
        <w:t>a</w:t>
      </w:r>
      <w:proofErr w:type="gram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osob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vzdálených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trhu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také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prostřednictvím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místních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iniciativ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podporu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zaměstnanosti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mobility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pracovníků</w:t>
      </w:r>
      <w:proofErr w:type="spellEnd"/>
    </w:p>
    <w:tbl>
      <w:tblPr>
        <w:tblW w:w="159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2525"/>
        <w:gridCol w:w="509"/>
        <w:gridCol w:w="1212"/>
        <w:gridCol w:w="842"/>
        <w:gridCol w:w="978"/>
        <w:gridCol w:w="744"/>
        <w:gridCol w:w="802"/>
        <w:gridCol w:w="802"/>
        <w:gridCol w:w="802"/>
        <w:gridCol w:w="802"/>
        <w:gridCol w:w="802"/>
        <w:gridCol w:w="802"/>
        <w:gridCol w:w="802"/>
        <w:gridCol w:w="802"/>
        <w:gridCol w:w="802"/>
        <w:gridCol w:w="802"/>
        <w:gridCol w:w="8"/>
        <w:gridCol w:w="631"/>
      </w:tblGrid>
      <w:tr w:rsidR="001D52AA" w:rsidRPr="001D52AA" w14:paraId="53DDA82C" w14:textId="77777777" w:rsidTr="001D52AA">
        <w:trPr>
          <w:trHeight w:val="246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CAB5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57B6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CCA3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ESF / YEI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6235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7143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EE6E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Jednotka měření pro výchozí hodnotu a cíl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E22B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6695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35A64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F5B8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6785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4AEF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8835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332A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B74F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3972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98D9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6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9304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</w:t>
            </w:r>
          </w:p>
        </w:tc>
      </w:tr>
      <w:tr w:rsidR="001D52AA" w:rsidRPr="001D52AA" w14:paraId="749A956F" w14:textId="77777777" w:rsidTr="001D52AA">
        <w:trPr>
          <w:trHeight w:val="301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98968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94A6D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903F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95EA4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0797E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1AE4B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82CB7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2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84E89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A062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2D9EE14A" w14:textId="77777777" w:rsidTr="001D52AA">
        <w:trPr>
          <w:trHeight w:val="246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3B3BF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3A10C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60A1A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E3887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B458C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7CFAB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6BBB9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76C719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64D747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47A8459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B34393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D84395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497AAB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97C597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27FF14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1593274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5F13BF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6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58869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7F893C36" w14:textId="77777777" w:rsidTr="001D52AA">
        <w:trPr>
          <w:trHeight w:val="246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58FC0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8979B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D13DD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FD72E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EEE02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D8496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461BC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62AB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1518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2420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AC12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1FC7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E692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39D9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1365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F9AC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27E77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A8CD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342684A0" w14:textId="77777777" w:rsidTr="001D52AA">
        <w:trPr>
          <w:trHeight w:val="246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7E159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CE561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8901A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D3BCB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BA87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A051D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3125D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431A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2CD6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DF50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DF1D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4DA2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27B8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92CE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C6B5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FB9A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1567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DF7C0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512D8B74" w14:textId="77777777" w:rsidTr="001D52AA">
        <w:trPr>
          <w:trHeight w:val="301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ABBFA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A3518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3BA4D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EFAFB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F554F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8A7B8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70686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2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223D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</w:t>
            </w: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69F6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2020E81F" w14:textId="77777777" w:rsidTr="001D52AA">
        <w:trPr>
          <w:trHeight w:val="246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BCFF5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5DCA6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E7C55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4B347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E81EF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B912F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53D660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F7F1B7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A4D872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B461A9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B75DFC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416AA7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497451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A436339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642349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4E81EC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7F1B2A7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E5F7BE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</w:tr>
      <w:tr w:rsidR="001D52AA" w:rsidRPr="001D52AA" w14:paraId="75399714" w14:textId="77777777" w:rsidTr="001D52AA">
        <w:trPr>
          <w:trHeight w:val="246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59E44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5689A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AA3E1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DB099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CD0D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3F038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3455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8393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8545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95C0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BABF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10A8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CE6A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9952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C802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DBA87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99CC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FEF3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</w:tr>
      <w:tr w:rsidR="001D52AA" w:rsidRPr="001D52AA" w14:paraId="4E6B63A6" w14:textId="77777777" w:rsidTr="001D52AA">
        <w:trPr>
          <w:trHeight w:val="246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5C2A4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8E878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B03BC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B095B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2BB87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11139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E6FC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213D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0A32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107C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38B8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D4D2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6B6F4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56EE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D747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977B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328D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3575C" w14:textId="6FEB85EE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</w:tr>
    </w:tbl>
    <w:p w14:paraId="6E669435" w14:textId="77777777" w:rsidR="003C2AA4" w:rsidRPr="003C2AA4" w:rsidRDefault="003C2AA4" w:rsidP="00164344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70509F93" w14:textId="0AA1FA0A" w:rsid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03.1.49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Trvalé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začlenění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mladých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lidí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trh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mimo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jiné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pomocí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r w:rsidR="001D52AA">
        <w:rPr>
          <w:rFonts w:ascii="Arial" w:eastAsia="Arial" w:hAnsi="Arial" w:cs="Arial"/>
          <w:color w:val="000000"/>
          <w:sz w:val="20"/>
        </w:rPr>
        <w:t>“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záruky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mladé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lidi</w:t>
      </w:r>
      <w:proofErr w:type="spellEnd"/>
      <w:r w:rsidR="001D52AA">
        <w:rPr>
          <w:rFonts w:ascii="Arial" w:eastAsia="Arial" w:hAnsi="Arial" w:cs="Arial"/>
          <w:color w:val="000000"/>
          <w:sz w:val="20"/>
        </w:rPr>
        <w:t>”</w:t>
      </w:r>
      <w:r w:rsidRPr="003C2AA4">
        <w:rPr>
          <w:rFonts w:ascii="Arial" w:eastAsia="Arial" w:hAnsi="Arial" w:cs="Arial"/>
          <w:color w:val="000000"/>
          <w:sz w:val="20"/>
        </w:rPr>
        <w:t xml:space="preserve">, a to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zejména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těch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kteří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nejsou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vzdělávání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v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nebo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profesní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přípravě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těch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mladých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lidí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kterým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hrozí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sociální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vyloučení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mladých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lidí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z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marginalizovaných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komunit</w:t>
      </w:r>
      <w:proofErr w:type="spellEnd"/>
    </w:p>
    <w:tbl>
      <w:tblPr>
        <w:tblW w:w="1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2489"/>
        <w:gridCol w:w="503"/>
        <w:gridCol w:w="1199"/>
        <w:gridCol w:w="813"/>
        <w:gridCol w:w="967"/>
        <w:gridCol w:w="73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9"/>
        <w:gridCol w:w="680"/>
      </w:tblGrid>
      <w:tr w:rsidR="001D52AA" w:rsidRPr="001D52AA" w14:paraId="2057A75D" w14:textId="77777777" w:rsidTr="00D1537E">
        <w:trPr>
          <w:trHeight w:val="259"/>
          <w:tblHeader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FBD6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2750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F9DF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ESF / YEI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C47E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F38B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FAF7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Jednotka měření pro výchozí hodnotu a cíl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BDAD9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79684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61E1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C6364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DDEC7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83DE7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B96F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A751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ACF84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7E4F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8257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2D7A4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</w:t>
            </w:r>
          </w:p>
        </w:tc>
      </w:tr>
      <w:tr w:rsidR="001D52AA" w:rsidRPr="001D52AA" w14:paraId="71666742" w14:textId="77777777" w:rsidTr="00D1537E">
        <w:trPr>
          <w:trHeight w:val="259"/>
          <w:tblHeader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C6D21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37CBB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4E16F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92E7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C46C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74A7D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15C6C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3923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5944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79E48B8F" w14:textId="77777777" w:rsidTr="00D1537E">
        <w:trPr>
          <w:trHeight w:val="251"/>
          <w:tblHeader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43BDA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8CAD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9D61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6588A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F8477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9BD5F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2ADD1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AF30FA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9AB722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145F8F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46DC0B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186751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E47841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8A36D2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09F423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8BD0CA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79C45F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56EB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62640B6D" w14:textId="77777777" w:rsidTr="00D1537E">
        <w:trPr>
          <w:trHeight w:val="259"/>
          <w:tblHeader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F88B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DBACC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3F6D4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1113B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F0C21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12607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CC4CA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668F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51DF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ACDC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A869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A787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B7F0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46884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A477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4DDA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80A5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167B2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4A2F10B9" w14:textId="77777777" w:rsidTr="00D1537E">
        <w:trPr>
          <w:trHeight w:val="259"/>
          <w:tblHeader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46CA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38655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52146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A75B0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1B310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F234A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98362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2149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D352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D17E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9A5C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955A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7AE67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A6AE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2FBD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3AF9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3D08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A0F0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03657643" w14:textId="77777777" w:rsidTr="00D1537E">
        <w:trPr>
          <w:trHeight w:val="259"/>
          <w:tblHeader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154AA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9ADDC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FC24A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D63E7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E78A6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74914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B56C4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C502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BD5C9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7C5A4C54" w14:textId="77777777" w:rsidTr="00D1537E">
        <w:trPr>
          <w:trHeight w:val="275"/>
          <w:tblHeader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68D94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24B2B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A99BF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9083B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DA317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67328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57CC28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E3EF48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037D03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83A7F8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73C345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BAFD71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3DAD0F7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C8F5E49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320E61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027FCC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91A861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996E19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</w:tr>
      <w:tr w:rsidR="001D52AA" w:rsidRPr="001D52AA" w14:paraId="48EC5028" w14:textId="77777777" w:rsidTr="00D1537E">
        <w:trPr>
          <w:trHeight w:val="259"/>
          <w:tblHeader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F1BDE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D61C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ECE6E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23F21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CC7C7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901A0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012E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29944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E7BA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A871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E4E6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1E03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2826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28C8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502D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AB1A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DE1F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3284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</w:tr>
      <w:tr w:rsidR="001D52AA" w:rsidRPr="001D52AA" w14:paraId="7A7D231E" w14:textId="77777777" w:rsidTr="00D1537E">
        <w:trPr>
          <w:trHeight w:val="259"/>
          <w:tblHeader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BE2C1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6BFE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C1CA9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47E41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C24A7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71ED7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707D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4353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749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3F834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5C3B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1779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5428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6261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0DDA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5506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B34F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B0F77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</w:tr>
      <w:tr w:rsidR="001D52AA" w:rsidRPr="001D52AA" w14:paraId="42CA7BF2" w14:textId="77777777" w:rsidTr="001D52AA">
        <w:trPr>
          <w:trHeight w:val="251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91C67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64103</w:t>
            </w:r>
          </w:p>
        </w:tc>
        <w:tc>
          <w:tcPr>
            <w:tcW w:w="24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3617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Nezaměstnaní účastníci ve věkové skupině 25-29 let, kteří dokončili program podporovaný YEI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F58C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YEI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E248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Nerelevantní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D605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67E2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0992FBC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500,000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6D2F2E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5BDD61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ECC384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B98E86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59,000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4183F4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510,000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140B02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605,000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9B1CF4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44,000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56AE41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0BC15E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AA0FB7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6CDBAEB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243,600</w:t>
            </w:r>
          </w:p>
        </w:tc>
      </w:tr>
      <w:tr w:rsidR="001D52AA" w:rsidRPr="001D52AA" w14:paraId="13181C8E" w14:textId="77777777" w:rsidTr="001D52AA">
        <w:trPr>
          <w:trHeight w:val="251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01C84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6C618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E6FC1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62F70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AB58D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C7B7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936A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2AE3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3208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3574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8D54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BCAE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306C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7256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2D3F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A3B7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724E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0B83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743504F9" w14:textId="77777777" w:rsidTr="001D52AA">
        <w:trPr>
          <w:trHeight w:val="251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0C2FC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90D37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0E03C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B2D66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D9399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22FF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76EAB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7ACE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FD5E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DF88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4255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858D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4DD5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D078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6E8F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314A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D3AB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260B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2B3345A8" w14:textId="77777777" w:rsidTr="001D52AA">
        <w:trPr>
          <w:trHeight w:val="259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0CC30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A21BF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880D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13A05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AA9C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F390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4C0C0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A7544E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FE0B4C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A83D08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DE347D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59,000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347246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569,000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B4C201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1174,000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278E82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1218,000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36FF8E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9ACF86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BC3827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17F7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164E0065" w14:textId="77777777" w:rsidTr="001D52AA">
        <w:trPr>
          <w:trHeight w:val="259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04009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69FE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149F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F7BE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40E10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04A18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954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DD1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4D2A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2ACE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F2DE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FA0B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C0F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B26E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F889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6E72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EEA7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61A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1D52AA" w:rsidRPr="001D52AA" w14:paraId="00E03503" w14:textId="77777777" w:rsidTr="001D52AA">
        <w:trPr>
          <w:trHeight w:val="259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71CE4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042EE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87051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DC1D2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71F2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23D8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7C1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673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541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5D4A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C31F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65B2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4A3E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033C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00E6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4369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018A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7CA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</w:tbl>
    <w:p w14:paraId="77820D6D" w14:textId="77777777" w:rsidR="001D52AA" w:rsidRPr="003C2AA4" w:rsidRDefault="001D52AA" w:rsidP="00164344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3C83D3A3" w14:textId="77777777" w:rsidR="003C2AA4" w:rsidRPr="003C2AA4" w:rsidRDefault="003C2AA4" w:rsidP="00164344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285AE5D0" w14:textId="77777777" w:rsidR="003C2AA4" w:rsidRP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lastRenderedPageBreak/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03.1.51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Rovnost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žen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mužů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všech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oblastech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a to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pokud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jde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přístup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k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kariérní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postup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sladění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pracovního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soukromého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života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podpora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stejné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odměny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za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stejnou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práci</w:t>
      </w:r>
      <w:proofErr w:type="spellEnd"/>
    </w:p>
    <w:tbl>
      <w:tblPr>
        <w:tblW w:w="159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2498"/>
        <w:gridCol w:w="504"/>
        <w:gridCol w:w="1200"/>
        <w:gridCol w:w="816"/>
        <w:gridCol w:w="969"/>
        <w:gridCol w:w="739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9"/>
        <w:gridCol w:w="672"/>
      </w:tblGrid>
      <w:tr w:rsidR="001D52AA" w:rsidRPr="001D52AA" w14:paraId="18B90C01" w14:textId="77777777" w:rsidTr="00D1537E">
        <w:trPr>
          <w:trHeight w:val="256"/>
          <w:tblHeader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2E5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2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B9A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95E6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ESF / YEI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6A9F9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7D29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8794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Jednotka měření pro výchozí hodnotu a cíl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120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970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4899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EEB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4F51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8BA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76E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A78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91D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0686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210F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6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633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</w:t>
            </w:r>
          </w:p>
        </w:tc>
      </w:tr>
      <w:tr w:rsidR="001D52AA" w:rsidRPr="001D52AA" w14:paraId="430A18A8" w14:textId="77777777" w:rsidTr="00D1537E">
        <w:trPr>
          <w:trHeight w:val="256"/>
          <w:tblHeader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E4AF9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EFD4F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8AB26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A966B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93088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7AAF2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5E21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DCC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88B05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19CEBC8E" w14:textId="77777777" w:rsidTr="00D1537E">
        <w:trPr>
          <w:trHeight w:val="256"/>
          <w:tblHeader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0B6B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DF0C8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F6F5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0E7BA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6926E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40DB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0E28F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4F0048F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58FCDED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7FE8CA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B67416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4345F38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6D9D32E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42B78B9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1673AD8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6ED4BCF4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261BD3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6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512CB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355F54F9" w14:textId="77777777" w:rsidTr="00D1537E">
        <w:trPr>
          <w:trHeight w:val="256"/>
          <w:tblHeader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46004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4376C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EE607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B7270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E8A2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686A9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8EC52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C10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29E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23BE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8F1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E4977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011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8C02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735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461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FC7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4A94B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1C02B98C" w14:textId="77777777" w:rsidTr="00D1537E">
        <w:trPr>
          <w:trHeight w:val="256"/>
          <w:tblHeader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AD2D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F4D38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24E30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E500B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19036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635C4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98B5A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3CBF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CAF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687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555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135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5CCD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F1ED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827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DC177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B3B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26A3E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5334CF8D" w14:textId="77777777" w:rsidTr="00D1537E">
        <w:trPr>
          <w:trHeight w:val="256"/>
          <w:tblHeader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4EE5A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8B8E6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A575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4EA16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52D26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1FEDF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B725A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EA92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</w:t>
            </w: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C41CA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58C43FC3" w14:textId="77777777" w:rsidTr="00D1537E">
        <w:trPr>
          <w:trHeight w:val="256"/>
          <w:tblHeader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4704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0226B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54507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5F56E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57FA2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E61A9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56A57B5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2578B3F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229D910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11D29D0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57DDFDD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A5EF537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27F24B5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15406AE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6350BDE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2B935A4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4EFA670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75025B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</w:tr>
      <w:tr w:rsidR="001D52AA" w:rsidRPr="001D52AA" w14:paraId="2BE6E1D4" w14:textId="77777777" w:rsidTr="00D1537E">
        <w:trPr>
          <w:trHeight w:val="256"/>
          <w:tblHeader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F0AF5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44127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6196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0B15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FA455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008EC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340D7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B62B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659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358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CD27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D9B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3B57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67A3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68D9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10C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0BE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1DD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</w:tr>
      <w:tr w:rsidR="001D52AA" w:rsidRPr="001D52AA" w14:paraId="118E1DE6" w14:textId="77777777" w:rsidTr="00D1537E">
        <w:trPr>
          <w:trHeight w:val="256"/>
          <w:tblHeader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4D3E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A2B72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1B226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C0757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25C8A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4DBFE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9284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9384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065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849A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ACD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A8D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664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D8D07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80EF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3409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F4C4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7CC1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</w:tr>
      <w:tr w:rsidR="001D52AA" w:rsidRPr="001D52AA" w14:paraId="2D53A40A" w14:textId="77777777" w:rsidTr="001D52AA">
        <w:trPr>
          <w:trHeight w:val="248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BE3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50110</w:t>
            </w:r>
          </w:p>
        </w:tc>
        <w:tc>
          <w:tcPr>
            <w:tcW w:w="2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6DF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osob využívajících zařízení péče o děti předškolního věku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3889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97C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19A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51F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0E0E0"/>
            <w:vAlign w:val="bottom"/>
            <w:hideMark/>
          </w:tcPr>
          <w:p w14:paraId="62D06E4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5 290,000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124B70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288E315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208315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203,000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3F58F8A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2 217,000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5347B47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9 807,000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00E35A5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6 682,000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2D0D103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13 476,000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69342E0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11D6A74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2DC6A7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0E0E0"/>
            <w:vAlign w:val="bottom"/>
            <w:hideMark/>
          </w:tcPr>
          <w:p w14:paraId="0CEE4ED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612,193</w:t>
            </w:r>
          </w:p>
        </w:tc>
      </w:tr>
      <w:tr w:rsidR="001D52AA" w:rsidRPr="001D52AA" w14:paraId="3951439C" w14:textId="77777777" w:rsidTr="001D52AA">
        <w:trPr>
          <w:trHeight w:val="248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8D8D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4903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C960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641F1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8ECE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51AF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97F5F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806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1B4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26F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D59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432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94A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74C3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B93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6DB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F35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E5C20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686F6B43" w14:textId="77777777" w:rsidTr="001D52AA">
        <w:trPr>
          <w:trHeight w:val="248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B930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639DA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A4C9B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DA6EF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F76C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DDB9D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2E5FD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926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443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C3CB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E61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037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347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4D7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9A98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4FD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90D5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A10CA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184E35FB" w14:textId="77777777" w:rsidTr="001D52AA">
        <w:trPr>
          <w:trHeight w:val="25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2C83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724B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878A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C9F91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586F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F7F15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F1C21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20AFA40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0D3478D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310B75F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203,000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1FBA4E1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2 420,000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49539B4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12 227,000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77FBF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18 909,000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4109BCB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32 385,000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2D98D89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5BB9460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6DC1924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6808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5C145128" w14:textId="77777777" w:rsidTr="001D52AA">
        <w:trPr>
          <w:trHeight w:val="25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799DB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A49D3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3147F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28C8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6AB2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0DE4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D48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4581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548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A7B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0E2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56A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D02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5A04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35B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34E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134B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568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1D52AA" w:rsidRPr="001D52AA" w14:paraId="05DA25B3" w14:textId="77777777" w:rsidTr="001D52AA">
        <w:trPr>
          <w:trHeight w:val="25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A5CC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44F6D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BE355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18DC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79854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9E6A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27EE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BC69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E10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908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1E1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2C41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1E0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2395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E213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CCD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8505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D33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1D52AA" w:rsidRPr="001D52AA" w14:paraId="6B62E585" w14:textId="77777777" w:rsidTr="001D52AA">
        <w:trPr>
          <w:trHeight w:val="248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4FE6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50110</w:t>
            </w:r>
          </w:p>
        </w:tc>
        <w:tc>
          <w:tcPr>
            <w:tcW w:w="2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55A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osob využívajících zařízení péče o děti předškolního věku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2C1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ABC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ABF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DED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0E0E0"/>
            <w:vAlign w:val="bottom"/>
            <w:hideMark/>
          </w:tcPr>
          <w:p w14:paraId="24C2290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710,000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47ADADB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6CEF199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2BB52E8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60C6393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269,000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2F8E0D2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1 457,000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79C96D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702,000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4D54B7D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1 902,000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461D69E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173AE1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DEB4C0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0E0E0"/>
            <w:vAlign w:val="bottom"/>
            <w:hideMark/>
          </w:tcPr>
          <w:p w14:paraId="46D16D8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612,113</w:t>
            </w:r>
          </w:p>
        </w:tc>
      </w:tr>
      <w:tr w:rsidR="001D52AA" w:rsidRPr="001D52AA" w14:paraId="6D1070BF" w14:textId="77777777" w:rsidTr="001D52AA">
        <w:trPr>
          <w:trHeight w:val="248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0C229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7DDB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2072D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E1998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B0B6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81864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9F29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805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5C8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43E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591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C53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B4D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FF71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37A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ED6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B6E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2576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15BCA35F" w14:textId="77777777" w:rsidTr="001D52AA">
        <w:trPr>
          <w:trHeight w:val="248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2375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D0CF8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560B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CA9E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E865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15854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62F4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FE19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96B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8555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F2EF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AA32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24E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A22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DCA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EF3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B06C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0A1D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2B4569BD" w14:textId="77777777" w:rsidTr="001D52AA">
        <w:trPr>
          <w:trHeight w:val="25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D4423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BFAA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CB18D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846B9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211D6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72188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4465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0AAB5A2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6AADC51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276EB31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5CD8C58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285,000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031DCB6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1 742,000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291099E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2 444,000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CEC7C2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4 346,000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176390C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61B4F29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5CB405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70B11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6C0D93FD" w14:textId="77777777" w:rsidTr="001D52AA">
        <w:trPr>
          <w:trHeight w:val="25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6309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B385F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26745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4B4A1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6053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2AC9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379F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9D3A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0BA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EF3C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931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916D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44B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2E75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F46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F56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0208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A5C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1D52AA" w:rsidRPr="001D52AA" w14:paraId="28DBB8E9" w14:textId="77777777" w:rsidTr="001D52AA">
        <w:trPr>
          <w:trHeight w:val="25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342C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568FE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DBA48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3A27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B82E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96DB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269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C37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CC4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7990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C58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5F03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E469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5D4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4570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AE41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CDB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445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1D52AA" w:rsidRPr="001D52AA" w14:paraId="0CA3AB04" w14:textId="77777777" w:rsidTr="001D52AA">
        <w:trPr>
          <w:trHeight w:val="248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824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50130</w:t>
            </w:r>
          </w:p>
        </w:tc>
        <w:tc>
          <w:tcPr>
            <w:tcW w:w="2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FFF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osob pracujících v rámci flexibilních forem práce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F308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830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80C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6A8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0E0E0"/>
            <w:vAlign w:val="bottom"/>
            <w:hideMark/>
          </w:tcPr>
          <w:p w14:paraId="68FD5A4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441,000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5A7DDC7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2980A12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46B3CED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B127D8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185,000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0F67383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661,000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05E4F74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405,000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3BEFB32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488,000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5B83D1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380BE94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3C02224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0E0E0"/>
            <w:vAlign w:val="bottom"/>
            <w:hideMark/>
          </w:tcPr>
          <w:p w14:paraId="38EA394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395,465</w:t>
            </w:r>
          </w:p>
        </w:tc>
      </w:tr>
      <w:tr w:rsidR="001D52AA" w:rsidRPr="001D52AA" w14:paraId="45E2A415" w14:textId="77777777" w:rsidTr="001D52AA">
        <w:trPr>
          <w:trHeight w:val="248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46C9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2739F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E7B9D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D0F8F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B2A3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BF52C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76B1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53B0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6B0A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84C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BFA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0D9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010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B6A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8B3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6E01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097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A88AD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7BE34DCB" w14:textId="77777777" w:rsidTr="001D52AA">
        <w:trPr>
          <w:trHeight w:val="248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D94F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8B1A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533E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F5210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FFCF0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6D53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1EF20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8D0B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B6D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28FC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2A35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A5C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C29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325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D7E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982A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E9F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9D12B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30164D6B" w14:textId="77777777" w:rsidTr="001D52AA">
        <w:trPr>
          <w:trHeight w:val="25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C4CB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8919B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AC9BF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8DB0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2681A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846F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D7827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2FB5F2E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234DE5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1436A1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4249687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1538958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sz w:val="14"/>
                <w:szCs w:val="14"/>
                <w:lang w:val="cs-CZ" w:eastAsia="cs-CZ"/>
              </w:rPr>
              <w:t>851,000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36CD847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1 256,000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0560491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1 744,000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59E19CA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3F427DB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4DDBC4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CF81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0EBB6AB6" w14:textId="77777777" w:rsidTr="001D52AA">
        <w:trPr>
          <w:trHeight w:val="25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A4CB3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15433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C16CD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78C98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D8D31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27851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3B0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AC24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065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FF3F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AD2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4D4D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B7C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9F3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E5B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B6F6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CA42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EDD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1D52AA" w:rsidRPr="001D52AA" w14:paraId="39E84A27" w14:textId="77777777" w:rsidTr="001D52AA">
        <w:trPr>
          <w:trHeight w:val="25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F9898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1DEFD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86BEE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55AB5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9BB84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A073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870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FB3F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F85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13E7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9C5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7D30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7F5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0C5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2AD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73B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2BD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3E5E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1D52AA" w:rsidRPr="001D52AA" w14:paraId="5AC0C0F0" w14:textId="77777777" w:rsidTr="001D52AA">
        <w:trPr>
          <w:trHeight w:val="248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95A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50130</w:t>
            </w:r>
          </w:p>
        </w:tc>
        <w:tc>
          <w:tcPr>
            <w:tcW w:w="2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71F8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osob pracujících v rámci flexibilních forem práce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560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941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747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932C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0E0E0"/>
            <w:vAlign w:val="bottom"/>
            <w:hideMark/>
          </w:tcPr>
          <w:p w14:paraId="16FE9FD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59,000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4146CBE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5408493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5CEE5C1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3F508BC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100FBA9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138,000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4677315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42,000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65ADA13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165,000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510D979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117C431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6726595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0E0E0"/>
            <w:vAlign w:val="bottom"/>
            <w:hideMark/>
          </w:tcPr>
          <w:p w14:paraId="453D465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598,305</w:t>
            </w:r>
          </w:p>
        </w:tc>
      </w:tr>
      <w:tr w:rsidR="001D52AA" w:rsidRPr="001D52AA" w14:paraId="785AD83B" w14:textId="77777777" w:rsidTr="001D52AA">
        <w:trPr>
          <w:trHeight w:val="248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B693A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B26B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8108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3F7FD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7F85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E8FD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014FC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286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51B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3EC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91C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A8C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D58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545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90C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0AB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432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77007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57CA804F" w14:textId="77777777" w:rsidTr="001D52AA">
        <w:trPr>
          <w:trHeight w:val="248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26564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9C66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C3B1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503D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0C7B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A9857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7176C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7712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C1D5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587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85F6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0711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8F0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241D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461F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306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C52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1F61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2E101CF5" w14:textId="77777777" w:rsidTr="001D52AA">
        <w:trPr>
          <w:trHeight w:val="25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93A2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27DF4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C7D3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D183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A8249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0B0D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DDD95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18E89EC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2F1FF18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7820C4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531DF52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3F51DE3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146,000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42C694A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188,000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5742D9F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353,000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3AB08AC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21C9016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3746E79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E6CC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6F2F3B27" w14:textId="77777777" w:rsidTr="001D52AA">
        <w:trPr>
          <w:trHeight w:val="25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33B6D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FA867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6333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E79B9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49158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B807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ED2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5090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7CC3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848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2A5A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AC31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A98F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A957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3F0D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BF57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FCB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00FE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1D52AA" w:rsidRPr="001D52AA" w14:paraId="511D7876" w14:textId="77777777" w:rsidTr="001D52AA">
        <w:trPr>
          <w:trHeight w:val="256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D3B6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BEDF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46AD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C338F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DD99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1389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5D92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9234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C5B9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DF5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CF59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7410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798B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99A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7EC2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BDAF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B985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D37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</w:tbl>
    <w:p w14:paraId="481A8DA8" w14:textId="77777777" w:rsidR="003C2AA4" w:rsidRPr="003C2AA4" w:rsidRDefault="003C2AA4" w:rsidP="00164344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3DB932FC" w14:textId="77777777" w:rsidR="003C2AA4" w:rsidRP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03.1.52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Pomoc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pracovníkům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podnikům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podnikatelům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přizpůsobovat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se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změnám</w:t>
      </w:r>
      <w:proofErr w:type="spellEnd"/>
    </w:p>
    <w:tbl>
      <w:tblPr>
        <w:tblW w:w="15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2470"/>
        <w:gridCol w:w="499"/>
        <w:gridCol w:w="1189"/>
        <w:gridCol w:w="808"/>
        <w:gridCol w:w="961"/>
        <w:gridCol w:w="733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5"/>
        <w:gridCol w:w="769"/>
      </w:tblGrid>
      <w:tr w:rsidR="001D52AA" w:rsidRPr="001D52AA" w14:paraId="7F5ECF0D" w14:textId="77777777" w:rsidTr="00D1537E">
        <w:trPr>
          <w:trHeight w:val="260"/>
          <w:tblHeader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D139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2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4793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9FEA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ESF / YEI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A384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F160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CD08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Jednotka měření pro výchozí hodnotu a cíl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8978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AB1C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3B414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03C8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E078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326F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A038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553C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C43C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FEEA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31E3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BCC0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</w:t>
            </w:r>
          </w:p>
        </w:tc>
      </w:tr>
      <w:tr w:rsidR="001D52AA" w:rsidRPr="001D52AA" w14:paraId="4115B49F" w14:textId="77777777" w:rsidTr="00D1537E">
        <w:trPr>
          <w:trHeight w:val="260"/>
          <w:tblHeader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A33DC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46ECB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B1C91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3B0B5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ED4EA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E195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0364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8139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4F9F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7146CD8E" w14:textId="77777777" w:rsidTr="00D1537E">
        <w:trPr>
          <w:trHeight w:val="260"/>
          <w:tblHeader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F0D54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F39FD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7D18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BE7EB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D1947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FC32F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FCECC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F3D312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993F5E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C4E1429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A682FE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A03786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22FEC0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37DA64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65FAE74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FB483B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B2EBD3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D6209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0507C064" w14:textId="77777777" w:rsidTr="00D1537E">
        <w:trPr>
          <w:trHeight w:val="260"/>
          <w:tblHeader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8BC11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3BF34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AFE5D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D12C6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5F95D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50E9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8B251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DA5B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A501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F659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80BA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48E77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A41E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FDAA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3B29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77C6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D9AE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C24AD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1A204FB8" w14:textId="77777777" w:rsidTr="00D1537E">
        <w:trPr>
          <w:trHeight w:val="260"/>
          <w:tblHeader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C7101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8016F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C09DF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5DF0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7CDA7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9571D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FA609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1917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584A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EC40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2ED59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8610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E059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9E58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713D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0972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3F65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EE191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486767EC" w14:textId="77777777" w:rsidTr="00D1537E">
        <w:trPr>
          <w:trHeight w:val="260"/>
          <w:tblHeader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F09BA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5142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26E50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EC69C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6167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83A6D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66327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6BD3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</w:t>
            </w: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6A07B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664ABBAA" w14:textId="77777777" w:rsidTr="00D1537E">
        <w:trPr>
          <w:trHeight w:val="260"/>
          <w:tblHeader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AAF6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73CF6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A7498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7D326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C09CF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11C18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42FB304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4F3625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80F8A4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73993B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6E5F62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F221CD9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AB99E6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DFDB824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98E332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F4DB64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356FB2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AEE62A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</w:tr>
      <w:tr w:rsidR="001D52AA" w:rsidRPr="001D52AA" w14:paraId="78A24E55" w14:textId="77777777" w:rsidTr="00D1537E">
        <w:trPr>
          <w:trHeight w:val="260"/>
          <w:tblHeader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E484A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82F6D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03BB2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EDFFF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42CA6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1D58A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9E51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5F0D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5CB1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C05E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BF1C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7E86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B1087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600D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AB389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6658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21FA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4E5D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</w:tr>
      <w:tr w:rsidR="001D52AA" w:rsidRPr="001D52AA" w14:paraId="34FE0C18" w14:textId="77777777" w:rsidTr="00D1537E">
        <w:trPr>
          <w:trHeight w:val="260"/>
          <w:tblHeader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3FBEF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4A669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0F8E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9084A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FC10C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DABBE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295A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4FF24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CD42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2DDD7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5518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497E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380A9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B98C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0EBC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1F0D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0F66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A34F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</w:tr>
      <w:tr w:rsidR="001D52AA" w:rsidRPr="001D52AA" w14:paraId="5278311C" w14:textId="77777777" w:rsidTr="001D52AA">
        <w:trPr>
          <w:trHeight w:val="253"/>
        </w:trPr>
        <w:tc>
          <w:tcPr>
            <w:tcW w:w="5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2C904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62010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65F3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Populace zasažená aktivitou na podporu sociálního dialogu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EB23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8CD7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F190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F463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3A528F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437,000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02221B3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17A2A3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6B2BD7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483,156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421BC9F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2 663,310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3F1FB7B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3 846,630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3ED796B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1 751,760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6FBCA20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1 081,640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32A1847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963CED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5026FB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4983704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2 248,627</w:t>
            </w:r>
          </w:p>
        </w:tc>
      </w:tr>
      <w:tr w:rsidR="001D52AA" w:rsidRPr="001D52AA" w14:paraId="1F3ABE9D" w14:textId="77777777" w:rsidTr="001D52AA">
        <w:trPr>
          <w:trHeight w:val="253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0D1A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8667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E9DF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FE1CC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353F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D9EC3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916D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DE37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B156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108D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C82F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8D7F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19B8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7AB5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4C54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20AB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0FB7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DC1C6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25D615A2" w14:textId="77777777" w:rsidTr="001D52AA">
        <w:trPr>
          <w:trHeight w:val="253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AF580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D14AA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29CC6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335D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4E40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D9F1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C089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1A84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15A1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A54A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EC0A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241D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4367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A328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1BCF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BFC4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9AC0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8A1F0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5F8812C7" w14:textId="77777777" w:rsidTr="001D52AA">
        <w:trPr>
          <w:trHeight w:val="26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8AE8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B961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5969D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3E182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3148B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C059E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57AD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53872D8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03E970B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2D955DC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483,156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563B00C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3 146,470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309953D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6 993,100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05333E6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8 744,860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9EC8A5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9 826,500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285196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72C7BC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09568B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DE419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5C9820F3" w14:textId="77777777" w:rsidTr="001D52AA">
        <w:trPr>
          <w:trHeight w:val="26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45481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C68F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846D5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6321E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98F5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9BC07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344E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800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A2B9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14C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95A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1DC5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EA0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58C2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F6E9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190C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D30C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4817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1D52AA" w:rsidRPr="001D52AA" w14:paraId="33DD07C2" w14:textId="77777777" w:rsidTr="001D52AA">
        <w:trPr>
          <w:trHeight w:val="26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4FF3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0B5C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98AD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0899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B28E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DD88A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03AD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4C7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2CD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9313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2B1A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FC6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20D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4E1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AEF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8DA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270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846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1D52AA" w:rsidRPr="001D52AA" w14:paraId="773BBB2A" w14:textId="77777777" w:rsidTr="001D52AA">
        <w:trPr>
          <w:trHeight w:val="253"/>
        </w:trPr>
        <w:tc>
          <w:tcPr>
            <w:tcW w:w="5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F7AF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62010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E09C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Populace zasažená aktivitou na podporu sociálního dialogu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94D1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0321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F87E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DB56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3A4546B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63,000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0EB70F4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1FD2227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5B80D28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69,844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819275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370,690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807D59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570,371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5F9A656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253,240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1315FB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156,359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E31988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FB5D4A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DABE17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35F4465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2 254,760</w:t>
            </w:r>
          </w:p>
        </w:tc>
      </w:tr>
      <w:tr w:rsidR="001D52AA" w:rsidRPr="001D52AA" w14:paraId="3626C6FA" w14:textId="77777777" w:rsidTr="001D52AA">
        <w:trPr>
          <w:trHeight w:val="253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83D9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B04D3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DD0C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0224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8128B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48DB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C672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E820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7621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9ADF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3D8B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E95D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62D8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D22C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D0A5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336E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D05D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5FA7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6134F42D" w14:textId="77777777" w:rsidTr="001D52AA">
        <w:trPr>
          <w:trHeight w:val="253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C488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6819F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BA1E2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2D7A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8826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E931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0E8B4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261D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115C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E545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6FCB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9507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0E59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464B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977C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60F2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0F63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2265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7D8845E5" w14:textId="77777777" w:rsidTr="001D52AA">
        <w:trPr>
          <w:trHeight w:val="26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83AC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43319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162A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1F4A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D4C5D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B7F63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DA61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888F7A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39927A5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436C5B5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69,844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2EF9A6A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440,534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3A7AFA0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1 010,905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AD7DD6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1 264,140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6567F7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1 420,499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F65663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00EAE8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E4A88D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0C6D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7D41D096" w14:textId="77777777" w:rsidTr="001D52AA">
        <w:trPr>
          <w:trHeight w:val="26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EE59B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F41D7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A43C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A801D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5A697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8C0EE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BC7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C12A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52AA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1035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B69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2280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69EF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C2EE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672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402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AF0D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6308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1D52AA" w:rsidRPr="001D52AA" w14:paraId="3F33FB67" w14:textId="77777777" w:rsidTr="001D52AA">
        <w:trPr>
          <w:trHeight w:val="26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EC076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4A61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5095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03220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DF3F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5EB4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EFD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FE37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7260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A987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6B58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3E9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475E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B341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96FA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C4C4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2300" w14:textId="4943FC73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7D5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</w:tbl>
    <w:p w14:paraId="6DF38A75" w14:textId="77777777" w:rsidR="003C2AA4" w:rsidRPr="003C2AA4" w:rsidRDefault="003C2AA4" w:rsidP="00164344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3313A610" w14:textId="77777777" w:rsidR="003C2AA4" w:rsidRP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lastRenderedPageBreak/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03.1.54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Modernizace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institucí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trhu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jako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veřejné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soukromé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služby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zaměstnanosti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přispívání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k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adaptaci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potřeby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trhu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prostřednictvím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opatření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zlepšení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nadnárodní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mobility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pracovníků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programů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mobility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lepší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spolupráce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mezi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institucemi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příslušnými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zúčastněnými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stranami</w:t>
      </w:r>
      <w:proofErr w:type="spellEnd"/>
    </w:p>
    <w:tbl>
      <w:tblPr>
        <w:tblW w:w="1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2489"/>
        <w:gridCol w:w="503"/>
        <w:gridCol w:w="1198"/>
        <w:gridCol w:w="814"/>
        <w:gridCol w:w="967"/>
        <w:gridCol w:w="73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9"/>
        <w:gridCol w:w="680"/>
      </w:tblGrid>
      <w:tr w:rsidR="001D52AA" w:rsidRPr="001D52AA" w14:paraId="3CDE40EA" w14:textId="77777777" w:rsidTr="00D1537E">
        <w:trPr>
          <w:trHeight w:val="243"/>
          <w:tblHeader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C39E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7069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413B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ESF / YEI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49789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656F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3D0D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Jednotka měření pro výchozí hodnotu a cíl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EE8D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8920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6AFF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8A07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1E9D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50F2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286E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CF06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E8B2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C85A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FF32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0857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</w:t>
            </w:r>
          </w:p>
        </w:tc>
      </w:tr>
      <w:tr w:rsidR="001D52AA" w:rsidRPr="001D52AA" w14:paraId="33EB0C64" w14:textId="77777777" w:rsidTr="00D1537E">
        <w:trPr>
          <w:trHeight w:val="243"/>
          <w:tblHeader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D1A70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C14D4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7D03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AFD6E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95B0D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6BF6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9259C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4BA0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2393F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61DF83FB" w14:textId="77777777" w:rsidTr="00D1537E">
        <w:trPr>
          <w:trHeight w:val="243"/>
          <w:tblHeader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71E62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58F6F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C7C81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118E9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5776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1FB84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AB5AB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F983C3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E4BB5D7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98BF67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97AE25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A4AC6E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1BE5454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DB5F96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92CB01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26B4E0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99C16F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9C7B6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63C07101" w14:textId="77777777" w:rsidTr="00D1537E">
        <w:trPr>
          <w:trHeight w:val="243"/>
          <w:tblHeader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71F7B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F8FB9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95E1C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30F6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F3092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73DC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92AD1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C90F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2CD2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5B83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A299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B7F5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130D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C0BE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0E47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ABEA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17A7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4FB7A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02BA12F5" w14:textId="77777777" w:rsidTr="00D1537E">
        <w:trPr>
          <w:trHeight w:val="243"/>
          <w:tblHeader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C0C9A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C569A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2FF9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9BFF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4473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C46E5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89117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2E74A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FC3B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5434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2491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BCD54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0E9A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0993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29BE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3234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CAC57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C47C5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27C7387B" w14:textId="77777777" w:rsidTr="00D1537E">
        <w:trPr>
          <w:trHeight w:val="243"/>
          <w:tblHeader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5FD6F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864E7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3D559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9299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0B43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DE058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46550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F83A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9A1F5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5F7E7EE6" w14:textId="77777777" w:rsidTr="00D1537E">
        <w:trPr>
          <w:trHeight w:val="243"/>
          <w:tblHeader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7F8E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03F42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78431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73500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91BBE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9FA3A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461515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47B7C3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059D1A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0CCD4E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D115919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D93D52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B63D33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FAAAD5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1C98E3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C62C8F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4C4DA3C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EF531A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</w:tr>
      <w:tr w:rsidR="001D52AA" w:rsidRPr="001D52AA" w14:paraId="11AF96BD" w14:textId="77777777" w:rsidTr="00D1537E">
        <w:trPr>
          <w:trHeight w:val="243"/>
          <w:tblHeader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73658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79F3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F5105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3FC51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37E8D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AB9DF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960E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73CEF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96D8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B7934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5C3B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12443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8D257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A2FB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47C3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DCE1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894E9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583D6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</w:tr>
      <w:tr w:rsidR="001D52AA" w:rsidRPr="001D52AA" w14:paraId="2B3A1F5F" w14:textId="77777777" w:rsidTr="00D1537E">
        <w:trPr>
          <w:trHeight w:val="243"/>
          <w:tblHeader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69D04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25974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E770E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A2B9B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7A9C8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93AA4" w14:textId="77777777" w:rsidR="001D52AA" w:rsidRPr="001D52AA" w:rsidRDefault="001D52AA" w:rsidP="001D52AA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B8F6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84200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8B198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20BE1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E93A5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32A22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44AA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166AD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CCB8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98564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F0467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8AA4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</w:tr>
      <w:tr w:rsidR="001D52AA" w:rsidRPr="001D52AA" w14:paraId="31587C7D" w14:textId="77777777" w:rsidTr="001D52AA">
        <w:trPr>
          <w:trHeight w:val="236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2395B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67410</w:t>
            </w:r>
          </w:p>
        </w:tc>
        <w:tc>
          <w:tcPr>
            <w:tcW w:w="24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F3A9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nově zavedených nebo inovovaných služeb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7874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E63B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4866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Služby</w:t>
            </w: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3E65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620987A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2A5F3E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38A9D6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7C5C3B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8F17BD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3291B2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B03B9E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0,930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8FEB96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F1B043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A7CEE5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5CF98C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0825E89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15,500</w:t>
            </w:r>
          </w:p>
        </w:tc>
      </w:tr>
      <w:tr w:rsidR="001D52AA" w:rsidRPr="001D52AA" w14:paraId="6E92338E" w14:textId="77777777" w:rsidTr="001D52AA">
        <w:trPr>
          <w:trHeight w:val="236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AC918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7411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88B1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AC974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34087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355AE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D270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04DC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5AC2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9552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50AA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716D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506D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3FE7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5A99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8E77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3BA1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798E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7FF8039A" w14:textId="77777777" w:rsidTr="001D52AA">
        <w:trPr>
          <w:trHeight w:val="236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D0B3A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895BF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92F0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CF5E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62962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6497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DCBC5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1F6F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B9B9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D15D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AFFF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9948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48A1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255E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6EFB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7F78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0F0E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B5CFF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11FE4439" w14:textId="77777777" w:rsidTr="001D52AA">
        <w:trPr>
          <w:trHeight w:val="243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F391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2DCA8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BE4B3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972F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B9D8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F8432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34FEA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C1AB53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7A8048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3C2BCA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0CC5E6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B4EB2C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52CF42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0,930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89E5CA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0,930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E550AC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F8BFA5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80ED6D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4885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6DD5B698" w14:textId="77777777" w:rsidTr="001D52AA">
        <w:trPr>
          <w:trHeight w:val="243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8C0C6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C4D97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82C8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0557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4C633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8727D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74C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613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396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6E36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302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ACE5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ACEF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171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DC7B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A8C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A61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0C6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1D52AA" w:rsidRPr="001D52AA" w14:paraId="2E44005D" w14:textId="77777777" w:rsidTr="001D52AA">
        <w:trPr>
          <w:trHeight w:val="243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ACED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EF8F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2A95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69D7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43763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1AADE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C71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C8D3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923B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C90F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34B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480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640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237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EFAD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2B4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117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F7C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1D52AA" w:rsidRPr="001D52AA" w14:paraId="7055EC3A" w14:textId="77777777" w:rsidTr="001D52AA">
        <w:trPr>
          <w:trHeight w:val="236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EAC8E" w14:textId="77777777" w:rsidR="001D52AA" w:rsidRPr="001D52AA" w:rsidRDefault="001D52AA" w:rsidP="001D52AA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67410</w:t>
            </w:r>
          </w:p>
        </w:tc>
        <w:tc>
          <w:tcPr>
            <w:tcW w:w="24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E82F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nově zavedených nebo inovovaných služeb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37DE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2B40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2577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Služby</w:t>
            </w: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1B2D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0607AB3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F3F47A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9AC84C4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A6E4EE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4D6163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41F001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453507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0,070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B42C47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B77DDE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088A44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513555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61BED09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7,000</w:t>
            </w:r>
          </w:p>
        </w:tc>
      </w:tr>
      <w:tr w:rsidR="001D52AA" w:rsidRPr="001D52AA" w14:paraId="783F0F42" w14:textId="77777777" w:rsidTr="001D52AA">
        <w:trPr>
          <w:trHeight w:val="236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545B1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6678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2E836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73ECB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4C402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7048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862E8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499D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E6C9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8285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0120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1805E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69BE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782E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4875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8144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DD5C2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2E4CA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4F367D2D" w14:textId="77777777" w:rsidTr="001D52AA">
        <w:trPr>
          <w:trHeight w:val="236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9557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90345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35728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6AAD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4AF3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33BF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5FF17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EEBF8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F7A7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9D3E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28F3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C4D6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232E6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76A2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0811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5DD53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87DF0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C43BC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72D20764" w14:textId="77777777" w:rsidTr="001D52AA">
        <w:trPr>
          <w:trHeight w:val="243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6CFFC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CC29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E10FB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4AD8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304C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AB2E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2D86A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493ACD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05B0E85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048F0A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9457669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8DC6D17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B51E81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0,070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0429BCC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0,070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65F8CF1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AAEDD5A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16EC3CD" w14:textId="77777777" w:rsidR="001D52AA" w:rsidRPr="001D52AA" w:rsidRDefault="001D52AA" w:rsidP="001D52AA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5A5DE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1D52AA" w:rsidRPr="001D52AA" w14:paraId="73F1AAAA" w14:textId="77777777" w:rsidTr="001D52AA">
        <w:trPr>
          <w:trHeight w:val="243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26D4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82B6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0678DF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7C40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08F3A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78FC3B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28B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4DB89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00C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6466A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7FBB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17A71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339C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B938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68FD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B55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6ECC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57B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1D52AA" w:rsidRPr="001D52AA" w14:paraId="7599D82B" w14:textId="77777777" w:rsidTr="001D52AA">
        <w:trPr>
          <w:trHeight w:val="243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D30A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B0119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9EC98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A648F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48F3A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75C8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5763E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61925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F5437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EAF8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096F2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BB81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19BE6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6AF14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77B03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71FC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9AD50" w14:textId="77777777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AC87B" w14:textId="7A9C950F" w:rsidR="001D52AA" w:rsidRPr="001D52AA" w:rsidRDefault="001D52AA" w:rsidP="001D52AA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1D52AA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</w:tbl>
    <w:p w14:paraId="23E86C87" w14:textId="77777777" w:rsidR="003C2AA4" w:rsidRPr="003C2AA4" w:rsidRDefault="003C2AA4" w:rsidP="00164344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26984FD6" w14:textId="77777777" w:rsidR="003C2AA4" w:rsidRP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03.2.60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Aktivní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začleňování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začleňování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s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ohledem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podporu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rovných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příležitostí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gramStart"/>
      <w:r w:rsidRPr="003C2AA4">
        <w:rPr>
          <w:rFonts w:ascii="Arial" w:eastAsia="Arial" w:hAnsi="Arial" w:cs="Arial"/>
          <w:color w:val="000000"/>
          <w:sz w:val="20"/>
        </w:rPr>
        <w:t>a</w:t>
      </w:r>
      <w:proofErr w:type="gram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aktivní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účast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zlepšení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zaměstnatelnosti</w:t>
      </w:r>
      <w:proofErr w:type="spellEnd"/>
    </w:p>
    <w:tbl>
      <w:tblPr>
        <w:tblW w:w="15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2416"/>
        <w:gridCol w:w="497"/>
        <w:gridCol w:w="1176"/>
        <w:gridCol w:w="856"/>
        <w:gridCol w:w="953"/>
        <w:gridCol w:w="851"/>
        <w:gridCol w:w="793"/>
        <w:gridCol w:w="793"/>
        <w:gridCol w:w="793"/>
        <w:gridCol w:w="793"/>
        <w:gridCol w:w="793"/>
        <w:gridCol w:w="793"/>
        <w:gridCol w:w="851"/>
        <w:gridCol w:w="793"/>
        <w:gridCol w:w="793"/>
        <w:gridCol w:w="794"/>
        <w:gridCol w:w="647"/>
      </w:tblGrid>
      <w:tr w:rsidR="0052394E" w:rsidRPr="0052394E" w14:paraId="7F1D4B58" w14:textId="77777777" w:rsidTr="00D1537E">
        <w:trPr>
          <w:trHeight w:val="240"/>
          <w:tblHeader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6209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2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C56B0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659A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ESF / YEI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A52F4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D3B13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018FB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Jednotka měření pro výchozí hodnotu a cíl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AF6D3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BEBD8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3AC96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0DEB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D05B8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4B9E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EDC3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21DF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36DBB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58E34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D30B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1BAF0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</w:t>
            </w:r>
          </w:p>
        </w:tc>
      </w:tr>
      <w:tr w:rsidR="0052394E" w:rsidRPr="0052394E" w14:paraId="7F307B5C" w14:textId="77777777" w:rsidTr="00D1537E">
        <w:trPr>
          <w:trHeight w:val="240"/>
          <w:tblHeader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07E15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1C312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56268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CF397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9D074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EE1DC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B8817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0CC05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FCAB6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7B43149E" w14:textId="77777777" w:rsidTr="00D1537E">
        <w:trPr>
          <w:trHeight w:val="240"/>
          <w:tblHeader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7110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31102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05B49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ADD08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E49C1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66C0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2B47C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B82BFA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1FE6160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6EA6A34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9F92DEC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763993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2F8BA33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B0C28B8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C82EDCB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5E93B26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F8ECF56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4E85E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51F37831" w14:textId="77777777" w:rsidTr="00D1537E">
        <w:trPr>
          <w:trHeight w:val="240"/>
          <w:tblHeader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AF39F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10F47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3DB94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B8CDE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7DACB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175CA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08A44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54245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C3CA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0194E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78D3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07210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47A73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A4ED0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E74E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6A43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5DE70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36B97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3D6EAD24" w14:textId="77777777" w:rsidTr="00D1537E">
        <w:trPr>
          <w:trHeight w:val="240"/>
          <w:tblHeader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6BEB4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EBD23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A8E9B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D8E33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515B7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EE97F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062B6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7B516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AE614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98C58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9E835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E03BC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20BE7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F7722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A218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416A7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5AE68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085ED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60C68320" w14:textId="77777777" w:rsidTr="00D1537E">
        <w:trPr>
          <w:trHeight w:val="240"/>
          <w:tblHeader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01F6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929F0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AA16C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F7FC9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5E371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319FA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860F0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BBE38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</w:t>
            </w:r>
          </w:p>
        </w:tc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D1474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421E14CE" w14:textId="77777777" w:rsidTr="00D1537E">
        <w:trPr>
          <w:trHeight w:val="240"/>
          <w:tblHeader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4C6D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DB75B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FFC05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1D1E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DBE72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FFE3F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CC980C5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95DBCCA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C206635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1FDA40B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A8B1AF5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595DE22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1776983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D17920B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C4A8677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2154E3B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66726D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E4903A8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</w:tr>
      <w:tr w:rsidR="0052394E" w:rsidRPr="0052394E" w14:paraId="2440E6BF" w14:textId="77777777" w:rsidTr="00D1537E">
        <w:trPr>
          <w:trHeight w:val="240"/>
          <w:tblHeader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0F556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09733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5206C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99F1C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9CC46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E8C7C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0342E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EBF54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E9B3B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61C98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3DE4A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3AC6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8C382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10388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13FD0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9EC60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DE23C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CFCF4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</w:tr>
      <w:tr w:rsidR="0052394E" w:rsidRPr="0052394E" w14:paraId="03EB812A" w14:textId="77777777" w:rsidTr="00D1537E">
        <w:trPr>
          <w:trHeight w:val="240"/>
          <w:tblHeader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0F983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0569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9596D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5AA1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99688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080D2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ABF74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F95E5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64C8E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3BFAC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D0C65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1292E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57CD0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0CC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0361C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89C86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99E0A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0CBE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</w:tr>
      <w:tr w:rsidR="0052394E" w:rsidRPr="0052394E" w14:paraId="292B8611" w14:textId="77777777" w:rsidTr="0052394E">
        <w:trPr>
          <w:trHeight w:val="233"/>
        </w:trPr>
        <w:tc>
          <w:tcPr>
            <w:tcW w:w="5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E1B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10211</w:t>
            </w:r>
          </w:p>
        </w:tc>
        <w:tc>
          <w:tcPr>
            <w:tcW w:w="2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E829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sociálních podniků vzniklých díky podpoře, které fungují i po ukončení podpory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5F6E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D365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9585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Organizace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F64D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6D7D48E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83,000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A629ED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47528C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DAA1F7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28571B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64686BB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4FA584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31A5A9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5130E4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71894F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516836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1BBC7D9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34,940</w:t>
            </w:r>
          </w:p>
        </w:tc>
      </w:tr>
      <w:tr w:rsidR="0052394E" w:rsidRPr="0052394E" w14:paraId="462F9D48" w14:textId="77777777" w:rsidTr="0052394E">
        <w:trPr>
          <w:trHeight w:val="233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C2FD1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416B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97A57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B3E1A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E3D30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24735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98D6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15B4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70CC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3113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8C88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25A9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ACB8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F682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BF6D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9590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8D02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6895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6DD9B46A" w14:textId="77777777" w:rsidTr="0052394E">
        <w:trPr>
          <w:trHeight w:val="233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1A25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E56A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FE79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557C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5AD7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7D445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B4873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4245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2216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733B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7FD8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4E14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45AF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238E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CDB5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77D0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39ED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1E4F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1825FD76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B3AC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3B7A5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D1AB2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9FFCE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B6969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CFDA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5C740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DDCAB8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5AE2D1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604C8A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091E3A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7D7D16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D89B57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70443A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9A4C6F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172F03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177389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C1D57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2C5FE651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94E3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B97BB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C64D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45C0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B319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943E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69B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2EB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7831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B8B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F02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512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D189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5E64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D25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2408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3F4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9F3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2394E" w:rsidRPr="0052394E" w14:paraId="4C49D9AF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36E4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7A136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4805A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DB55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F2334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A70CC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24A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DAA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3D8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0CCA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7C2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0FC8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9EA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93A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4F9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89E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582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B070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2394E" w:rsidRPr="0052394E" w14:paraId="24A2F7E1" w14:textId="77777777" w:rsidTr="0052394E">
        <w:trPr>
          <w:trHeight w:val="233"/>
        </w:trPr>
        <w:tc>
          <w:tcPr>
            <w:tcW w:w="5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0DA40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10211</w:t>
            </w:r>
          </w:p>
        </w:tc>
        <w:tc>
          <w:tcPr>
            <w:tcW w:w="2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1B4A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sociálních podniků vzniklých díky podpoře, které fungují i po ukončení podpory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B1CC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B5F5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5B28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Organizace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D91D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4E2FFD6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21949A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F2AB74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4C6CA9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956862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47655FB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7157EE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EB2C0E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A9E6AD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A7520D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A7A433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0F7207D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52394E" w:rsidRPr="0052394E" w14:paraId="2CD6637C" w14:textId="77777777" w:rsidTr="0052394E">
        <w:trPr>
          <w:trHeight w:val="233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0C3E7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633C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C2DA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2F746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0362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7A679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5A5A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1240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F0B8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96F9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9D28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EA8D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FF62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2286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4DE2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B0C6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7CFE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FF3D0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6737534B" w14:textId="77777777" w:rsidTr="0052394E">
        <w:trPr>
          <w:trHeight w:val="233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3496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14384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FF4A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19840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EC01A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9159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E80E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4BE9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187E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82F0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094D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A63E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77B6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6A44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9A4B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0E7A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3F67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221C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14107631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3497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A6900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F698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040D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B4B8B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20512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6100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7317B4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052A54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D9CBE1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1352B8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4FD3DC9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DC1908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5D33DF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3FC6D1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5F2E99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2F75F6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14CD3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5099B430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9301C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B8102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162D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AB44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F36C5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F862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F2A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01B1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EA0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E73A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878D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4E9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BE7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67A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7EAC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B8F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F338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544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2394E" w:rsidRPr="0052394E" w14:paraId="07A4F1BA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26CD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65CB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F551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C0E66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54692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5274D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A2D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FAA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8950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98FF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1A6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5D1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8D4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C18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29D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EA9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4F0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73F5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2394E" w:rsidRPr="0052394E" w14:paraId="74D2B507" w14:textId="77777777" w:rsidTr="0052394E">
        <w:trPr>
          <w:trHeight w:val="233"/>
        </w:trPr>
        <w:tc>
          <w:tcPr>
            <w:tcW w:w="5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243E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62910</w:t>
            </w:r>
          </w:p>
        </w:tc>
        <w:tc>
          <w:tcPr>
            <w:tcW w:w="2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D36C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zaměstnaní 12 měsíců po ukončení své účasti, včetně OSVČ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BBC2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EC73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C692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B12E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32EFF21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386,000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A26561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BC150A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23FD52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5E14C4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F3722A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139D7C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137,000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317EF9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3 588,000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84F6F3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A69690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8EF18F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179CC8D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965,026</w:t>
            </w:r>
          </w:p>
        </w:tc>
      </w:tr>
      <w:tr w:rsidR="0052394E" w:rsidRPr="0052394E" w14:paraId="703AFBD3" w14:textId="77777777" w:rsidTr="0052394E">
        <w:trPr>
          <w:trHeight w:val="233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77B93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094D9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F1A4A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470AA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0EDB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CEDF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2A83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C7E1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DAA4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9ED3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E09C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A1D5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46AB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F061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858E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7352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F5C4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E40FB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6C9E983A" w14:textId="77777777" w:rsidTr="0052394E">
        <w:trPr>
          <w:trHeight w:val="233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DBB78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C82D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D4794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3D665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C17B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7520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91A78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41A7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7305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5C0B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FCB4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7557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67FD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2104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732B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21FF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09C5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9D72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28F29BD4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2CC5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A6661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798E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1F59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77E9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A1484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F375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2DBEDF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A45B86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FC0622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28202A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0AC990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876C17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137,000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EE9914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3 725,000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1774BD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8A4C16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39B9D6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13E6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1F949AF6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50DB4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F8DC4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8681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2E066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8ABA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D364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0B5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AFD7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B26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D4E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FD12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87FB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87D8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5D8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76B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1F0F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56E4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3EA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2394E" w:rsidRPr="0052394E" w14:paraId="146D6680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9807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916E4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4083F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13835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A21D3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4859F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0616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6BE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8A82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337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3EC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933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465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B17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483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8CE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E1C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EFD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2394E" w:rsidRPr="0052394E" w14:paraId="6AEE4E1B" w14:textId="77777777" w:rsidTr="0052394E">
        <w:trPr>
          <w:trHeight w:val="233"/>
        </w:trPr>
        <w:tc>
          <w:tcPr>
            <w:tcW w:w="5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1E9FB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62910</w:t>
            </w:r>
          </w:p>
        </w:tc>
        <w:tc>
          <w:tcPr>
            <w:tcW w:w="2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A25D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zaměstnaní 12 měsíců po ukončení své účasti, včetně OSVČ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A72E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72B4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3824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9CEF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1648B4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44,000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940F91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C9FD0D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A1B0BB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A9D360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4C2EC6D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98F229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32DBCD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CB2455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E1C090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4924DB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3BBD5EE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295,455</w:t>
            </w:r>
          </w:p>
        </w:tc>
      </w:tr>
      <w:tr w:rsidR="0052394E" w:rsidRPr="0052394E" w14:paraId="13093055" w14:textId="77777777" w:rsidTr="0052394E">
        <w:trPr>
          <w:trHeight w:val="233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7569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2F27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1DB8B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448B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A6F84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8F035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1360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3187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D75B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A2FC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7722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31D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8EAD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6C70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E077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2769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B740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E810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43C53006" w14:textId="77777777" w:rsidTr="0052394E">
        <w:trPr>
          <w:trHeight w:val="233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8FDC3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00BBD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3235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F7A3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0D0C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5FD4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2028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7D34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21E2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B3DF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431D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92FD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E2FE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0FCF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4C10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F1A9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AF66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3BC36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6F630090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D0209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7EDC2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CFBC5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889E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037C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783EE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1228E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8B882A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979453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C61353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8421CA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6B50E3B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93CC92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BFDF01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7F0F6D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23AE82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8E8192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9948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57FEE005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97D2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2860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3D6E8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4ECC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D7F8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D2AFC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DBD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188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1E72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BE6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73F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C33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CBB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E61E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E2EB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2CF8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FB4C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7D8A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2394E" w:rsidRPr="0052394E" w14:paraId="3FA4FA73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E514E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60C4A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429F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B65B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8F32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5977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21D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D604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257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029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50F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119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5476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16F8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01C2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FD8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1C7D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D2D0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2394E" w:rsidRPr="0052394E" w14:paraId="08D28FF5" w14:textId="77777777" w:rsidTr="0052394E">
        <w:trPr>
          <w:trHeight w:val="233"/>
        </w:trPr>
        <w:tc>
          <w:tcPr>
            <w:tcW w:w="5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DB4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67010</w:t>
            </w:r>
          </w:p>
        </w:tc>
        <w:tc>
          <w:tcPr>
            <w:tcW w:w="2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01F6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Využívání podpořených služeb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1CDF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7803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F28C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D4AB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33B82D4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110 045,000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BAD5AE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4860C0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588C29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3 025,000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A9DBE0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31 808,000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608EC0B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15 548,000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F85227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47 550,540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1875F0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42 324,060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1568EA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0AB6C1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B5E9CE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47B5142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127,453</w:t>
            </w:r>
          </w:p>
        </w:tc>
      </w:tr>
      <w:tr w:rsidR="0052394E" w:rsidRPr="0052394E" w14:paraId="161A9C58" w14:textId="77777777" w:rsidTr="0052394E">
        <w:trPr>
          <w:trHeight w:val="233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E96C8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5CF5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20E57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01FC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9F364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F25C1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C2F86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F72E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8450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55C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196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30E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C9E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308D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7183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8D65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391B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A9BF4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57EF3803" w14:textId="77777777" w:rsidTr="0052394E">
        <w:trPr>
          <w:trHeight w:val="233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ECA84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FF4F4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1413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ECBF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62BFE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68FB9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81D8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B54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84A3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70B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6BB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A8B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438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F841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B050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BB60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2188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B30C6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7D998054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4A33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35F31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BC3E4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D2F9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75D8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9B6A7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13FF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00EB4C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F3A00E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F42344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3 025,000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9DC59D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34 833,000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256F62F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50 381,000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D34CA7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97 931,540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D471EA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140 255,600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C70B39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AA621B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268210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C6EDB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598ABD07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DD1F5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07F3C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08C8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BB484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D142D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DBA3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01A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65CC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2462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992B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725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70AA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8D3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946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8254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252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9769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9EF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2394E" w:rsidRPr="0052394E" w14:paraId="0EC4888C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2981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0E54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8762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8F00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BD628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78FBE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BAB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F898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C19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2EA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74B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8B5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8AA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F58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BD4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EFD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4A51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1DF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2394E" w:rsidRPr="0052394E" w14:paraId="17A0BE8E" w14:textId="77777777" w:rsidTr="0052394E">
        <w:trPr>
          <w:trHeight w:val="233"/>
        </w:trPr>
        <w:tc>
          <w:tcPr>
            <w:tcW w:w="5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70C3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67010</w:t>
            </w:r>
          </w:p>
        </w:tc>
        <w:tc>
          <w:tcPr>
            <w:tcW w:w="2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CA46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Využívání podpořených služeb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ABD2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78FE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8921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9824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3E96C1C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11 812,000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8955BD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4F131C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410787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6EB264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3 159,000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46286DF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7 519,000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80EDC4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D25FAF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2 395,500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51AC2A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EA98AF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944A52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97FD1C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116,606</w:t>
            </w:r>
          </w:p>
        </w:tc>
      </w:tr>
      <w:tr w:rsidR="0052394E" w:rsidRPr="0052394E" w14:paraId="5C0D557A" w14:textId="77777777" w:rsidTr="0052394E">
        <w:trPr>
          <w:trHeight w:val="233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B049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ABAE6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4EA34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DB7A7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F5271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E9F96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26A1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BF31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A1FF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9E3F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C016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BAB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BE66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4213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C171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EF05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67C9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7726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7BE5CF04" w14:textId="77777777" w:rsidTr="0052394E">
        <w:trPr>
          <w:trHeight w:val="233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504A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08AF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092E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F977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2358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7D381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DAA5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C993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F4D2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0313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C75C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1D9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03DC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F774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FB32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919F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5EC0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CD87F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5A947C78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43C6D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EE4D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0EE12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E174F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0AD4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14584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8B93A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2AD45A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C56614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8DF98F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4FB4AD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3 159,000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6771F1A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10 678,000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950FA6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11 378,000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2A1F2C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13 773,500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9EB246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CDFEC5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57AA18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94267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2D713331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77EE5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E9AC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3A53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663DA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7B6C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C20B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368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855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8A86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5CC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CEB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C6D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DA11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C26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E6B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F2F7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3BF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CBC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2394E" w:rsidRPr="0052394E" w14:paraId="121619E7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5AFB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32CA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460B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F8E8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0C559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B8B2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D54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FCFE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831C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7D1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382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AEC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C40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781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DCB7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8E8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F223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5DA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2394E" w:rsidRPr="0052394E" w14:paraId="7253CB34" w14:textId="77777777" w:rsidTr="0052394E">
        <w:trPr>
          <w:trHeight w:val="233"/>
        </w:trPr>
        <w:tc>
          <w:tcPr>
            <w:tcW w:w="5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6FFB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67110</w:t>
            </w:r>
          </w:p>
        </w:tc>
        <w:tc>
          <w:tcPr>
            <w:tcW w:w="2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0F1D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podpůrných institucí, které fungují i po ukončení podpory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9755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6FD4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F0D2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Organizace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900F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7035DA9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D10BAA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5D5C88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57AA26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CB6496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582BB0E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F2EE47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4FE77F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14C884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01423C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FADF81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30135FE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52394E" w:rsidRPr="0052394E" w14:paraId="737BC40E" w14:textId="77777777" w:rsidTr="0052394E">
        <w:trPr>
          <w:trHeight w:val="233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78E5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D650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9457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B89A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7BA85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569E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EC45B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A666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8363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5DB4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9E99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2310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07D3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16BD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4144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A5D3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762D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6E99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0FD38F77" w14:textId="77777777" w:rsidTr="0052394E">
        <w:trPr>
          <w:trHeight w:val="233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1D3F8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19F96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2A20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F329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3FC2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3E553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57028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8EB0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E552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55D3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5A24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E75F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FB92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DF64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D48E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364B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CB32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A1A8B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7FB692A4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33873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84C8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FC022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EB4D5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03AF7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E66E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E987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0DCD4D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2DD34D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B41BB1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3B2E25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40A1983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2595EC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996E31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C92FCE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DFC834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B4438F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4957B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1E2981CC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24A04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24AF1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CBD4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D6E73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705A2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F871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B5F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012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C86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7CB3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2A7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4F7B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FBF9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89E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45E2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906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920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30F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2394E" w:rsidRPr="0052394E" w14:paraId="6B3D0EE2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5319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2B8C4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B22CC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CC12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B06E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4B0E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21E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48DE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B69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0A0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4D2A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AF3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49D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734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773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3B5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A2A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207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2394E" w:rsidRPr="0052394E" w14:paraId="70A5F282" w14:textId="77777777" w:rsidTr="0052394E">
        <w:trPr>
          <w:trHeight w:val="233"/>
        </w:trPr>
        <w:tc>
          <w:tcPr>
            <w:tcW w:w="5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EC24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67110</w:t>
            </w:r>
          </w:p>
        </w:tc>
        <w:tc>
          <w:tcPr>
            <w:tcW w:w="2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FD44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podpůrných institucí, které fungují i po ukončení podpory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E9DC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79EC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4119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Organizace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29B2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AD6F8D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41529A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AEB7B1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6DE7E5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0A0DC8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46388DC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2A4766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A5FC04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65F989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C6CD58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647A61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15BC376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52394E" w:rsidRPr="0052394E" w14:paraId="1534E4EA" w14:textId="77777777" w:rsidTr="0052394E">
        <w:trPr>
          <w:trHeight w:val="233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5556B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D980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F338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9928E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C2CB6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01418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3C749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2CCA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21B3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B63F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63FF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1972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1005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6305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A532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5B4B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1F84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FF10D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3D67EF6A" w14:textId="77777777" w:rsidTr="0052394E">
        <w:trPr>
          <w:trHeight w:val="233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3EA75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A5C51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87B89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11E2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F42F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A9EF4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D4AF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0B25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7066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C8F5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460E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6B61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47C5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2729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3D18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A998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1070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17140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5334D90C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8890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8EA5D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7E0FF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63F6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A5A3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D47C2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B9B2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B6C80B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C919F0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98EA72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0AEAA3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7C55C0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968FE4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BEF62A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9A956D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076828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D7B376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8947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6A5EF5C7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77B3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BE253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A5EEE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B7B9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1685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C773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8BB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B41C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35A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210A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5872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844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C94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84E3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532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B910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8FA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E88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2394E" w:rsidRPr="0052394E" w14:paraId="35897C50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7CDB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C2AC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B1850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8757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F4AF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BE5E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0D37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888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8714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E2FD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574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BAF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FA3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CD84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4D3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625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8D4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D4C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2394E" w:rsidRPr="0052394E" w14:paraId="7D9D2D4F" w14:textId="77777777" w:rsidTr="0052394E">
        <w:trPr>
          <w:trHeight w:val="233"/>
        </w:trPr>
        <w:tc>
          <w:tcPr>
            <w:tcW w:w="5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D99B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67310</w:t>
            </w:r>
          </w:p>
        </w:tc>
        <w:tc>
          <w:tcPr>
            <w:tcW w:w="2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319A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Bývalí účastníci projektů, u nichž intervence formou sociální práce naplnila svůj účel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AF4F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408B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F005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BE0D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7A9E7C6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56 133,000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D16D6B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037913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ECB561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9B3233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365,000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185A29C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6009CD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2 096,000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08EBCA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1 825,000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EE7270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4D04C5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60CC26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628AB06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7,650</w:t>
            </w:r>
          </w:p>
        </w:tc>
      </w:tr>
      <w:tr w:rsidR="0052394E" w:rsidRPr="0052394E" w14:paraId="507E4595" w14:textId="77777777" w:rsidTr="0052394E">
        <w:trPr>
          <w:trHeight w:val="233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E0391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C12D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6B548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96FFD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E1761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7BC61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6B3E9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DFA3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48FA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8EA8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A924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AF8C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6A03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E3BF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F83F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58F2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122B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D504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3EDFFA76" w14:textId="77777777" w:rsidTr="0052394E">
        <w:trPr>
          <w:trHeight w:val="233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0340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18D4A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2B18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8278D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2AB7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7F80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1EBB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BE16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23EA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A3C2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34F6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B1B1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AD29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DBC2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8011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E3F1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76BF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599F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49046F4C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98630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1BB51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FE4FD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4A2FA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12916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61DD3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F5C1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62BEC0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E0A283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6B6EE1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2D82C0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373,000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A1E4D0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373,000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77D033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2 469,000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1F2573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4 294,000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909805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C8DB13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2D497D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D225E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11E3409C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2E9DE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6DC62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8527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14A6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0CFE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3988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EFF7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F18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D3B1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05E3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FF7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7DE8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FBB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D81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320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602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C817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EE4F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2394E" w:rsidRPr="0052394E" w14:paraId="69582410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3268D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EC63C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BCD68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F084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E7D9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D3E65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94A9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3D4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808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26E7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D61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1A7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DBD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9EC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FF6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0FA7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DF4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7586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2394E" w:rsidRPr="0052394E" w14:paraId="1F7E7939" w14:textId="77777777" w:rsidTr="0052394E">
        <w:trPr>
          <w:trHeight w:val="233"/>
        </w:trPr>
        <w:tc>
          <w:tcPr>
            <w:tcW w:w="5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6B2D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67310</w:t>
            </w:r>
          </w:p>
        </w:tc>
        <w:tc>
          <w:tcPr>
            <w:tcW w:w="24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896B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Bývalí účastníci projektů, u nichž intervence formou sociální práce naplnila svůj účel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B67A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4B58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4F50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9DAF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052267D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6 425,000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3F64D5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B02D3B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680A84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0C5CBB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6F2536B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92,000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1B0376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0499A0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2A68F7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ADB2E1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584CC8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62A643A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1,977</w:t>
            </w:r>
          </w:p>
        </w:tc>
      </w:tr>
      <w:tr w:rsidR="0052394E" w:rsidRPr="0052394E" w14:paraId="5B73A985" w14:textId="77777777" w:rsidTr="0052394E">
        <w:trPr>
          <w:trHeight w:val="233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D367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FDE0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6A2F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6BC8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AAE52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6C54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6B8EE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6511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2C8E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16FE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EB6A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2E8C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A1E7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0CB2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D4E0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8819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F9C0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207D4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47298D95" w14:textId="77777777" w:rsidTr="0052394E">
        <w:trPr>
          <w:trHeight w:val="233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B362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9919B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B2C5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5FB57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10C6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6203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EB26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FCE5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C028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8BDF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D9CC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4608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7D38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B2D5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69AF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429C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3CA0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A954D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40FA7AAE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96B2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01028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AA77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789E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123C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86551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C593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D77230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E87258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1B6594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B8B87A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32DF042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109,000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0AE3B5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118,000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727017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127,000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E6F5CE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14B4E9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1123CA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AD0DE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53C0C2E1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414E6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9ECE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B172A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8D86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379F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A73D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BA02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CD5B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682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B937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5C46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D756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E725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959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ADD7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E75B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5FD3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E36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52394E" w:rsidRPr="0052394E" w14:paraId="4E27D42D" w14:textId="77777777" w:rsidTr="0052394E">
        <w:trPr>
          <w:trHeight w:val="240"/>
        </w:trPr>
        <w:tc>
          <w:tcPr>
            <w:tcW w:w="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1112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AB4D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F983F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9447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D58FD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FBB41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8F52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0C8D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598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5F71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640F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83D3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16B3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B80C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799E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6E27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AE2FF" w14:textId="3D25F1BC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1C7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</w:tbl>
    <w:p w14:paraId="42C8A547" w14:textId="77777777" w:rsidR="003C2AA4" w:rsidRPr="003C2AA4" w:rsidRDefault="003C2AA4" w:rsidP="00164344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26795F20" w14:textId="77777777" w:rsidR="003C2AA4" w:rsidRP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03.2.63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Zlepšování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přístupu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k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dostupným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udržitelným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vysoce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kvalitním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službám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zdravotnictví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sociálních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služeb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obecného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zájmu</w:t>
      </w:r>
      <w:proofErr w:type="spellEnd"/>
    </w:p>
    <w:tbl>
      <w:tblPr>
        <w:tblW w:w="159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2508"/>
        <w:gridCol w:w="503"/>
        <w:gridCol w:w="1196"/>
        <w:gridCol w:w="814"/>
        <w:gridCol w:w="965"/>
        <w:gridCol w:w="835"/>
        <w:gridCol w:w="796"/>
        <w:gridCol w:w="796"/>
        <w:gridCol w:w="796"/>
        <w:gridCol w:w="796"/>
        <w:gridCol w:w="796"/>
        <w:gridCol w:w="796"/>
        <w:gridCol w:w="796"/>
        <w:gridCol w:w="796"/>
        <w:gridCol w:w="796"/>
        <w:gridCol w:w="796"/>
        <w:gridCol w:w="8"/>
        <w:gridCol w:w="672"/>
      </w:tblGrid>
      <w:tr w:rsidR="0052394E" w:rsidRPr="0052394E" w14:paraId="73D198EF" w14:textId="77777777" w:rsidTr="00D1537E">
        <w:trPr>
          <w:trHeight w:val="245"/>
          <w:tblHeader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3F55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82B55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300BE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ESF / YEI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060F4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438A5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E0122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Jednotka měření pro výchozí hodnotu a cíl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E647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137BF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4604C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F0924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E997F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37ACC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ABFE5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0A195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3D8D3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1EEB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EE68C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F7894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</w:t>
            </w:r>
          </w:p>
        </w:tc>
      </w:tr>
      <w:tr w:rsidR="0052394E" w:rsidRPr="0052394E" w14:paraId="4A77592E" w14:textId="77777777" w:rsidTr="00D1537E">
        <w:trPr>
          <w:trHeight w:val="245"/>
          <w:tblHeader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4FA7D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A7C61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26F75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A834A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B9908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A9827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BFE9C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6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39CFC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A421F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470F1EBB" w14:textId="77777777" w:rsidTr="00D1537E">
        <w:trPr>
          <w:trHeight w:val="245"/>
          <w:tblHeader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52335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49EDD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F72BB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13FBC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6D3EE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D39FC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66160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6D257C5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E7E0DBE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4E1D817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72BA852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0E533F3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406A2CF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DA09525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486A440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C581618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A5497D3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12BED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44026D45" w14:textId="77777777" w:rsidTr="00D1537E">
        <w:trPr>
          <w:trHeight w:val="245"/>
          <w:tblHeader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ABA89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2E200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4F7BB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0CA0D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3E26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10129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65510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A387B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58F38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4043A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2F757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7AF60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FEFDC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199AC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131A6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AA92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86D7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CA429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29A3CCB7" w14:textId="77777777" w:rsidTr="00D1537E">
        <w:trPr>
          <w:trHeight w:val="245"/>
          <w:tblHeader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6C8A2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BBD26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453E3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319B0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D2FE8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3AF40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6E72C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F29F3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91424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659C7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F2A0A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CC07C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142BD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A49DF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09134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F63A4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E45B3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4A391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73603836" w14:textId="77777777" w:rsidTr="00D1537E">
        <w:trPr>
          <w:trHeight w:val="245"/>
          <w:tblHeader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1568F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269C4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0586C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D075F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7CB7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D2A9B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8101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6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9F794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BB80B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19EF4A5B" w14:textId="77777777" w:rsidTr="00D1537E">
        <w:trPr>
          <w:trHeight w:val="245"/>
          <w:tblHeader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974FD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F409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3ED36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018D8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5E359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F8EBE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7B3FED2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F43721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97BBD5B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B1C3B54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51CD55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E30490F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D6FACF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04BB535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37389B2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2764A87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F160737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B1FB1A8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</w:tr>
      <w:tr w:rsidR="0052394E" w:rsidRPr="0052394E" w14:paraId="7775AB93" w14:textId="77777777" w:rsidTr="00D1537E">
        <w:trPr>
          <w:trHeight w:val="245"/>
          <w:tblHeader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4541D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B81DA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14D34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BA8E5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B2D56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71568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D1677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3AB5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1402F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83685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0784A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37EFC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B43B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0B558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9B4DB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BFEC3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96A70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51E3B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</w:tr>
      <w:tr w:rsidR="0052394E" w:rsidRPr="0052394E" w14:paraId="659DAF7C" w14:textId="77777777" w:rsidTr="00D1537E">
        <w:trPr>
          <w:trHeight w:val="245"/>
          <w:tblHeader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4270D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B1947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5A6DC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F3F9C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7F68B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A3F84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358BD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FFD76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B778C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63457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2B875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B4BF3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D953F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38846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FBEF7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E0C42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903A2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D5EE2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</w:tr>
      <w:tr w:rsidR="0052394E" w:rsidRPr="0052394E" w14:paraId="7B2A4EFA" w14:textId="77777777" w:rsidTr="0052394E">
        <w:trPr>
          <w:trHeight w:val="237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20867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67010</w:t>
            </w:r>
          </w:p>
        </w:tc>
        <w:tc>
          <w:tcPr>
            <w:tcW w:w="2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947E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Využívání podpořených služeb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79BA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BBE8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9C90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1753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358ACC3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105 560,000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8C974B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39090D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C12411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357917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2173EC4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3 455,180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73C312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1 360,820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B36FC2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45 190,525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773A97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B3A64B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A36E32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6B50FC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4,562</w:t>
            </w:r>
          </w:p>
        </w:tc>
      </w:tr>
      <w:tr w:rsidR="0052394E" w:rsidRPr="0052394E" w14:paraId="59C39171" w14:textId="77777777" w:rsidTr="0052394E">
        <w:trPr>
          <w:trHeight w:val="237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24D44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F1044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F13F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EE506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EB56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1857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FABCD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A5E7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5D79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C7AB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CCDE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396F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46F1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6462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F2C7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A0F0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F36B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1F22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13EBBAD8" w14:textId="77777777" w:rsidTr="0052394E">
        <w:trPr>
          <w:trHeight w:val="237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F7CA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D31D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7EAB0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4DB6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0E0E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1788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AA99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9D79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F558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0E7F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F08D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285A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E534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E7F9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0F2B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BEE7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7DD2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6B717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461064BF" w14:textId="77777777" w:rsidTr="0052394E">
        <w:trPr>
          <w:trHeight w:val="24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BAC5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BF3E1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BE43A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35960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9BE9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1B99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8D32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8AA6DF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D48956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498B55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171761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78CB2B2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3 455,180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542CA1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4 816,000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E4E9FD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50 006,525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957587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6E8D69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D7E571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F280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2F663995" w14:textId="77777777" w:rsidTr="0052394E">
        <w:trPr>
          <w:trHeight w:val="24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F5CE0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EB15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15868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D5FC6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0A05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54B1F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BB0E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C6B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051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572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8EA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6261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D5A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BE4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CF29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A9E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B4B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ED53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2394E" w:rsidRPr="0052394E" w14:paraId="6C1C7CE3" w14:textId="77777777" w:rsidTr="0052394E">
        <w:trPr>
          <w:trHeight w:val="24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BCF2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0837E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55A69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E574A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91D8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AED5B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9386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85D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A483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1A3D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7A05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DE6C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C96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04C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2A8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CF1F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FBF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739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2394E" w:rsidRPr="0052394E" w14:paraId="6975490D" w14:textId="77777777" w:rsidTr="0052394E">
        <w:trPr>
          <w:trHeight w:val="237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FF52C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67010</w:t>
            </w:r>
          </w:p>
        </w:tc>
        <w:tc>
          <w:tcPr>
            <w:tcW w:w="2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D514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Využívání podpořených služeb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3144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D2C8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1F6E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90CA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6DE7205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29 211,000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6D0499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FA4620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05077A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A0B6A2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42F5541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373,825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8A8712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484,170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1094A0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13 417,375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C6A6B4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9A2501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2E87A1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BA1CE5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48,870</w:t>
            </w:r>
          </w:p>
        </w:tc>
      </w:tr>
      <w:tr w:rsidR="0052394E" w:rsidRPr="0052394E" w14:paraId="1FF5442D" w14:textId="77777777" w:rsidTr="0052394E">
        <w:trPr>
          <w:trHeight w:val="237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05E1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5DD6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2AFAA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DFA54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D453E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A2DCB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9591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C1C6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9784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8EB4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5E8D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1695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369D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0A6F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2123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2BD6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9BD7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0640E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32CD63DF" w14:textId="77777777" w:rsidTr="0052394E">
        <w:trPr>
          <w:trHeight w:val="237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52CC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D4354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0D7E5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5F39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4E524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73BA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77F83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A369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C115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15CE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66D0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16E3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E6D5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5FE3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6932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8B6E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CC2E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E311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652164CB" w14:textId="77777777" w:rsidTr="0052394E">
        <w:trPr>
          <w:trHeight w:val="24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D1DC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D3FB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29EE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86158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586B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3DA85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0029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9207E2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E93639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760B37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3D259D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14:paraId="47CE479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373,825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F9CDFD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858,000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0451F1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14 275,375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6C68E3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A4AE48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62D848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304F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60EAA5B6" w14:textId="77777777" w:rsidTr="0052394E">
        <w:trPr>
          <w:trHeight w:val="24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4B86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C24C0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EAE2B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82ED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AD0E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C974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4D14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004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B20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ED3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4510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5C25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DC8B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AF6E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E68C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7C13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2F2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D719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52394E" w:rsidRPr="0052394E" w14:paraId="2CA70999" w14:textId="77777777" w:rsidTr="0052394E">
        <w:trPr>
          <w:trHeight w:val="24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E40F6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EFB6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F0E8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D642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470EF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1616E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BCA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4D0E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EED2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CFD0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5070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BA6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E0A1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D3D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BF37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6C27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0151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611D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</w:tbl>
    <w:p w14:paraId="611CA21B" w14:textId="77777777" w:rsidR="003C2AA4" w:rsidRPr="003C2AA4" w:rsidRDefault="003C2AA4" w:rsidP="00164344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2283DC92" w14:textId="77777777" w:rsidR="003C2AA4" w:rsidRP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lastRenderedPageBreak/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03.2.65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Strategie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komunitně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vedeného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místního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rozvoje</w:t>
      </w:r>
      <w:proofErr w:type="spellEnd"/>
    </w:p>
    <w:tbl>
      <w:tblPr>
        <w:tblW w:w="159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2456"/>
        <w:gridCol w:w="503"/>
        <w:gridCol w:w="1193"/>
        <w:gridCol w:w="815"/>
        <w:gridCol w:w="966"/>
        <w:gridCol w:w="841"/>
        <w:gridCol w:w="802"/>
        <w:gridCol w:w="802"/>
        <w:gridCol w:w="802"/>
        <w:gridCol w:w="802"/>
        <w:gridCol w:w="802"/>
        <w:gridCol w:w="802"/>
        <w:gridCol w:w="802"/>
        <w:gridCol w:w="802"/>
        <w:gridCol w:w="802"/>
        <w:gridCol w:w="802"/>
        <w:gridCol w:w="6"/>
        <w:gridCol w:w="641"/>
      </w:tblGrid>
      <w:tr w:rsidR="0052394E" w:rsidRPr="0052394E" w14:paraId="469B179C" w14:textId="77777777" w:rsidTr="00D1537E">
        <w:trPr>
          <w:trHeight w:val="254"/>
          <w:tblHeader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D66FC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2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4B8A6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C8FBF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ESF / YEI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36B4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6606C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DF7D6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Jednotka měření pro výchozí hodnotu a cíl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9961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01042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C58EB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BF7E7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22C2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51988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13AD2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A378D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1DB9B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2872A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81AC8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6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8358B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</w:t>
            </w:r>
          </w:p>
        </w:tc>
      </w:tr>
      <w:tr w:rsidR="0052394E" w:rsidRPr="0052394E" w14:paraId="67B2786C" w14:textId="77777777" w:rsidTr="00D1537E">
        <w:trPr>
          <w:trHeight w:val="269"/>
          <w:tblHeader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59270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FB990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EB236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7A6D8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9599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FBC10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E9577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2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8E666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BADAC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7DC20BE8" w14:textId="77777777" w:rsidTr="00D1537E">
        <w:trPr>
          <w:trHeight w:val="254"/>
          <w:tblHeader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2B860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81F5A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7AFCB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FA808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E17F8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A4F80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8A323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227540C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9D0447F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5E0AACE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705858B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9E0DDC5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2A891DA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7F0366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5630D7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407789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DAA698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6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F9272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39A72BD4" w14:textId="77777777" w:rsidTr="00D1537E">
        <w:trPr>
          <w:trHeight w:val="254"/>
          <w:tblHeader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FC416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23CC2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C43C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1D88A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CD617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ED6D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A237F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0A21D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830B8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1B1D3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FC13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46BD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90F0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2AB8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A488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D6CFD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AE8C0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FC221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6207A42F" w14:textId="77777777" w:rsidTr="00D1537E">
        <w:trPr>
          <w:trHeight w:val="254"/>
          <w:tblHeader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93490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25C44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A8262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8AFBD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A99BC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8A45B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5EF7B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112E8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F243A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D85A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D6DE6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DF1AA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CC9D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74692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B1B3F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0E8F2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57A70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6D6B4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5B41BDC1" w14:textId="77777777" w:rsidTr="00D1537E">
        <w:trPr>
          <w:trHeight w:val="254"/>
          <w:tblHeader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29562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9C989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56D0D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5753A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EDBF4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90E15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E31F0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2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EBD33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</w:t>
            </w: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D0E7E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02098C05" w14:textId="77777777" w:rsidTr="00D1537E">
        <w:trPr>
          <w:trHeight w:val="246"/>
          <w:tblHeader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987FB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26D1E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0F5EF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7AA16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50D26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627B9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64EB188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3FD99A0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2FB8C8E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74C001F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9AD8B9D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1D1E485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C389E08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31358F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849078B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4B35D73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014EB95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D9E6EB3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</w:tr>
      <w:tr w:rsidR="0052394E" w:rsidRPr="0052394E" w14:paraId="5C5ABECE" w14:textId="77777777" w:rsidTr="00D1537E">
        <w:trPr>
          <w:trHeight w:val="254"/>
          <w:tblHeader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D4567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C52FF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8AB33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C7D99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B27A8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D200B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2E878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CE5FE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FF3B2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4C3C0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64F5D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F843B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09AB6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BF257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CAC4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8F96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3D630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CB43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</w:tr>
      <w:tr w:rsidR="0052394E" w:rsidRPr="0052394E" w14:paraId="139E0D97" w14:textId="77777777" w:rsidTr="00D1537E">
        <w:trPr>
          <w:trHeight w:val="254"/>
          <w:tblHeader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6C559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9903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3CBFA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4FF07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874C7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4C9D7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004E4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852C0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B8B3C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93D76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7A856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1EE97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B00BB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7D2BD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C571B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6745D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AC72F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84723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</w:tr>
      <w:tr w:rsidR="0052394E" w:rsidRPr="0052394E" w14:paraId="4A414A9D" w14:textId="77777777" w:rsidTr="0052394E">
        <w:trPr>
          <w:trHeight w:val="246"/>
        </w:trPr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C27B5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67010</w:t>
            </w:r>
          </w:p>
        </w:tc>
        <w:tc>
          <w:tcPr>
            <w:tcW w:w="24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C1A0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Využívání podpořených služeb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F5F2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12DA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09CF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3020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6902A7C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4 410,000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5EA7AD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F77813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6A5FA0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8756B2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59,000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B9BBE9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350,000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0EC369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5 065,000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0F8445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5 819,000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F62512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9D07B7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E1D81E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D0CAC7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256,077</w:t>
            </w:r>
          </w:p>
        </w:tc>
      </w:tr>
      <w:tr w:rsidR="0052394E" w:rsidRPr="0052394E" w14:paraId="706FA877" w14:textId="77777777" w:rsidTr="0052394E">
        <w:trPr>
          <w:trHeight w:val="246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D84CC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05CBF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6F085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EE4B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BA144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8DE1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D846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C5D8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CAC4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A0E6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6C9B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4BAC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E73E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2532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D6D1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DF3D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0C16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78194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3B17D52C" w14:textId="77777777" w:rsidTr="0052394E">
        <w:trPr>
          <w:trHeight w:val="246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EC2F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B0AC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CA185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582F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E667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DE58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B676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9A6F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72A7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433A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E582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8726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A007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F777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6111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9FCD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49B8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F082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651E0608" w14:textId="77777777" w:rsidTr="0052394E">
        <w:trPr>
          <w:trHeight w:val="254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9C42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653A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84C8F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1EC9F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376DA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5DCB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FF09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1DD30C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DA572C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F30008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F90E72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59,000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50182A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409,000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5FE7B0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5 474,000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EC2185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11 293,000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72C1A1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1F2D54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BEDD41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E96D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57B82AA5" w14:textId="77777777" w:rsidTr="0052394E">
        <w:trPr>
          <w:trHeight w:val="254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A3CC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A1F9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79DAE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F0EC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7D49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23AA4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9391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F2CF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E1B1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1FCC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135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E18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5A14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810B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5BE5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715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DE17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570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52394E" w:rsidRPr="0052394E" w14:paraId="15860473" w14:textId="77777777" w:rsidTr="0052394E">
        <w:trPr>
          <w:trHeight w:val="254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8DA2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4E3D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50C9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BFD44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F1A6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3E7B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DF1B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F9C5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07A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78AA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ED00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E9E1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B4A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8AF7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0A22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8986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BFED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39E7" w14:textId="6A1C4A8F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</w:tbl>
    <w:p w14:paraId="266CA94D" w14:textId="77777777" w:rsidR="003C2AA4" w:rsidRPr="003C2AA4" w:rsidRDefault="003C2AA4" w:rsidP="00164344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31A7B3D5" w14:textId="77777777" w:rsidR="003C2AA4" w:rsidRP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03.3.48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Přístup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k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osoby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hledající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neaktivní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osoby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dlouhodobě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nezaměstnaných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gramStart"/>
      <w:r w:rsidRPr="003C2AA4">
        <w:rPr>
          <w:rFonts w:ascii="Arial" w:eastAsia="Arial" w:hAnsi="Arial" w:cs="Arial"/>
          <w:color w:val="000000"/>
          <w:sz w:val="20"/>
        </w:rPr>
        <w:t>a</w:t>
      </w:r>
      <w:proofErr w:type="gram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osob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vzdálených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trhu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také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prostřednictvím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místních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iniciativ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podporu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zaměstnanosti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mobility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pracovníků</w:t>
      </w:r>
      <w:proofErr w:type="spellEnd"/>
    </w:p>
    <w:tbl>
      <w:tblPr>
        <w:tblW w:w="158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2437"/>
        <w:gridCol w:w="500"/>
        <w:gridCol w:w="1183"/>
        <w:gridCol w:w="856"/>
        <w:gridCol w:w="960"/>
        <w:gridCol w:w="743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13"/>
        <w:gridCol w:w="626"/>
      </w:tblGrid>
      <w:tr w:rsidR="0052394E" w:rsidRPr="0052394E" w14:paraId="1EF2A218" w14:textId="77777777" w:rsidTr="00D1537E">
        <w:trPr>
          <w:trHeight w:val="242"/>
          <w:tblHeader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AF32E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00E52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214C3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ESF / YEI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366CA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B2714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6FFFD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Jednotka měření pro výchozí hodnotu a cíl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73898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2F516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12CFA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7407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03626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A1677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C91B8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F2C6A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7BFEA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A52F2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CC6B6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001D2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</w:t>
            </w:r>
          </w:p>
        </w:tc>
      </w:tr>
      <w:tr w:rsidR="0052394E" w:rsidRPr="0052394E" w14:paraId="49ADAD8C" w14:textId="77777777" w:rsidTr="00D1537E">
        <w:trPr>
          <w:trHeight w:val="242"/>
          <w:tblHeader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12D29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E71CF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EBF7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92D70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0D8D5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B5797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C3192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66F4C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8BED5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60349694" w14:textId="77777777" w:rsidTr="00D1537E">
        <w:trPr>
          <w:trHeight w:val="227"/>
          <w:tblHeader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7A83B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A724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1E367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D994C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EB8E7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8238C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8A372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6935AB4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E0B82D4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AA6FE3F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3747ADA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699A70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FA8B8D6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6C7E41B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D8684C0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C9F8247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E55D767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55CC3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723F601D" w14:textId="77777777" w:rsidTr="00D1537E">
        <w:trPr>
          <w:trHeight w:val="242"/>
          <w:tblHeader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1A1C7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82C5A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A6976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CBBF2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2F1DC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52837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48EAA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1CA93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559CC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2AC44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79FA5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448D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B6062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D683E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4E7CA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D255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E8F90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650D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5942AFEC" w14:textId="77777777" w:rsidTr="00D1537E">
        <w:trPr>
          <w:trHeight w:val="242"/>
          <w:tblHeader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721D0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8E3FC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EEF98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A8B23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88D4B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125F9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AB659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2359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EEA14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6BD48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85FF5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5E398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8EA6D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64EE3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D148A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99CD7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2D27B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15B27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27CABD56" w14:textId="77777777" w:rsidTr="00D1537E">
        <w:trPr>
          <w:trHeight w:val="242"/>
          <w:tblHeader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3E462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D7E7D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A30B1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AC161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98039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910AE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B45B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0FC66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</w:t>
            </w: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F99C4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0F25B4E0" w14:textId="77777777" w:rsidTr="00D1537E">
        <w:trPr>
          <w:trHeight w:val="257"/>
          <w:tblHeader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E4A82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D34E5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2FC9A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15765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2810D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B4E0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900D775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0567480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FC039E7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C7A1FDF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4257664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C3BC60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C27C883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D44339D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C7CE8C6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EFACC7E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683F270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EF8857C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</w:tr>
      <w:tr w:rsidR="0052394E" w:rsidRPr="0052394E" w14:paraId="32549ED8" w14:textId="77777777" w:rsidTr="00D1537E">
        <w:trPr>
          <w:trHeight w:val="242"/>
          <w:tblHeader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8AC26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0FF2D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A453B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A0C8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AE2EA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FDEB6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FAC54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305E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664A2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F5C0B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AC686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EC2D2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4B85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101CE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EFCA7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F4AB7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2233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E2C4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</w:tr>
      <w:tr w:rsidR="0052394E" w:rsidRPr="0052394E" w14:paraId="6C1170ED" w14:textId="77777777" w:rsidTr="00D1537E">
        <w:trPr>
          <w:trHeight w:val="242"/>
          <w:tblHeader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E8727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3D656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25BC3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71C5C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7CB11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61640" w14:textId="77777777" w:rsidR="0052394E" w:rsidRPr="0052394E" w:rsidRDefault="0052394E" w:rsidP="0052394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0959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814A2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C3CAD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0B10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472C6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3DADC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02E52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DD821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949BF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F0379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4FFB0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1EEC2" w14:textId="77777777" w:rsidR="0052394E" w:rsidRPr="0052394E" w:rsidRDefault="0052394E" w:rsidP="0052394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</w:tr>
      <w:tr w:rsidR="0052394E" w:rsidRPr="0052394E" w14:paraId="23B7C880" w14:textId="77777777" w:rsidTr="0052394E">
        <w:trPr>
          <w:trHeight w:val="235"/>
        </w:trPr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6160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67110</w:t>
            </w:r>
          </w:p>
        </w:tc>
        <w:tc>
          <w:tcPr>
            <w:tcW w:w="24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7F3F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podpůrných institucí, které fungují i po ukončení podpory</w:t>
            </w: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73A7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A210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1B57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Organizace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AE78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2BA1DFD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C15303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3E7AA8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985393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6F17DE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976D48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EC3932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FF06EC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5D6593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B29E1D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0CA7BF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230220F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52394E" w:rsidRPr="0052394E" w14:paraId="6C4CBDFF" w14:textId="77777777" w:rsidTr="0052394E">
        <w:trPr>
          <w:trHeight w:val="235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939A6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96912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4C0A3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0D9E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23C79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D85F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F9037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7931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2106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B0FD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C54B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B02F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D9BB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AA69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6187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67C9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7103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4DF0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6CC94C4B" w14:textId="77777777" w:rsidTr="0052394E">
        <w:trPr>
          <w:trHeight w:val="235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1D12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61A63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1D4F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494F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92FA1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1B0C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36B8D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F3E4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4AF3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1A14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4D64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DC93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E532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99E4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A7EE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2839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DEEA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A21A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4C4F00F8" w14:textId="77777777" w:rsidTr="0052394E">
        <w:trPr>
          <w:trHeight w:val="242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0D08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CCD1D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9AF62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E3162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6C9E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BE7E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CB511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2F3D67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F76B87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89094F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DAF7D6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069CE2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617695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B30218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0829DA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DE7855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5F3E4E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A13A8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3D068B09" w14:textId="77777777" w:rsidTr="0052394E">
        <w:trPr>
          <w:trHeight w:val="242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E4FF3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1FA1A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9076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E4A7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CAD9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BA62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250D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B30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183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AA5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3DA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F16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B55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7E9A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B5D8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EB9F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0F0A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C174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2394E" w:rsidRPr="0052394E" w14:paraId="3FFFEFC1" w14:textId="77777777" w:rsidTr="0052394E">
        <w:trPr>
          <w:trHeight w:val="242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0BC9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01BB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4F98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6728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14D19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9E6F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AD9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425D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9A9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FECF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B6D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0F0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E415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E45E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B27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3E0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27E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737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2394E" w:rsidRPr="0052394E" w14:paraId="3BD8ACDE" w14:textId="77777777" w:rsidTr="0052394E">
        <w:trPr>
          <w:trHeight w:val="235"/>
        </w:trPr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D902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67110</w:t>
            </w:r>
          </w:p>
        </w:tc>
        <w:tc>
          <w:tcPr>
            <w:tcW w:w="24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1497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podpůrných institucí, které fungují i po ukončení podpory</w:t>
            </w: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B633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B30A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5EBB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Organizace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12AD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05C5660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0E6FD6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894CF8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FEA703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FDF00A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9292CB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BA5096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56577C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0AFCC5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33F7D1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5AF113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3833F20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</w:tr>
      <w:tr w:rsidR="0052394E" w:rsidRPr="0052394E" w14:paraId="20EA30EE" w14:textId="77777777" w:rsidTr="0052394E">
        <w:trPr>
          <w:trHeight w:val="235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6C8E9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A673A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AF5D6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F2EC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D36E5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3E350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5844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10BE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2BB3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60BF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5154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D76B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0405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13F2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12E3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796E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5E7D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2C634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2FB73CBC" w14:textId="77777777" w:rsidTr="0052394E">
        <w:trPr>
          <w:trHeight w:val="235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3D78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0314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80605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FBDB3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6AED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F503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5387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985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78E5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D099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6635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DC6E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3DAD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F44F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6AAC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25A5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1022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6CEC7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752AB2A9" w14:textId="77777777" w:rsidTr="0052394E">
        <w:trPr>
          <w:trHeight w:val="242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A1CD0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43E32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6F40C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15607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23BD2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1D6DD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0BD30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0ABB26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5E7BA6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5E64C7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F0F7B2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FF40A1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033F16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3C1604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C97456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24F6B4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BD4107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84E2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134543F2" w14:textId="77777777" w:rsidTr="0052394E">
        <w:trPr>
          <w:trHeight w:val="242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14F9B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C2F0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5FC9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6EE0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35D0C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7BE3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8D58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3EFC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D84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8D0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651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0BF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392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C52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8A0B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739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18A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084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2394E" w:rsidRPr="0052394E" w14:paraId="673BC09F" w14:textId="77777777" w:rsidTr="0052394E">
        <w:trPr>
          <w:trHeight w:val="242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C69D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434A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E5515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F8DC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9E736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D9F5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A88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B17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1125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C9C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29A9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240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D9DD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E791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0B3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49F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D60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FBF5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2394E" w:rsidRPr="0052394E" w14:paraId="07DDFCCC" w14:textId="77777777" w:rsidTr="0052394E">
        <w:trPr>
          <w:trHeight w:val="235"/>
        </w:trPr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97C0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69410</w:t>
            </w:r>
          </w:p>
        </w:tc>
        <w:tc>
          <w:tcPr>
            <w:tcW w:w="24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945A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</w:t>
            </w:r>
            <w:proofErr w:type="spellStart"/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zvalidovaných</w:t>
            </w:r>
            <w:proofErr w:type="spellEnd"/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experimentálních či kvazi-experimentálních ověření nových nástrojů</w:t>
            </w: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221C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6069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8878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Ověření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445B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41E3917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250522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E6D814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A05877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129BD4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94E8AA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52933C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2,060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8B44BB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2,755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7C9469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FA678B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0718DC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7F58AC7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43,773</w:t>
            </w:r>
          </w:p>
        </w:tc>
      </w:tr>
      <w:tr w:rsidR="0052394E" w:rsidRPr="0052394E" w14:paraId="50FBF7CE" w14:textId="77777777" w:rsidTr="0052394E">
        <w:trPr>
          <w:trHeight w:val="235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7D96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9B2BB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E8DE4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A418B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4226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8BD0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38C02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0C01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5C1A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28C8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578E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CCED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74D5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FEB6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5FF8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860F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CC0C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7CF62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1592753A" w14:textId="77777777" w:rsidTr="0052394E">
        <w:trPr>
          <w:trHeight w:val="235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5E782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34FDC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7EA4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E431E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AA80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EC26C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84FC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A251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DD75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B2BB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85EF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0547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63E0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6DE6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FB87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38D6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4BE3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1883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0331FABC" w14:textId="77777777" w:rsidTr="0052394E">
        <w:trPr>
          <w:trHeight w:val="242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A7F91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C3BC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E194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FBDC6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35D0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551F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6BBA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3C9318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87F109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DAC624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943D79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AB2E83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C8270F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2,060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333E95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4,815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98B073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59FCE5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EBB12B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CA5BD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526D5133" w14:textId="77777777" w:rsidTr="0052394E">
        <w:trPr>
          <w:trHeight w:val="242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CB78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CA20A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33FE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C7FC7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CBF2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D893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F0C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8D5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042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1BCF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07F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17D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A5F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6F54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EC1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C5B7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81E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782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2394E" w:rsidRPr="0052394E" w14:paraId="0D1BBA80" w14:textId="77777777" w:rsidTr="0052394E">
        <w:trPr>
          <w:trHeight w:val="242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D0F3F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2CD7F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5511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54BC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9807D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72F14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EB63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02C4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554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7EC3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F0A1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396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EC3F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C65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89C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15F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BB46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15A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2394E" w:rsidRPr="0052394E" w14:paraId="05FDD9B9" w14:textId="77777777" w:rsidTr="0052394E">
        <w:trPr>
          <w:trHeight w:val="235"/>
        </w:trPr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E817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69410</w:t>
            </w:r>
          </w:p>
        </w:tc>
        <w:tc>
          <w:tcPr>
            <w:tcW w:w="24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9783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</w:t>
            </w:r>
            <w:proofErr w:type="spellStart"/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zvalidovaných</w:t>
            </w:r>
            <w:proofErr w:type="spellEnd"/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experimentálních či kvazi-experimentálních ověření nových nástrojů</w:t>
            </w: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5A2A1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CF3B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ED60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Ověření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4970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11F2463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67BF2E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C21B89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4B2852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FAB8B1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3034A8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04F8D0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0,280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6E28A9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0,365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BEC2B3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E42745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676BAAC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23E43CD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64,500</w:t>
            </w:r>
          </w:p>
        </w:tc>
      </w:tr>
      <w:tr w:rsidR="0052394E" w:rsidRPr="0052394E" w14:paraId="6C8A2726" w14:textId="77777777" w:rsidTr="0052394E">
        <w:trPr>
          <w:trHeight w:val="235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63FB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17EB9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6911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EA16D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A57D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88E65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96E8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1D92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3A7B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62AC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4654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DD264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D4DB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B94B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5EB0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6599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8AF6E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DEEF2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20F5D08B" w14:textId="77777777" w:rsidTr="0052394E">
        <w:trPr>
          <w:trHeight w:val="235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CD79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B870C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CBA52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CF7E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0490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CEEDD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86DF1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A5A8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03567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D7F2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46AC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19CE0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C20E1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639F9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ABDF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611D5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6EA33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D38DD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564F0E04" w14:textId="77777777" w:rsidTr="0052394E">
        <w:trPr>
          <w:trHeight w:val="242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4E312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051A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0A2FA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D27FA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789BD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F3CFB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D333A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771C95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346CEF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E800126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FB8FA08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65CB5A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DB2DDED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0,280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1F8C7C2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0,645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0141E4A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EDADB4B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D1BB7FF" w14:textId="77777777" w:rsidR="0052394E" w:rsidRPr="0052394E" w:rsidRDefault="0052394E" w:rsidP="0052394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6E6CC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2394E" w:rsidRPr="0052394E" w14:paraId="375344A6" w14:textId="77777777" w:rsidTr="0052394E">
        <w:trPr>
          <w:trHeight w:val="242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D98A7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2D1D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595602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45855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18134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A91E2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AC4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D535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78E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18A7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99D3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4AB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BC1AA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194A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0110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DF6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A81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37319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52394E" w:rsidRPr="0052394E" w14:paraId="2D4578E9" w14:textId="77777777" w:rsidTr="0052394E">
        <w:trPr>
          <w:trHeight w:val="242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D617C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1188F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0716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CB580D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DF09E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4CE04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0499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41366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91F5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82E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0AF67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5EF2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40123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C5315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55BF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269D0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219D8" w14:textId="77777777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63FAD" w14:textId="5075FA3E" w:rsidR="0052394E" w:rsidRPr="0052394E" w:rsidRDefault="0052394E" w:rsidP="0052394E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52394E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</w:tbl>
    <w:p w14:paraId="3E020BEF" w14:textId="373A1727" w:rsidR="003C2AA4" w:rsidRDefault="003C2AA4" w:rsidP="00D1537E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4A9708D0" w14:textId="1F39DEA5" w:rsidR="00D1537E" w:rsidRDefault="00D1537E" w:rsidP="00D1537E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0A1F1392" w14:textId="653E8148" w:rsidR="00D1537E" w:rsidRDefault="00D1537E" w:rsidP="00D1537E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29F29EAB" w14:textId="5BBDD518" w:rsidR="00D1537E" w:rsidRDefault="00D1537E" w:rsidP="00D1537E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1CA4E4CB" w14:textId="7CEA08DF" w:rsidR="00D1537E" w:rsidRDefault="00D1537E" w:rsidP="00D1537E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39635E01" w14:textId="341A241B" w:rsidR="00D1537E" w:rsidRDefault="00D1537E" w:rsidP="00D1537E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69E7EE2E" w14:textId="01A95AC4" w:rsidR="00D1537E" w:rsidRDefault="00D1537E" w:rsidP="00D1537E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590BD4F0" w14:textId="35F4DCD2" w:rsidR="00D1537E" w:rsidRDefault="00D1537E" w:rsidP="00D1537E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0DC83D3B" w14:textId="55E1CB36" w:rsidR="00D1537E" w:rsidRDefault="00D1537E" w:rsidP="00D1537E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523DBB18" w14:textId="77777777" w:rsidR="00D1537E" w:rsidRPr="003C2AA4" w:rsidRDefault="00D1537E" w:rsidP="00D1537E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6F90AAD2" w14:textId="77777777" w:rsidR="003C2AA4" w:rsidRP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lastRenderedPageBreak/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03.3.60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Aktivní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začleňování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začleňování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s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ohledem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podporu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rovných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příležitostí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gramStart"/>
      <w:r w:rsidRPr="003C2AA4">
        <w:rPr>
          <w:rFonts w:ascii="Arial" w:eastAsia="Arial" w:hAnsi="Arial" w:cs="Arial"/>
          <w:color w:val="000000"/>
          <w:sz w:val="20"/>
        </w:rPr>
        <w:t>a</w:t>
      </w:r>
      <w:proofErr w:type="gram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aktivní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účast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zlepšení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zaměstnatelnosti</w:t>
      </w:r>
      <w:proofErr w:type="spellEnd"/>
    </w:p>
    <w:tbl>
      <w:tblPr>
        <w:tblW w:w="15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2499"/>
        <w:gridCol w:w="506"/>
        <w:gridCol w:w="1202"/>
        <w:gridCol w:w="856"/>
        <w:gridCol w:w="971"/>
        <w:gridCol w:w="743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9"/>
        <w:gridCol w:w="630"/>
      </w:tblGrid>
      <w:tr w:rsidR="00C57E2B" w:rsidRPr="00C57E2B" w14:paraId="692F7271" w14:textId="77777777" w:rsidTr="00D1537E">
        <w:trPr>
          <w:trHeight w:val="241"/>
          <w:tblHeader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C4100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64F81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4CBAD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ESF / YEI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66E1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A0B59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22880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Jednotka měření pro výchozí hodnotu a cíl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8A82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84227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EA56A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CA5C7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0AE11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295DE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C61B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E14FA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7B70D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64DD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5A61F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6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2CBC2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</w:t>
            </w:r>
          </w:p>
        </w:tc>
      </w:tr>
      <w:tr w:rsidR="00C57E2B" w:rsidRPr="00C57E2B" w14:paraId="6C55E794" w14:textId="77777777" w:rsidTr="00D1537E">
        <w:trPr>
          <w:trHeight w:val="241"/>
          <w:tblHeader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65642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7F7D9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BF973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DA4C4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6D3F0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D64C5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B774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DA778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87A0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7BD76F0C" w14:textId="77777777" w:rsidTr="00D1537E">
        <w:trPr>
          <w:trHeight w:val="226"/>
          <w:tblHeader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20C88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78950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B759D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BE0AE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7391F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71FCD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B9E2B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25F8EE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6FAA929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93850ED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085756F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AF6D4ED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A536B61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D4B35A5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955A069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4F788B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7452455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6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FA5C6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12491B9E" w14:textId="77777777" w:rsidTr="00D1537E">
        <w:trPr>
          <w:trHeight w:val="241"/>
          <w:tblHeader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C2290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6A3E3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A106F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54B6A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FA39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E38F3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B6666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3F94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FB2D2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C16CD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3A1B2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F00BC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BE252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63C35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07D9D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FF15D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B440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E29DE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70826D86" w14:textId="77777777" w:rsidTr="00D1537E">
        <w:trPr>
          <w:trHeight w:val="241"/>
          <w:tblHeader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53A84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2A3AE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E403A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2A7C5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AFAF9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AE418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D4B0F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525DC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A5797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F2090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0EC9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0F9C7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B257A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99F8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9A83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79D0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FD4DC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5C20E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08402F7D" w14:textId="77777777" w:rsidTr="00D1537E">
        <w:trPr>
          <w:trHeight w:val="241"/>
          <w:tblHeader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090BC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D5B3B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1C597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625EB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99025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CB3B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096F0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B3C73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</w:t>
            </w: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AB149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138456A2" w14:textId="77777777" w:rsidTr="00D1537E">
        <w:trPr>
          <w:trHeight w:val="226"/>
          <w:tblHeader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A8C87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DE0C7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DB94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899D4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2246B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C04E0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D33BD59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4F3CD1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8107379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A2AF407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CE068D0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821DD3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6303ECE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3E624AD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F19D165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C82F3A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6C9E69F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AA127E4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</w:tr>
      <w:tr w:rsidR="00C57E2B" w:rsidRPr="00C57E2B" w14:paraId="166D74F2" w14:textId="77777777" w:rsidTr="00D1537E">
        <w:trPr>
          <w:trHeight w:val="241"/>
          <w:tblHeader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C419E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E3027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A1544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ECE63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6907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A332B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9DB99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7AC3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46030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AC0A5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D3E0D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26539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1EFC9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8AEB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35AE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32123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B380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0FED7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</w:tr>
      <w:tr w:rsidR="00C57E2B" w:rsidRPr="00C57E2B" w14:paraId="5A9A8F62" w14:textId="77777777" w:rsidTr="00D1537E">
        <w:trPr>
          <w:trHeight w:val="241"/>
          <w:tblHeader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C1EB1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2174F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51594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9BBDD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8D2BF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AB7A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422BE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58813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20B74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E5713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F705C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647F3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2F68A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8EDFE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EE54A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F34AD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4C72A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9428A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</w:tr>
      <w:tr w:rsidR="00C57E2B" w:rsidRPr="00C57E2B" w14:paraId="0BBA4060" w14:textId="77777777" w:rsidTr="00C57E2B">
        <w:trPr>
          <w:trHeight w:val="234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B87F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67110</w:t>
            </w:r>
          </w:p>
        </w:tc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C78C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podpůrných institucí, které fungují i po ukončení podpory</w:t>
            </w:r>
          </w:p>
        </w:tc>
        <w:tc>
          <w:tcPr>
            <w:tcW w:w="5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361C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A311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ACCB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Organizace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CAF0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41C4310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E99D97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F37C69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9C9DF4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087738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7678F2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AEBC33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1AC86B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2BA139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78E8FA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328CC1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1F293A9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C57E2B" w:rsidRPr="00C57E2B" w14:paraId="1BE85563" w14:textId="77777777" w:rsidTr="00C57E2B">
        <w:trPr>
          <w:trHeight w:val="23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44643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5547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45515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D47F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DFF9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3BE5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39F22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AFD1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BFCB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A495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C75E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3A7E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D67B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FC72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89C9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CB40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2988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1564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6A2B6180" w14:textId="77777777" w:rsidTr="00C57E2B">
        <w:trPr>
          <w:trHeight w:val="23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207E2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440B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8355D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0FD2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7BEDF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6380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7FA5E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C6E7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6225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F76E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0A6C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BD31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F457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9EEE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FF97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28F1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75F8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8D4E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79A083F7" w14:textId="77777777" w:rsidTr="00C57E2B">
        <w:trPr>
          <w:trHeight w:val="241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85A5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BDC81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B10A9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EF472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895AE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71A23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69F93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889B06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540627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20D3D6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0FA572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EEEB4B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697646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8F401A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3EF217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7E3402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421BA7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FA4E7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7928589F" w14:textId="77777777" w:rsidTr="00C57E2B">
        <w:trPr>
          <w:trHeight w:val="241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3940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83207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1777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0918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6ADF1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CB43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8E5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1F3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3E0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078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AB5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93EF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2389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1DA0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7BA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2EDE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1CF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9622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47E8EBA1" w14:textId="77777777" w:rsidTr="00C57E2B">
        <w:trPr>
          <w:trHeight w:val="241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DCCAC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B968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B4E6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C961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61D0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4BCB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4EE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719D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B3A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30B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998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86B1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673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8D5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17F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99AD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3AF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0DA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5CC9D47E" w14:textId="77777777" w:rsidTr="00C57E2B">
        <w:trPr>
          <w:trHeight w:val="234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4542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67110</w:t>
            </w:r>
          </w:p>
        </w:tc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D661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podpůrných institucí, které fungují i po ukončení podpory</w:t>
            </w:r>
          </w:p>
        </w:tc>
        <w:tc>
          <w:tcPr>
            <w:tcW w:w="5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3295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6FC3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7FBD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Organizace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44F5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7585F68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F4FA58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D8E426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597184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08B3CF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8AF0CE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E8FAC3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8CEF58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6AE085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D82082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080B71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14FD845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</w:tr>
      <w:tr w:rsidR="00C57E2B" w:rsidRPr="00C57E2B" w14:paraId="5512C7EB" w14:textId="77777777" w:rsidTr="00C57E2B">
        <w:trPr>
          <w:trHeight w:val="23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9C10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F594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2FC41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81958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1E4E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6B39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E409C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92A4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6FA9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78FB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1A07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6FE6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9ABB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CD16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A8BD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2FFF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23FD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A7A28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6DC36965" w14:textId="77777777" w:rsidTr="00C57E2B">
        <w:trPr>
          <w:trHeight w:val="23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C690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A5DF2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6F8C9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0CB5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352CE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7AC0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E43E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0E9A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1D1D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B005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8D30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4DA6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BB55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8206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09EF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F010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77C8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C2159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016AA342" w14:textId="77777777" w:rsidTr="00C57E2B">
        <w:trPr>
          <w:trHeight w:val="241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F273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0A65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9984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D43C6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1F110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DCA41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90C85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E61ED9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DE3D69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8ABABC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CE8E99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E566E4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4D219A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B2FC10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20C6EA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1FDB8F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DAE7DD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1EFA0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2004D85D" w14:textId="77777777" w:rsidTr="00C57E2B">
        <w:trPr>
          <w:trHeight w:val="241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05BDB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4D06A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517F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74929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29092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18DB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5755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2C99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A66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B986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1AEB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83E0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72E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F81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60B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B00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2CB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D641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3F16900D" w14:textId="77777777" w:rsidTr="00C57E2B">
        <w:trPr>
          <w:trHeight w:val="241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ED28B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113B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EDFF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02402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3C79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ED119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EC5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32D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857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08BC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0730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9531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5961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9A9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AA2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8A1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827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1CC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0CCA68CE" w14:textId="77777777" w:rsidTr="00C57E2B">
        <w:trPr>
          <w:trHeight w:val="234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11E8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69410</w:t>
            </w:r>
          </w:p>
        </w:tc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C4E9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</w:t>
            </w:r>
            <w:proofErr w:type="spellStart"/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zvalidovaných</w:t>
            </w:r>
            <w:proofErr w:type="spellEnd"/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experimentálních či kvazi-experimentálních ověření nových nástrojů</w:t>
            </w:r>
          </w:p>
        </w:tc>
        <w:tc>
          <w:tcPr>
            <w:tcW w:w="5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10B1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36FB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06FD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Ověření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FF1E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00AF565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18F853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9F691B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34196D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643884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7CFAFA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593A6A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2,330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C6CA1C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3,101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E87B5C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7553C4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BF6575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481A60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49,373</w:t>
            </w:r>
          </w:p>
        </w:tc>
      </w:tr>
      <w:tr w:rsidR="00C57E2B" w:rsidRPr="00C57E2B" w14:paraId="4A1A3749" w14:textId="77777777" w:rsidTr="00C57E2B">
        <w:trPr>
          <w:trHeight w:val="23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2364A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D92EE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E89A9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FBB2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3B52E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E9622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76F5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87D5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DF0D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D276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E205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C909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3AD8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5B2A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3352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B623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3257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91A95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034BAB7F" w14:textId="77777777" w:rsidTr="00C57E2B">
        <w:trPr>
          <w:trHeight w:val="23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7CCB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4DF6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FBF76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4EAA4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E6E51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F097C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A712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394D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12A3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D1F1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E045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9D27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C6DB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A8FD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D6DC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8F4A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EC5E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BB00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14DA6DDF" w14:textId="77777777" w:rsidTr="00C57E2B">
        <w:trPr>
          <w:trHeight w:val="241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EE32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5D3BF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D259A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C6FC1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2671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9713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903A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58D02B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DAE0E6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96B832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C931AD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279F30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B6E8CC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2,330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B1C3BC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5,431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52F5BE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4E56F6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0EEBA8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5877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6DE0EF8C" w14:textId="77777777" w:rsidTr="00C57E2B">
        <w:trPr>
          <w:trHeight w:val="241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5B9B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A34FB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358BE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45D6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BF2AE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DCCF1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12E4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FE8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89B5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D2C6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61A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35A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6C4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BE2B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6408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788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501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8BF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46837AD5" w14:textId="77777777" w:rsidTr="00C57E2B">
        <w:trPr>
          <w:trHeight w:val="241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2BAE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82EA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83234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EDF7E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BEB9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9490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AD1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28D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746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38B6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DAA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F57B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DF6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8421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B633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E59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AD5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6B46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0DEAC2B4" w14:textId="77777777" w:rsidTr="00C57E2B">
        <w:trPr>
          <w:trHeight w:val="234"/>
        </w:trPr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C05A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69410</w:t>
            </w:r>
          </w:p>
        </w:tc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2EF4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</w:t>
            </w:r>
            <w:proofErr w:type="spellStart"/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zvalidovaných</w:t>
            </w:r>
            <w:proofErr w:type="spellEnd"/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experimentálních či kvazi-experimentálních ověření nových nástrojů</w:t>
            </w:r>
          </w:p>
        </w:tc>
        <w:tc>
          <w:tcPr>
            <w:tcW w:w="5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2556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2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4203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5EF1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Ověření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16BB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23FF289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EC44CF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BCA91F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54E03C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CF39D5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8E9023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E0663A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0,310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62AB51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0,416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F71497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81CDAA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5FC68B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6F4A3BF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36,300</w:t>
            </w:r>
          </w:p>
        </w:tc>
      </w:tr>
      <w:tr w:rsidR="00C57E2B" w:rsidRPr="00C57E2B" w14:paraId="6BBB62AF" w14:textId="77777777" w:rsidTr="00C57E2B">
        <w:trPr>
          <w:trHeight w:val="23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3C3CC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F33E8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B3BF4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D002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BB7BF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045A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C8F4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1637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0DF4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2C95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1DB1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E600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6337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08CE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9863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F4DE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BF02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9F22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620E774D" w14:textId="77777777" w:rsidTr="00C57E2B">
        <w:trPr>
          <w:trHeight w:val="234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5CD5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3162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60C6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64EF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F3BA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8F85A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071C4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59E8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E56E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819C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0F27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32BB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07C1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6821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A45A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E536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2AAC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E60A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6F3CDB34" w14:textId="77777777" w:rsidTr="00C57E2B">
        <w:trPr>
          <w:trHeight w:val="241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03AB4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D8DC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C4780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DD75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7A4DE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BDDC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7F7F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301261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E1FD66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6717CF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AD4157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548CBE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4C41E6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0,310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2D0724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0,726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1BCBB2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063905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6A5690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AB19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49C46329" w14:textId="77777777" w:rsidTr="00C57E2B">
        <w:trPr>
          <w:trHeight w:val="241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24DC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FB1A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300B8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6C6B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71DBF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0F7F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7E2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8F22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239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7A3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CE2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261C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885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DC3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AC4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F80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767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71E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146AE05A" w14:textId="77777777" w:rsidTr="00C57E2B">
        <w:trPr>
          <w:trHeight w:val="241"/>
        </w:trPr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CEBF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64FC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7F83B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EC2DE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AA333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7B8A3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2338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89D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73DF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1BA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2562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C04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40C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FC2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3CA5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6922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73B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AD4A" w14:textId="000A7F2D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</w:tbl>
    <w:p w14:paraId="74D7F283" w14:textId="77777777" w:rsidR="003C2AA4" w:rsidRPr="003C2AA4" w:rsidRDefault="003C2AA4" w:rsidP="00D1537E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1B7F814E" w14:textId="77777777" w:rsidR="003C2AA4" w:rsidRP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lastRenderedPageBreak/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03.3.74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do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institucionální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kapacity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gramStart"/>
      <w:r w:rsidRPr="003C2AA4">
        <w:rPr>
          <w:rFonts w:ascii="Arial" w:eastAsia="Arial" w:hAnsi="Arial" w:cs="Arial"/>
          <w:color w:val="000000"/>
          <w:sz w:val="20"/>
        </w:rPr>
        <w:t>a</w:t>
      </w:r>
      <w:proofErr w:type="gram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efektivnosti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veřejné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správy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veřejných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služeb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celostátní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regionální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místní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úrovni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za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účelem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reforem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zlepšování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úpravy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řádné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správy</w:t>
      </w:r>
      <w:proofErr w:type="spellEnd"/>
    </w:p>
    <w:tbl>
      <w:tblPr>
        <w:tblW w:w="15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2450"/>
        <w:gridCol w:w="503"/>
        <w:gridCol w:w="1189"/>
        <w:gridCol w:w="856"/>
        <w:gridCol w:w="964"/>
        <w:gridCol w:w="745"/>
        <w:gridCol w:w="804"/>
        <w:gridCol w:w="804"/>
        <w:gridCol w:w="804"/>
        <w:gridCol w:w="804"/>
        <w:gridCol w:w="804"/>
        <w:gridCol w:w="804"/>
        <w:gridCol w:w="804"/>
        <w:gridCol w:w="804"/>
        <w:gridCol w:w="804"/>
        <w:gridCol w:w="804"/>
        <w:gridCol w:w="8"/>
        <w:gridCol w:w="631"/>
      </w:tblGrid>
      <w:tr w:rsidR="00C57E2B" w:rsidRPr="00C57E2B" w14:paraId="0E8B935C" w14:textId="77777777" w:rsidTr="00D1537E">
        <w:trPr>
          <w:trHeight w:val="241"/>
          <w:tblHeader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9DB8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2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85D2F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B86F3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ESF / YEI</w:t>
            </w:r>
          </w:p>
        </w:tc>
        <w:tc>
          <w:tcPr>
            <w:tcW w:w="1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4FEEE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4C474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187B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Jednotka měření pro výchozí hodnotu a cíl</w:t>
            </w: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0F8DD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7E749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0D3C9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967A9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AAD9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2429C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242D3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A5EB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03F97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444AC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B3288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6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E6027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</w:t>
            </w:r>
          </w:p>
        </w:tc>
      </w:tr>
      <w:tr w:rsidR="00C57E2B" w:rsidRPr="00C57E2B" w14:paraId="304655C5" w14:textId="77777777" w:rsidTr="00D1537E">
        <w:trPr>
          <w:trHeight w:val="241"/>
          <w:tblHeader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0E613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71C7B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C494A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474FA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84D2C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56D39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BEE30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4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D700C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03035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401386AA" w14:textId="77777777" w:rsidTr="00D1537E">
        <w:trPr>
          <w:trHeight w:val="241"/>
          <w:tblHeader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52B5A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CEBCA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EAB42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CB4A8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B54EB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58493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BE700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099BE8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52FC8A5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53115DF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720BAC5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DA9D83A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7D91FE8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FA9E445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3A6EE80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618909F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77101CC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6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EC760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52F4E714" w14:textId="77777777" w:rsidTr="00D1537E">
        <w:trPr>
          <w:trHeight w:val="241"/>
          <w:tblHeader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20AF6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B6C16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E7757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4F4EF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554BB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076F4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0537F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FF558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4125F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1CBCE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4A36F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EAE12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8ACBA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71A48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83DA2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144E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CE541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39CD7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03BAD2F8" w14:textId="77777777" w:rsidTr="00D1537E">
        <w:trPr>
          <w:trHeight w:val="241"/>
          <w:tblHeader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1D797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86FDC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800A6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D9CD8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01AE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849C1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226E9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BA285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6950A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0A0D7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7037D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DB2C4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FF9AC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A079C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2DA7F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4E00D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4291D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A27F0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66EAD676" w14:textId="77777777" w:rsidTr="00D1537E">
        <w:trPr>
          <w:trHeight w:val="241"/>
          <w:tblHeader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C3116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3ED49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2F09E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5DB34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732D5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5E029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54303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4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893D2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</w:t>
            </w: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BBA67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49A6A12C" w14:textId="77777777" w:rsidTr="00D1537E">
        <w:trPr>
          <w:trHeight w:val="226"/>
          <w:tblHeader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24CED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DF4B1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106E9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305F7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8AF18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207CE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3F24CBE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176E5DE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95D7579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1709EA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883B567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FD2FB7F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C071120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628D83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7FC46F2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43A80F7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3724F69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35D3428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</w:tr>
      <w:tr w:rsidR="00C57E2B" w:rsidRPr="00C57E2B" w14:paraId="2B8FB33B" w14:textId="77777777" w:rsidTr="00D1537E">
        <w:trPr>
          <w:trHeight w:val="241"/>
          <w:tblHeader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1E922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97027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067DB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CEE50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F3DEA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72574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4BF43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A4B4C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79A45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625F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BCAA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A328C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20271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4A43C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D5CF2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3B73C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95470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905C8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</w:tr>
      <w:tr w:rsidR="00C57E2B" w:rsidRPr="00C57E2B" w14:paraId="2CA6265B" w14:textId="77777777" w:rsidTr="00D1537E">
        <w:trPr>
          <w:trHeight w:val="241"/>
          <w:tblHeader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BB5A6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48BA2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D6FA9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18DE0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C8EEF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44862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9B530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8C742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0FA21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8A4F2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CB368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B47F1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3B401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D60D5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89661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E009F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AB77F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E2D8C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</w:tr>
      <w:tr w:rsidR="00C57E2B" w:rsidRPr="00C57E2B" w14:paraId="628BD2ED" w14:textId="77777777" w:rsidTr="00C57E2B">
        <w:trPr>
          <w:trHeight w:val="234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A4A5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67110</w:t>
            </w:r>
          </w:p>
        </w:tc>
        <w:tc>
          <w:tcPr>
            <w:tcW w:w="2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40C2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podpůrných institucí, které fungují i po ukončení podpory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2444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3109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164A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Organizace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F19A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1E191F4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4D18BF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5F3137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93D9CE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BBA503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5A4548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C4C87C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F00CB7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C8B1BC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FB48E8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CCBF17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26FA11D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C57E2B" w:rsidRPr="00C57E2B" w14:paraId="2AF7DAF0" w14:textId="77777777" w:rsidTr="00C57E2B">
        <w:trPr>
          <w:trHeight w:val="234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7BC2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6A90F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4746C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739A1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BFF2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A7A8D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04689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D3CB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E82A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83D6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788D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A127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4834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D1F4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58A3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4F66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E197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31BA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0B0F1FE0" w14:textId="77777777" w:rsidTr="00C57E2B">
        <w:trPr>
          <w:trHeight w:val="234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6EEC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3D82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9769E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6377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BAEE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2D3F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A715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9E7F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41F9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D5E5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9121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6BD3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5B2C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9822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2A23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579C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DE62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2CFE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21C37374" w14:textId="77777777" w:rsidTr="00C57E2B">
        <w:trPr>
          <w:trHeight w:val="241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67C0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105C4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B1CE4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44B2D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8D018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80466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A87C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1D7E8E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30E0F2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D6817F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D6C65E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28E1C7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0E7015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92BF12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5CE363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3028A6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385B5D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DDA0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0F4B5F43" w14:textId="77777777" w:rsidTr="00C57E2B">
        <w:trPr>
          <w:trHeight w:val="241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30E24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66E13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DBDA9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5ECA1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7BEDB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5C182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7FF6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5E8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D0C6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291F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62E4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740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8A3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06A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B74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784E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AE6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6565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4AE670A5" w14:textId="77777777" w:rsidTr="00C57E2B">
        <w:trPr>
          <w:trHeight w:val="241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2596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7C392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AA6A1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58A3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3415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6F2BC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05F5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58C5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54D8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0EA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84D9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D49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B7E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A7D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74F7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BEA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FFE5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E17D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3F1EA0DE" w14:textId="77777777" w:rsidTr="00C57E2B">
        <w:trPr>
          <w:trHeight w:val="234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C515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67110</w:t>
            </w:r>
          </w:p>
        </w:tc>
        <w:tc>
          <w:tcPr>
            <w:tcW w:w="2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969E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podpůrných institucí, které fungují i po ukončení podpory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14B1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B833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562C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Organizace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AE33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489C02B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421B7E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C989E9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609BF6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EFFDDF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8F3B5A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88DC9C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2828A8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509D9A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5EEB4F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1A0C8B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3040C05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</w:tr>
      <w:tr w:rsidR="00C57E2B" w:rsidRPr="00C57E2B" w14:paraId="7A2F2180" w14:textId="77777777" w:rsidTr="00C57E2B">
        <w:trPr>
          <w:trHeight w:val="234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E3C6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2F96B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B5511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4565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20F6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6495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8AE2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CF6D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566B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1B26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5D6E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36D8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DEB0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E1F3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1741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FD67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3AF4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92AE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608F3D59" w14:textId="77777777" w:rsidTr="00C57E2B">
        <w:trPr>
          <w:trHeight w:val="234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251FE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71E8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A903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2A39F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FD5E0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C914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2E11C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C057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A4C5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09D8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7DC5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C09F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5EF1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11F7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0EC5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8F80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0775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E368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6ECAC0A8" w14:textId="77777777" w:rsidTr="00C57E2B">
        <w:trPr>
          <w:trHeight w:val="241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16AD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DD202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26AAC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2092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D50E6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976AD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A0AD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1AE294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1716BF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747DC4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AD9E82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4AC1CF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9E1540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4607D6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4B6FC5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AFB19A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E13EE2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49A9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59956A1C" w14:textId="77777777" w:rsidTr="00C57E2B">
        <w:trPr>
          <w:trHeight w:val="241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DE34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499D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5DD95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67C67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546E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DE20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5B9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B7DA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9E5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BF8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7A2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E0A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F58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7547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84C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F80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D25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935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318C271B" w14:textId="77777777" w:rsidTr="00C57E2B">
        <w:trPr>
          <w:trHeight w:val="241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148C4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56BDB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9C0B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424F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AC1AA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879EF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131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174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60D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7656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A3B4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976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9E4C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173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5656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050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4EE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F0A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620A9C68" w14:textId="77777777" w:rsidTr="00C57E2B">
        <w:trPr>
          <w:trHeight w:val="234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50FB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69410</w:t>
            </w:r>
          </w:p>
        </w:tc>
        <w:tc>
          <w:tcPr>
            <w:tcW w:w="2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A038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</w:t>
            </w:r>
            <w:proofErr w:type="spellStart"/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zvalidovaných</w:t>
            </w:r>
            <w:proofErr w:type="spellEnd"/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experimentálních či kvazi-experimentálních ověření nových nástrojů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6368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67C7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277A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Ověření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58DB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3129D6C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D22815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FC7CA2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EA3302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57C31C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88E435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4B9FBE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0,900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E00C51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1,199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E9537A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D85D68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2836AA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769F8DA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22,500</w:t>
            </w:r>
          </w:p>
        </w:tc>
      </w:tr>
      <w:tr w:rsidR="00C57E2B" w:rsidRPr="00C57E2B" w14:paraId="014F387C" w14:textId="77777777" w:rsidTr="00C57E2B">
        <w:trPr>
          <w:trHeight w:val="234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1F201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FECA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C7712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CC9E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94EA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7AF99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5F40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020D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89F9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F224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296A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B03A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7D5D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461F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F230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FF61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0F13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73173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79E6F655" w14:textId="77777777" w:rsidTr="00C57E2B">
        <w:trPr>
          <w:trHeight w:val="234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369EC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76E95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20C1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F5A5C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535E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50E53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7093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A3CD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D734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C3CD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6D9F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5057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E8DA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E069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F48B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54C0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18CB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F435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4EC136AE" w14:textId="77777777" w:rsidTr="00C57E2B">
        <w:trPr>
          <w:trHeight w:val="241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850EC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55B9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75B2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A133A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47358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DD6E2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7E6D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0C0D9E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173FAB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965EDC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65F1CE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9E53D5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A6FD20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0,900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ED94E0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2,099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1943E1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F1DB08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109CDC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962D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596D2E1C" w14:textId="77777777" w:rsidTr="00C57E2B">
        <w:trPr>
          <w:trHeight w:val="241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5B9EF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EEEF6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2412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ADBC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EFE6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247F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03A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63B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086E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2B8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D15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08A0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C96B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F38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F6F9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9E2D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B8F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4813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7BAAA24B" w14:textId="77777777" w:rsidTr="00C57E2B">
        <w:trPr>
          <w:trHeight w:val="241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EC4E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5D9B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1E39F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2959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50B79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A0D70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1A7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ACD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29C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4D1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2429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354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85E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D69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543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ECF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ACE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DE65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6E1531D7" w14:textId="77777777" w:rsidTr="00C57E2B">
        <w:trPr>
          <w:trHeight w:val="234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11FC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69410</w:t>
            </w:r>
          </w:p>
        </w:tc>
        <w:tc>
          <w:tcPr>
            <w:tcW w:w="2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C912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</w:t>
            </w:r>
            <w:proofErr w:type="spellStart"/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zvalidovaných</w:t>
            </w:r>
            <w:proofErr w:type="spellEnd"/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experimentálních či kvazi-experimentálních ověření nových nástrojů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A1F3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BB5A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598F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Ověření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B3EB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9E292E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429A0D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C0B856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108EC6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E62D3A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05FC25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4AFF87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DDC048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0,160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CA5E52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355525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B45154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44ECCD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12,000</w:t>
            </w:r>
          </w:p>
        </w:tc>
      </w:tr>
      <w:tr w:rsidR="00C57E2B" w:rsidRPr="00C57E2B" w14:paraId="067E4496" w14:textId="77777777" w:rsidTr="00C57E2B">
        <w:trPr>
          <w:trHeight w:val="234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25E7D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CCC5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83B9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3C23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F6D9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6BDBA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D6461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B076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8567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A98E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7D4A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6714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54DE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A298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6EF2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0F12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10E8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685B2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445A28D7" w14:textId="77777777" w:rsidTr="00C57E2B">
        <w:trPr>
          <w:trHeight w:val="234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19D84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8BE97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7B4B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2BFB4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40B9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C9C2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E91C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A64F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F447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398F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0646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84BA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B6B7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74CC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8B11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E16D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E45D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B056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57BEA713" w14:textId="77777777" w:rsidTr="00C57E2B">
        <w:trPr>
          <w:trHeight w:val="241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D885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428F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4E19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2EADA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9A78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2DC70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394CA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73E9F3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86E540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B9A449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847447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119F4E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BD5F96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0,120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ACD749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0,280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6FF1AC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3B30E2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7338B9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E34D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62BEF616" w14:textId="77777777" w:rsidTr="00C57E2B">
        <w:trPr>
          <w:trHeight w:val="241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1C64E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9074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9228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2F93C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50C3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F35CE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09EA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2589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E358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7982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5584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9620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2A18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A881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4877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EC72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A65C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04C6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C57E2B" w:rsidRPr="00C57E2B" w14:paraId="4B1D2895" w14:textId="77777777" w:rsidTr="00C57E2B">
        <w:trPr>
          <w:trHeight w:val="241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3837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06F4B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E63EA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FEA5B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96DC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41EA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374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A584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8E87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0D2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5390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AD9C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08AC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8704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7021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7369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5443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6252D" w14:textId="34E3DDB9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</w:tbl>
    <w:p w14:paraId="58C22BD0" w14:textId="77777777" w:rsidR="003C2AA4" w:rsidRPr="003C2AA4" w:rsidRDefault="003C2AA4" w:rsidP="00D1537E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2C17A514" w14:textId="77777777" w:rsidR="003C2AA4" w:rsidRP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lastRenderedPageBreak/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03.4.74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do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institucionální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kapacity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gramStart"/>
      <w:r w:rsidRPr="003C2AA4">
        <w:rPr>
          <w:rFonts w:ascii="Arial" w:eastAsia="Arial" w:hAnsi="Arial" w:cs="Arial"/>
          <w:color w:val="000000"/>
          <w:sz w:val="20"/>
        </w:rPr>
        <w:t>a</w:t>
      </w:r>
      <w:proofErr w:type="gram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efektivnosti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veřejné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správy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veřejných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služeb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celostátní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regionální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místní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úrovni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za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účelem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reforem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zlepšování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úpravy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řádné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správy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>.</w:t>
      </w:r>
    </w:p>
    <w:tbl>
      <w:tblPr>
        <w:tblW w:w="158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2454"/>
        <w:gridCol w:w="503"/>
        <w:gridCol w:w="1193"/>
        <w:gridCol w:w="816"/>
        <w:gridCol w:w="966"/>
        <w:gridCol w:w="744"/>
        <w:gridCol w:w="803"/>
        <w:gridCol w:w="803"/>
        <w:gridCol w:w="803"/>
        <w:gridCol w:w="803"/>
        <w:gridCol w:w="803"/>
        <w:gridCol w:w="803"/>
        <w:gridCol w:w="803"/>
        <w:gridCol w:w="803"/>
        <w:gridCol w:w="803"/>
        <w:gridCol w:w="806"/>
        <w:gridCol w:w="647"/>
      </w:tblGrid>
      <w:tr w:rsidR="00C57E2B" w:rsidRPr="00C57E2B" w14:paraId="50E61E6C" w14:textId="77777777" w:rsidTr="001F6594">
        <w:trPr>
          <w:trHeight w:val="240"/>
          <w:tblHeader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80410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2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08DF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30064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ESF / YEI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2D6FE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E9FDF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80070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Jednotka měření pro výchozí hodnotu a cíl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574A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9B5DD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2AEC9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8242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F721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89D3F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5390E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A8649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E5AD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FA60C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2002F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E0581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</w:t>
            </w:r>
          </w:p>
        </w:tc>
      </w:tr>
      <w:tr w:rsidR="00C57E2B" w:rsidRPr="00C57E2B" w14:paraId="2A1FA61C" w14:textId="77777777" w:rsidTr="001F6594">
        <w:trPr>
          <w:trHeight w:val="240"/>
          <w:tblHeader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9F91E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6AC3F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AB725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0BA25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1DDA9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15A0E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8821F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4B5D8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0E1B4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040BAFB1" w14:textId="77777777" w:rsidTr="001F6594">
        <w:trPr>
          <w:trHeight w:val="225"/>
          <w:tblHeader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45358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E2246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59FF6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6739C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E204F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A3B42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03489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D9C324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C41A4B5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D58A892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D47A369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054B9B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D65F274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B133CD5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C11A6CD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C38BDC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7D50A5A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B0C17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36E8740D" w14:textId="77777777" w:rsidTr="001F6594">
        <w:trPr>
          <w:trHeight w:val="240"/>
          <w:tblHeader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FCAE7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7E333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E8DA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8DE6C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985EF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42493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BF3E5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85F8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56E87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DD22A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453AC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AD315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0D885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F44F3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507ED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DED48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4C95C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D9EF9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129EB304" w14:textId="77777777" w:rsidTr="001F6594">
        <w:trPr>
          <w:trHeight w:val="210"/>
          <w:tblHeader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D60A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803C4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550A4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386A3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0D3A3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3E570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5CFA1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B3A71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DCA8F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08AB1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591B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455D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E5865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2107A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F06D7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63CE0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A1DE3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9765D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115F7152" w14:textId="77777777" w:rsidTr="001F6594">
        <w:trPr>
          <w:trHeight w:val="240"/>
          <w:tblHeader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66323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628E1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B209F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F4848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4C7CD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1CE8E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DD136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FE439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</w:t>
            </w: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35638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55A3EEB0" w14:textId="77777777" w:rsidTr="001F6594">
        <w:trPr>
          <w:trHeight w:val="225"/>
          <w:tblHeader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B1B80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AC6A2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2F31D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59D90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A8B3B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4242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546A010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1776797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CCE0DA2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7EDCA67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87AC75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93EC42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7F7DAB1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A8D9FEC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63D2908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35BDAF8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5EC2560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F62A015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</w:tr>
      <w:tr w:rsidR="00C57E2B" w:rsidRPr="00C57E2B" w14:paraId="30BC0285" w14:textId="77777777" w:rsidTr="001F6594">
        <w:trPr>
          <w:trHeight w:val="240"/>
          <w:tblHeader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8C476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59346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A4F1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79A74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D1301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EF669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00D7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1303F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4CC8F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86477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2ECE4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6C17E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9D05F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B9EEF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D092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5A85D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8C76E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7CA63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</w:tr>
      <w:tr w:rsidR="00C57E2B" w:rsidRPr="00C57E2B" w14:paraId="058AA35E" w14:textId="77777777" w:rsidTr="001F6594">
        <w:trPr>
          <w:trHeight w:val="240"/>
          <w:tblHeader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977E4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93BEB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C9B42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D1A9A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267E0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7E5BA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4D2E1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AF86C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93CA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8780F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2A36E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46D7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8DC35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48C89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02EDA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214D1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59BE7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A97B4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</w:tr>
      <w:tr w:rsidR="00C57E2B" w:rsidRPr="00C57E2B" w14:paraId="31F7F022" w14:textId="77777777" w:rsidTr="00C57E2B">
        <w:trPr>
          <w:trHeight w:val="233"/>
        </w:trPr>
        <w:tc>
          <w:tcPr>
            <w:tcW w:w="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A11D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68010</w:t>
            </w:r>
          </w:p>
        </w:tc>
        <w:tc>
          <w:tcPr>
            <w:tcW w:w="2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BEE0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institucí, které s podporou ESF úspěšně zavedly opatření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84D5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C4D5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0B03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instituce</w:t>
            </w: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4259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26B3BB6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491,000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828F6D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6929E8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1D9582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A1763D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E5F597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AF758E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121,650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E1B9FA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158,400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4C92A9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4743AB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9FDB0C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2474DAB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57,037</w:t>
            </w:r>
          </w:p>
        </w:tc>
      </w:tr>
      <w:tr w:rsidR="00C57E2B" w:rsidRPr="00C57E2B" w14:paraId="029DF099" w14:textId="77777777" w:rsidTr="00C57E2B">
        <w:trPr>
          <w:trHeight w:val="233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404A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F3F66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41996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7BEB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4D583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D091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3C26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4CE1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333E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A0B5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0EE7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9A62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8B66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9A39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6D25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F593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FAE5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FFB0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7AFB2A1B" w14:textId="77777777" w:rsidTr="00C57E2B">
        <w:trPr>
          <w:trHeight w:val="233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3C1C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CD988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079F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3614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7C04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740D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EB5D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3EFF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9F3A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44EF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6392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B601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1A56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3147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6173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572F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873B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AB918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6CB97DF3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8B38E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11FF4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7C3EE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72A5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1465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A5656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017E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E12D46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36C916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712BF4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540329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AE104F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587A60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121,650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FFA67B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280,050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46A92C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78DC35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48AF14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56745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522CB529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1BF6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B895A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5118B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2D9BB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BB8BA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96D2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CF85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0CC0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AE1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492D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D35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A80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BC6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877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C85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9F76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8BB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E4B5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65E8F86D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ECDB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9678D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5982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CB132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A396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68D86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5CF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05E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8C7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974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B43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D8B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9589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B72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322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14B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E26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08AC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0C664DFA" w14:textId="77777777" w:rsidTr="00C57E2B">
        <w:trPr>
          <w:trHeight w:val="233"/>
        </w:trPr>
        <w:tc>
          <w:tcPr>
            <w:tcW w:w="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F670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68010</w:t>
            </w:r>
          </w:p>
        </w:tc>
        <w:tc>
          <w:tcPr>
            <w:tcW w:w="2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FFEE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institucí, které s podporou ESF úspěšně zavedly opatření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21CA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2633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4734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instituce</w:t>
            </w: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6EC7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78E984B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51,000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19630C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9D9641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3E253A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CAFDA1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14EE64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AE4C23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6,350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4FB165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3,600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F94CC2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A6948D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41B406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4483B93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19,510</w:t>
            </w:r>
          </w:p>
        </w:tc>
      </w:tr>
      <w:tr w:rsidR="00C57E2B" w:rsidRPr="00C57E2B" w14:paraId="564F6162" w14:textId="77777777" w:rsidTr="00C57E2B">
        <w:trPr>
          <w:trHeight w:val="233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A2A1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BE808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55039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7CE8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3B425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6C3AD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A88B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BFEA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4C6E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F3FF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6D65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9334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1E24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24DF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652A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D9A8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EE17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1BC48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2E743D63" w14:textId="77777777" w:rsidTr="00C57E2B">
        <w:trPr>
          <w:trHeight w:val="233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7CD7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72E29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6AAA5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14D6D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3DCA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438D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4C7C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1D27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34A7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D669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680A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19A6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D02D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2A60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8560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90B3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FC0B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E17C8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642D14D4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63C4B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7ECB2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501E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67714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71B9F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8E8D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A4AE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CE8CAB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9B6F61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B0D035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D44FE2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AD74C8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09FA48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6,350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777551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9,950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809085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D928E8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A73D55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B8EA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2F974A1F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4F9A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6995E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9189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20FF9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FA408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8AAB3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9EC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8E5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5DA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922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0BD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30B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2AED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C67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C01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7F0F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14B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A7F6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2B90E358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352B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90CF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C2914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4C4A2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C6841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5C40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9D2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EF19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7690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015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519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697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095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4C4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715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0FF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40A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A45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31740A42" w14:textId="77777777" w:rsidTr="00C57E2B">
        <w:trPr>
          <w:trHeight w:val="233"/>
        </w:trPr>
        <w:tc>
          <w:tcPr>
            <w:tcW w:w="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E67D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68011</w:t>
            </w:r>
          </w:p>
        </w:tc>
        <w:tc>
          <w:tcPr>
            <w:tcW w:w="2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321E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institucí, které s podporou ESF úspěšně zavedly opatření v oblasti řízení kvality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9C4E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303F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D04B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instituce</w:t>
            </w: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A811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3B76904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E895CC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6B9944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87AABB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51AFE6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79E643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278B2E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B73547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27BC38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107EBC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7ED08D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2B77E40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23,846</w:t>
            </w:r>
          </w:p>
        </w:tc>
      </w:tr>
      <w:tr w:rsidR="00C57E2B" w:rsidRPr="00C57E2B" w14:paraId="571C89D0" w14:textId="77777777" w:rsidTr="00C57E2B">
        <w:trPr>
          <w:trHeight w:val="233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BA496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F2D4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9867A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CDB60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CE140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E2007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38C57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C90B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7B90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3375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FA63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7F44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41EE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1E06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AA5A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220D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350F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15103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2D25BADB" w14:textId="77777777" w:rsidTr="00C57E2B">
        <w:trPr>
          <w:trHeight w:val="233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DFDD5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BE25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68292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FFCAC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3400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8C69E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C73AC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5B94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2D23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7122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0F07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4B2F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32D2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85FE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3EAD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6519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3F86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FC466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43A0FA29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7E2A7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2F047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A699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2DB4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E3A0B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874F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CC6A0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E0C1B6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1852E1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D460E2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39AF52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ABB5EA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12A770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524D28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31,000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0AE865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263F7D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027DD3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5DF58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2B017236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9C0A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4F89C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654DF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DD3A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E7BD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2122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C96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165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AC2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4264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C9BA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275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E7E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0597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0E3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06C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E04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AB5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3EF80C30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873A0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CA62D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3F418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C0B28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8DB58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9661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E51B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2307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8A7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A7A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FED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AA4D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3A5A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AD3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C3EB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CD8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356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21A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0A4E2B6B" w14:textId="77777777" w:rsidTr="00C57E2B">
        <w:trPr>
          <w:trHeight w:val="233"/>
        </w:trPr>
        <w:tc>
          <w:tcPr>
            <w:tcW w:w="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8657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68011</w:t>
            </w:r>
          </w:p>
        </w:tc>
        <w:tc>
          <w:tcPr>
            <w:tcW w:w="2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9E39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institucí, které s podporou ESF úspěšně zavedly opatření v oblasti řízení kvality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C213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4333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CDFA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instituce</w:t>
            </w: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DD9D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393C1AC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1DB105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C0DC1B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6CDCF4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096381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DF31EB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2EDB08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39A6D1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6588FE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E94B13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960265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78AC6FE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30,769</w:t>
            </w:r>
          </w:p>
        </w:tc>
      </w:tr>
      <w:tr w:rsidR="00C57E2B" w:rsidRPr="00C57E2B" w14:paraId="12BB540C" w14:textId="77777777" w:rsidTr="00C57E2B">
        <w:trPr>
          <w:trHeight w:val="233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45F6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2C700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D250D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4774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111F4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9FF5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F5CC4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A9C8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4C87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BE8C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F03A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CB95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F595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2EF2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DFD9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57F5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1FF8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147AE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0C1E9284" w14:textId="77777777" w:rsidTr="00C57E2B">
        <w:trPr>
          <w:trHeight w:val="233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4145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DC5DF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0D8DD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076B6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F9F9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A298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86A2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C230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9398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0FCC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D7D1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584D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54A7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6EA2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202F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7CA2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3204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ACD3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4A6725F7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E790E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E6AD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45CF8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36B5C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E836F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1408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65479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7796AA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7FDD5C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FFDE01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989EAA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AFBF9E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FAE3E8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AA26CF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43BB72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1EDD7B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C7A4A9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BA5D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04E946EB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28594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F6163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BF2DF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2815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7E98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799F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905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6F7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E68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84C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5B8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3A9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85C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12C7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5B3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E6D1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B389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AAE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5CB1C0C9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25C7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B1484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F5F0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5C899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16889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21D6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0CD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CDA8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D33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E57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8672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74F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297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04B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A5F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88A6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2E47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836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0F49917B" w14:textId="77777777" w:rsidTr="00C57E2B">
        <w:trPr>
          <w:trHeight w:val="233"/>
        </w:trPr>
        <w:tc>
          <w:tcPr>
            <w:tcW w:w="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DCBF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68012</w:t>
            </w:r>
          </w:p>
        </w:tc>
        <w:tc>
          <w:tcPr>
            <w:tcW w:w="2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6A09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institucí, které s podporou ESF úspěšně zavedly opatření v oblasti strategického a projektového řízení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C97B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59B9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F456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instituce</w:t>
            </w: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64DD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66043D1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239,000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BA97AD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FDA8D3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E68E55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93299A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53CDF0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0,960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B45D19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112,690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086357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137,000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7BEFFF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56F3EE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7CC6A3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813EBC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104,874</w:t>
            </w:r>
          </w:p>
        </w:tc>
      </w:tr>
      <w:tr w:rsidR="00C57E2B" w:rsidRPr="00C57E2B" w14:paraId="051B869E" w14:textId="77777777" w:rsidTr="00C57E2B">
        <w:trPr>
          <w:trHeight w:val="233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EE12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00A8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0BED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5801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ED6B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00938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7B87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CB02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DC85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B901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39E2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6B87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FDB4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C7DD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4D11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712D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B6D2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6FB8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5252839F" w14:textId="77777777" w:rsidTr="00C57E2B">
        <w:trPr>
          <w:trHeight w:val="233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80D7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8DB8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9BED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EA921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F4978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67432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8394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9901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A7B2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47AF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E14B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EB40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C9BA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C10D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FB4C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7A6A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1963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C4FE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49F2F17E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904CC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DDEB8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131D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0308B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1F9A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30C6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EC32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5106D0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2338D8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EC9EBD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369182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1D07ED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0,960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69EBC7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113,650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2B0400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250,650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E95F61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A0E68C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5D6A2E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3BD5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611CC71C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74E8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FC967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26268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00EA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60380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236F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741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EEA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FF7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F612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DC6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57B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F151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F91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4E2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135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A38F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2A5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54756B26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0F5AE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1F590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A7978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6D914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6B2C4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E97A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B9A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8853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BCD1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24E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557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B870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03D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E83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9336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5FD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CDF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7312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73E7F534" w14:textId="77777777" w:rsidTr="00C57E2B">
        <w:trPr>
          <w:trHeight w:val="233"/>
        </w:trPr>
        <w:tc>
          <w:tcPr>
            <w:tcW w:w="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C83A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68012</w:t>
            </w:r>
          </w:p>
        </w:tc>
        <w:tc>
          <w:tcPr>
            <w:tcW w:w="2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4226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institucí, které s podporou ESF úspěšně zavedly opatření v oblasti strategického a projektového řízení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940E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BDC8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8BFA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instituce</w:t>
            </w: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D268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298B35F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24,000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CA1744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8F5DEA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B6C260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EFBC79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C23C42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0,040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3296BD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6,310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71A857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F803F0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5FF3DA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BEDBD9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3A8DFB2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34,792</w:t>
            </w:r>
          </w:p>
        </w:tc>
      </w:tr>
      <w:tr w:rsidR="00C57E2B" w:rsidRPr="00C57E2B" w14:paraId="1EECF8E6" w14:textId="77777777" w:rsidTr="00C57E2B">
        <w:trPr>
          <w:trHeight w:val="233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6D26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1FB9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E226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4AB2F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C1917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F752B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2DC67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3D11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8737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23A2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CC9A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1A27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2F7B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6EA3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3668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0B46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7087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CF76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36771647" w14:textId="77777777" w:rsidTr="00C57E2B">
        <w:trPr>
          <w:trHeight w:val="233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15636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9323B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DC6E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55225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3AFA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45CAF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956C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1F3D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4751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DDCF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293C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BD49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69D0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249D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891F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4225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6689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7C5A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3C2384E2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9E690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F77B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0FDF2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1905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3A84D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7DB6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9562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7EA547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3B6DAE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8F7C36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41116B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EA08C4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0,040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0330D1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6,350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189D7C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8,350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0282F3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0A7E16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37E8AC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9EB8C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032755C7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D9CB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62887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A824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5462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0DD8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20111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436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87F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C5C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109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D9FD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F38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E4D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2C4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470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FC4D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E72F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92C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1ACD7C92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126E5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FB82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E98C8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0423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B96D3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0593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378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9BD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8B1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26A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D0E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0DA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CB2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861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E70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3FCB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099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4C60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7D81B80D" w14:textId="77777777" w:rsidTr="00C57E2B">
        <w:trPr>
          <w:trHeight w:val="233"/>
        </w:trPr>
        <w:tc>
          <w:tcPr>
            <w:tcW w:w="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09CD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68013</w:t>
            </w:r>
          </w:p>
        </w:tc>
        <w:tc>
          <w:tcPr>
            <w:tcW w:w="2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DDFF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institucí, které </w:t>
            </w:r>
            <w:proofErr w:type="gramStart"/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s</w:t>
            </w:r>
            <w:proofErr w:type="gramEnd"/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podporu ESF úspěšně zavedly opatření v oblasti procesního modelování agend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5C3D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8243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33D6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instituce</w:t>
            </w: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6B0C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0992D9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F75FB0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C2B1B5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CC4F1D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A7E63A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DC2C1E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394D35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F7D95F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FEDFB7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7D4F7E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037DD9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2A3CE74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C57E2B" w:rsidRPr="00C57E2B" w14:paraId="54012FCC" w14:textId="77777777" w:rsidTr="00C57E2B">
        <w:trPr>
          <w:trHeight w:val="233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ED76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BC25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AAD8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F5FB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68DE1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D82B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2D205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F873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35DB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EFE4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F0BD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5391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B7A2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AD5E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C082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1C43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0679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22D2E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61BA2F91" w14:textId="77777777" w:rsidTr="00C57E2B">
        <w:trPr>
          <w:trHeight w:val="233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37D2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5050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FB34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5E097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E873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B6AA3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CDA6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41DE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CEBE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20E5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C679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F27D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76D2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3E83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00E1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8BA0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68C0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75D7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2C01FBA9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FBF7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221B3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BE48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AE21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BF638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AA7C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E311A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D29DCE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A0C9FE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160137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DD7002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C2D24F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AF0FBC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9F8543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6C3A81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B1503C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03DC4D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B4B7F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1FD8FE4E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204B1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CF91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1C8B0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0E2A5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B182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5B8F2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EA67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66B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76D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C3D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3FAD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5EA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F8C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B8C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7EB7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0CBA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CCC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67E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6D23A98A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A0A87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BA49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94FF2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D690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27CD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D364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71AC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22D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E7E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05EC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FEE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009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99C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BAD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B4F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890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DA8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68B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169C97B3" w14:textId="77777777" w:rsidTr="00C57E2B">
        <w:trPr>
          <w:trHeight w:val="233"/>
        </w:trPr>
        <w:tc>
          <w:tcPr>
            <w:tcW w:w="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BFF6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68013</w:t>
            </w:r>
          </w:p>
        </w:tc>
        <w:tc>
          <w:tcPr>
            <w:tcW w:w="2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1FE6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institucí, které </w:t>
            </w:r>
            <w:proofErr w:type="gramStart"/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s</w:t>
            </w:r>
            <w:proofErr w:type="gramEnd"/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podporu ESF úspěšně zavedly opatření v oblasti procesního modelování agend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9125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1E03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43A0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instituce</w:t>
            </w: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335D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12A4AF3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2E31A2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D6F8BC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B525F4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21E2F1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B01486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B43FA2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9E0768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32FA9A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68D382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2AEFB2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6DE573E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C57E2B" w:rsidRPr="00C57E2B" w14:paraId="1CB53755" w14:textId="77777777" w:rsidTr="00C57E2B">
        <w:trPr>
          <w:trHeight w:val="233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470C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17C92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CB9D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C2D47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5E6F4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E0465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F77D5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0C84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10D4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879A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FA8F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33AC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356D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7288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ACC9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8696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010A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BC6D2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6416F370" w14:textId="77777777" w:rsidTr="00C57E2B">
        <w:trPr>
          <w:trHeight w:val="233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8858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6869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6623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3A30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E196A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DB2C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A1416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7120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AF83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080B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6AB5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8381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CC47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ACC1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4A90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487F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1118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3B541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3B07BC3B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86092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19BB2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D20B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D78C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04CA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28958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C479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1540C1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06138E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CCFFE1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254410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54E8C1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162431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1B5EF8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BB1E94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34F123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B7AEED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9C21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5308BCC0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CEF3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0D06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8536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B3F7E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3AF55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31E4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DD73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767F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C9E5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26A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AEE5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6E9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916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39C0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62F5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9C5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66C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0005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76DE640E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3DFAB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C8776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998F5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1D168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F5568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4BEE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593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8C4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FA98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8747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F46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72B9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F3D1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101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D658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C772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328B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0A3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05CCEA7A" w14:textId="77777777" w:rsidTr="00C57E2B">
        <w:trPr>
          <w:trHeight w:val="233"/>
        </w:trPr>
        <w:tc>
          <w:tcPr>
            <w:tcW w:w="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1593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68014</w:t>
            </w:r>
          </w:p>
        </w:tc>
        <w:tc>
          <w:tcPr>
            <w:tcW w:w="2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8244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institucí, které </w:t>
            </w:r>
            <w:proofErr w:type="gramStart"/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s</w:t>
            </w:r>
            <w:proofErr w:type="gramEnd"/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podporu ESF úspěšně zavedly opatření v oblasti moderního řízení lidských zdrojů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5032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6A19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2276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instituce</w:t>
            </w: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F46F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0011EE1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123,000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AE6932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AA954D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D283FE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C294B0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731176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15B908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0C54BA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22,460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BF4757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C4A9BB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544744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0E2D957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28,016</w:t>
            </w:r>
          </w:p>
        </w:tc>
      </w:tr>
      <w:tr w:rsidR="00C57E2B" w:rsidRPr="00C57E2B" w14:paraId="07976590" w14:textId="77777777" w:rsidTr="00C57E2B">
        <w:trPr>
          <w:trHeight w:val="233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4C0CC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332E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5282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3393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A6B7E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A6A0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3004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DE32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F4C3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AE08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43DA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E531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652E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72E9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2A24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7842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6E07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3EAD9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601FFBBA" w14:textId="77777777" w:rsidTr="00C57E2B">
        <w:trPr>
          <w:trHeight w:val="233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1FECA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C6840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C3033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E26B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FF67D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F493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9BAD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0E85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D906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A31C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5C35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3C51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CA6B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4D6D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36C9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ADA2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0655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4C532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54FC6C0F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08FD9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6513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969B6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D3770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A60D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230B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4763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837CE4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FF08F3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AB4327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E01ADB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1722A4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3CC0BA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5E7F22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34,460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E420FB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76102B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FB22BA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090B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6ED884F5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A627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0B2C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47F2E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3D997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59AD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81E27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466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E6AC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54B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D75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80D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85D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3DA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2FF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DE95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355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47E8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61FA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58D098DF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1958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83277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8D4FD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3C44D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8E6B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887D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0699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FDD4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170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55BC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F0C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9D65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59E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3F9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573C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412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98D6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8BE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0A4220C8" w14:textId="77777777" w:rsidTr="00C57E2B">
        <w:trPr>
          <w:trHeight w:val="233"/>
        </w:trPr>
        <w:tc>
          <w:tcPr>
            <w:tcW w:w="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5843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68014</w:t>
            </w:r>
          </w:p>
        </w:tc>
        <w:tc>
          <w:tcPr>
            <w:tcW w:w="24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D3C3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institucí, které </w:t>
            </w:r>
            <w:proofErr w:type="gramStart"/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s</w:t>
            </w:r>
            <w:proofErr w:type="gramEnd"/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podporu ESF úspěšně zavedly opatření v oblasti moderního řízení lidských zdrojů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B0F5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7AFC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044B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instituce</w:t>
            </w: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8A98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31CD38E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90BBB2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216749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284C1D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A0E2DC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CFEF3C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BD9D90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F67B7F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2,540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908363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B14FFD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FA80B3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0CC204E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21,167</w:t>
            </w:r>
          </w:p>
        </w:tc>
      </w:tr>
      <w:tr w:rsidR="00C57E2B" w:rsidRPr="00C57E2B" w14:paraId="76F8325E" w14:textId="77777777" w:rsidTr="00C57E2B">
        <w:trPr>
          <w:trHeight w:val="233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F0417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D586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04B11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ACB7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2CAE0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1E4BC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D81A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2FF1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1DEA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8059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B1F9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6A9A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783C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7126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AD51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D7FA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6777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1F59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36102245" w14:textId="77777777" w:rsidTr="00C57E2B">
        <w:trPr>
          <w:trHeight w:val="233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B1320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9871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F846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27F6C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331E7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23891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5073A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2D01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5380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3373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913B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52C5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1F00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2E74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F96B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5BED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778E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6095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0BEB794A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FF939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CE28F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5E05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C89A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B9A4E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F83EE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932AD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8DE859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BB7E0C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835F8F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99E20E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2614F3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A285F7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9E2854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2,540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220188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4592F1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C701C2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F43D9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326FCD1E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8BE8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D25F8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A72B5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35665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30B7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CA0F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8EDF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CFCE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F3FB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93B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A2B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809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754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FCD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D61A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726B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43FF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70DF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C57E2B" w:rsidRPr="00C57E2B" w14:paraId="1F891C3B" w14:textId="77777777" w:rsidTr="00C57E2B">
        <w:trPr>
          <w:trHeight w:val="240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1CD29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6AFE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57501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A76E8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7D60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EBCCF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556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3231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5041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9BF3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88B8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C790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BDEF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0A1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D019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1E4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F396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A923D" w14:textId="75F421F9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</w:tbl>
    <w:p w14:paraId="574354CA" w14:textId="77777777" w:rsidR="003C2AA4" w:rsidRPr="003C2AA4" w:rsidRDefault="003C2AA4" w:rsidP="00164344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4D18B222" w14:textId="1DAD2EEC" w:rsid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03.5.125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Technická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pomoc</w:t>
      </w:r>
      <w:proofErr w:type="spellEnd"/>
    </w:p>
    <w:tbl>
      <w:tblPr>
        <w:tblW w:w="158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2456"/>
        <w:gridCol w:w="503"/>
        <w:gridCol w:w="1192"/>
        <w:gridCol w:w="816"/>
        <w:gridCol w:w="965"/>
        <w:gridCol w:w="744"/>
        <w:gridCol w:w="803"/>
        <w:gridCol w:w="803"/>
        <w:gridCol w:w="803"/>
        <w:gridCol w:w="803"/>
        <w:gridCol w:w="803"/>
        <w:gridCol w:w="803"/>
        <w:gridCol w:w="803"/>
        <w:gridCol w:w="803"/>
        <w:gridCol w:w="803"/>
        <w:gridCol w:w="806"/>
        <w:gridCol w:w="647"/>
      </w:tblGrid>
      <w:tr w:rsidR="00C57E2B" w:rsidRPr="00C57E2B" w14:paraId="4943E5CF" w14:textId="77777777" w:rsidTr="001F6594">
        <w:trPr>
          <w:trHeight w:val="242"/>
          <w:tblHeader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7D6A9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2CDB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AA16C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ESF / YEI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F920F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343F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2E72A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Jednotka měření pro výchozí hodnotu a cíl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B3C4E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55487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890DE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A559D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32E04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94252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208CD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85F1D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5AFAD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17F60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065B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AB6CE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</w:t>
            </w:r>
          </w:p>
        </w:tc>
      </w:tr>
      <w:tr w:rsidR="00C57E2B" w:rsidRPr="00C57E2B" w14:paraId="294256D5" w14:textId="77777777" w:rsidTr="001F6594">
        <w:trPr>
          <w:trHeight w:val="242"/>
          <w:tblHeader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2265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861A0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5DDF0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01D79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795E0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DBA4B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0BC44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361A3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5108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630C3A3E" w14:textId="77777777" w:rsidTr="001F6594">
        <w:trPr>
          <w:trHeight w:val="227"/>
          <w:tblHeader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9E252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C65CB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9D5EA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0628C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18E51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DA433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10C26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98BDC8E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59909C2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B18069C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3C24BD0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FE34CC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E05E69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36CA080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9562052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822D11E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ABD31E1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F779B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011A56A9" w14:textId="77777777" w:rsidTr="001F6594">
        <w:trPr>
          <w:trHeight w:val="242"/>
          <w:tblHeader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33A8E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A5837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70EC5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E7EC6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2384A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637DE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9EFFB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829B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5B19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AD2B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25679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C4F4C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B13D0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4007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35A82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3EF50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0B1D7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386E1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4A29A299" w14:textId="77777777" w:rsidTr="001F6594">
        <w:trPr>
          <w:trHeight w:val="242"/>
          <w:tblHeader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B3AAE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70247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F0D4D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DFC98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020D7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8DF33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7948C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AA3B7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769B0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E6657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91CE8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6A92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411D7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D2279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04CB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C746D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B7947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8600D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5E5A8415" w14:textId="77777777" w:rsidTr="001F6594">
        <w:trPr>
          <w:trHeight w:val="242"/>
          <w:tblHeader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932F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E567B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86F72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83C2F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9B3C2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20DC4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6EE73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667E1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</w:t>
            </w: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BDBC2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3127AFA9" w14:textId="77777777" w:rsidTr="001F6594">
        <w:trPr>
          <w:trHeight w:val="242"/>
          <w:tblHeader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A006E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5DE5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1DD2E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EF006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AE681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9B1EB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27B29B1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9FB09F2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EB96DEC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ABABB84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8B8AD6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FE19C03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D2B1D7F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A175519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C287041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6675517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538275A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64A72EC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</w:tr>
      <w:tr w:rsidR="00C57E2B" w:rsidRPr="00C57E2B" w14:paraId="514CD764" w14:textId="77777777" w:rsidTr="001F6594">
        <w:trPr>
          <w:trHeight w:val="242"/>
          <w:tblHeader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ABDC2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EB3BD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22197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F8614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7A081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55CA4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FC903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F2BDE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2AAD4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07648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69E3F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1948D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CD1DF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C1A0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F32FE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419CE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EE460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C307D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</w:tr>
      <w:tr w:rsidR="00C57E2B" w:rsidRPr="00C57E2B" w14:paraId="3A4F74C5" w14:textId="77777777" w:rsidTr="001F6594">
        <w:trPr>
          <w:trHeight w:val="242"/>
          <w:tblHeader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00913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8DE0B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B120F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0768F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10CC3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37340" w14:textId="77777777" w:rsidR="00C57E2B" w:rsidRPr="00C57E2B" w:rsidRDefault="00C57E2B" w:rsidP="00C57E2B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932FF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624D1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F715E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CFE5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60541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46A8E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87832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7C8E3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2AB8B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BCFBC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D29C7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87FE6" w14:textId="77777777" w:rsidR="00C57E2B" w:rsidRPr="00C57E2B" w:rsidRDefault="00C57E2B" w:rsidP="00C57E2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</w:tr>
      <w:tr w:rsidR="00C57E2B" w:rsidRPr="00C57E2B" w14:paraId="5571A040" w14:textId="77777777" w:rsidTr="00C57E2B">
        <w:trPr>
          <w:trHeight w:val="254"/>
        </w:trPr>
        <w:tc>
          <w:tcPr>
            <w:tcW w:w="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F77B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62600</w:t>
            </w:r>
          </w:p>
        </w:tc>
        <w:tc>
          <w:tcPr>
            <w:tcW w:w="24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092A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účastníci, kteří získali kvalifikaci po ukončení své účasti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5FA9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B2D0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N/R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A310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836E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7E2E454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025ACE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068205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5AEA44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7E1AB8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77E7BE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A639A7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A2AA43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38,000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0EBE1D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44511E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8CBFE3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74E377A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19,000</w:t>
            </w:r>
          </w:p>
        </w:tc>
      </w:tr>
      <w:tr w:rsidR="00C57E2B" w:rsidRPr="00C57E2B" w14:paraId="7BB5E306" w14:textId="77777777" w:rsidTr="00C57E2B">
        <w:trPr>
          <w:trHeight w:val="235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D90C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8718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8CB6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DEDF3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271E4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21C1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BD112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6BFE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C10F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4126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39DA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36AE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80C7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2D2B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AE47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B7A3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CEA7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BF0E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6FDF4766" w14:textId="77777777" w:rsidTr="00C57E2B">
        <w:trPr>
          <w:trHeight w:val="235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348D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9EADC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DC2A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A130D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DBC6C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69BB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715F6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5BFA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6E76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7291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26D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1489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A9DD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580E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32,000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E917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FEFA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AB17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5FD9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73C81056" w14:textId="77777777" w:rsidTr="00C57E2B">
        <w:trPr>
          <w:trHeight w:val="242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C30C5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BC476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0D362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E3654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189B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E314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4BF1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914AB5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8FD8FA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27CE73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CBEF1E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452613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767697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545A83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38,000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C5283E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49ABA1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EE1CC4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6F4B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7B4787A2" w14:textId="77777777" w:rsidTr="00C57E2B">
        <w:trPr>
          <w:trHeight w:val="242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27A1F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E2C5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8FA9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2A15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65483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F971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3D04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A10D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56BF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BA45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D887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9CAE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9A8E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18D7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D0F7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C82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79F7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E9E9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434C46A8" w14:textId="77777777" w:rsidTr="00C57E2B">
        <w:trPr>
          <w:trHeight w:val="242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B3E3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FDF72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00729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8AAE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02160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149D0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8169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6A6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7353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0FDC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BF1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3C29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D615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C26D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32,000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9DC1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D648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75B5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554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0C080EC9" w14:textId="77777777" w:rsidTr="00C57E2B">
        <w:trPr>
          <w:trHeight w:val="254"/>
        </w:trPr>
        <w:tc>
          <w:tcPr>
            <w:tcW w:w="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F67E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80810</w:t>
            </w:r>
          </w:p>
        </w:tc>
        <w:tc>
          <w:tcPr>
            <w:tcW w:w="24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2170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Míra čerpání prostředků programu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B63E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388E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N/R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6E6E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%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5B4A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FCFC74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11DB90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C4F21A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2CA9F5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6,330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24EC13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10,070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25820B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15,920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9EB16D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17,430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AD82F9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3,680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2A5A90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851661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5C55C3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3F6E784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52,020</w:t>
            </w:r>
          </w:p>
        </w:tc>
      </w:tr>
      <w:tr w:rsidR="00C57E2B" w:rsidRPr="00C57E2B" w14:paraId="49E74AE1" w14:textId="77777777" w:rsidTr="00C57E2B">
        <w:trPr>
          <w:trHeight w:val="242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BFF3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A1AA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C307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BEB8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7202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AA76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41B3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3F07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C812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4C94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9B30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518E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8891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116C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3595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7F78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F354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7CCD9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6A370794" w14:textId="77777777" w:rsidTr="00C57E2B">
        <w:trPr>
          <w:trHeight w:val="242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088B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961F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353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7776A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0749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558B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91D2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F3AC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DC7B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2B96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E7D2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5175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E39D5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D5B3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07D8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D9C1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AAAB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553A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7A11A89A" w14:textId="77777777" w:rsidTr="00C57E2B">
        <w:trPr>
          <w:trHeight w:val="242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AB7C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D8D5D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90415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27954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96832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318DF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0E63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22BF5D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B837AC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E0AAC5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6,330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A82635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16,400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729E35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30,910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D0429B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48,340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3C0736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52,020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916D7F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C67A0A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E8C026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454FC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548E9A54" w14:textId="77777777" w:rsidTr="00C57E2B">
        <w:trPr>
          <w:trHeight w:val="242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E281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3BB1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C391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E61C5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DAF7C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61290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865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E1D9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29C0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6E6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C95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94A4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4463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6D9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FEA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A9A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325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4A51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47CE37DA" w14:textId="77777777" w:rsidTr="00C57E2B">
        <w:trPr>
          <w:trHeight w:val="242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C3781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E2A93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2E99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491A2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7E30F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2AA21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4B7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DE3A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6C3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A443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65C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F92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F1F8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FC6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AEC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BF3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A804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728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C57E2B" w:rsidRPr="00C57E2B" w14:paraId="2570C105" w14:textId="77777777" w:rsidTr="00C57E2B">
        <w:trPr>
          <w:trHeight w:val="254"/>
        </w:trPr>
        <w:tc>
          <w:tcPr>
            <w:tcW w:w="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1706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lastRenderedPageBreak/>
              <w:t>82510</w:t>
            </w:r>
          </w:p>
        </w:tc>
        <w:tc>
          <w:tcPr>
            <w:tcW w:w="24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0E5F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Míra stabilizace zaměstnanců implementační struktury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345C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9496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N/R</w:t>
            </w: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1A0E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%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779E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číslo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23FBF8D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48653B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046827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C08BFE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6B7C65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41,070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341FDD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14,770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5B51D9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9,630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03D11EF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2,450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1E5BCC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58774D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89AE49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940C92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135,840</w:t>
            </w:r>
          </w:p>
        </w:tc>
      </w:tr>
      <w:tr w:rsidR="00C57E2B" w:rsidRPr="00C57E2B" w14:paraId="7F2745B8" w14:textId="77777777" w:rsidTr="00C57E2B">
        <w:trPr>
          <w:trHeight w:val="242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9A1F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7C06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5CD51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6854A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4A7C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5ECC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F8E2C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01839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E3294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7129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0CE8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FAFD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997A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CE0A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2420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CC41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B784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11D8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5E7CD4DB" w14:textId="77777777" w:rsidTr="00C57E2B">
        <w:trPr>
          <w:trHeight w:val="242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A971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72E88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5066F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A708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C261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1D1C0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C9788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0FB00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A1EC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C2BE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C6AA7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2B3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A865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0A723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8BEA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6A8B1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26598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E0432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3F6BEC9E" w14:textId="77777777" w:rsidTr="00C57E2B">
        <w:trPr>
          <w:trHeight w:val="242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EBD68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5358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3EB9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1CE6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746D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66E2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C3D7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5CE9E4D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29BBFEC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C1E934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C05F79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41,070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BF951E6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55,840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6C7B4CE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65,470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6700AEA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67,920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35FA92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7E9C1B2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DB892CB" w14:textId="77777777" w:rsidR="00C57E2B" w:rsidRPr="00C57E2B" w:rsidRDefault="00C57E2B" w:rsidP="00C57E2B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45A6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C57E2B" w:rsidRPr="00C57E2B" w14:paraId="37049C11" w14:textId="77777777" w:rsidTr="00C57E2B">
        <w:trPr>
          <w:trHeight w:val="242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6137C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A5809E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4177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644C4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C9070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2003F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1150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8FF1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8ED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8AF3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BA2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97A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3874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ADC22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D68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29CA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0FD8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E5E1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C57E2B" w:rsidRPr="00C57E2B" w14:paraId="70F09DE2" w14:textId="77777777" w:rsidTr="00C57E2B">
        <w:trPr>
          <w:trHeight w:val="242"/>
        </w:trPr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3FBE9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3FB4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BA04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049DD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EE721C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9C794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69D1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49F6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AA9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0E063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CE9AA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D0557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8145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6036B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DE10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FD756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4E4BF" w14:textId="77777777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3972" w14:textId="225F764B" w:rsidR="00C57E2B" w:rsidRPr="00C57E2B" w:rsidRDefault="00C57E2B" w:rsidP="00C57E2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</w:pPr>
            <w:r w:rsidRPr="00C57E2B">
              <w:rPr>
                <w:rFonts w:ascii="Arial" w:eastAsia="Times New Roman" w:hAnsi="Arial" w:cs="Arial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</w:tbl>
    <w:p w14:paraId="17EDE662" w14:textId="77777777" w:rsidR="00C57E2B" w:rsidRPr="003C2AA4" w:rsidRDefault="00C57E2B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</w:p>
    <w:p w14:paraId="6BA2E4DF" w14:textId="77777777" w:rsidR="003C2AA4" w:rsidRPr="003C2AA4" w:rsidRDefault="003C2AA4" w:rsidP="003C2AA4">
      <w:pPr>
        <w:tabs>
          <w:tab w:val="left" w:pos="1675"/>
        </w:tabs>
        <w:ind w:left="115" w:right="529"/>
        <w:rPr>
          <w:rFonts w:ascii="Arial" w:eastAsia="Arial" w:hAnsi="Arial" w:cs="Arial"/>
          <w:i/>
          <w:iCs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Povinné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jsou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roční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i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kumulované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údaje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.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Pokud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nelze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roční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hodnotu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poskytnout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(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např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.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kvůli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skutečnosti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že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jsou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uvedeny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procentní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podíly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a 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jmenovatel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by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byl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nulový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),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není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roční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hodnota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použitelná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.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Kumulativní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hodnoty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ukazatelů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v 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absolutních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hodnotách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procentech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v 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poměru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k 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referenčním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ukazatelům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výstupů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se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počítají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i/>
          <w:iCs/>
          <w:color w:val="000000"/>
          <w:sz w:val="20"/>
        </w:rPr>
        <w:t>automaticky</w:t>
      </w:r>
      <w:proofErr w:type="spellEnd"/>
      <w:r w:rsidRPr="003C2AA4">
        <w:rPr>
          <w:rFonts w:ascii="Arial" w:eastAsia="Arial" w:hAnsi="Arial" w:cs="Arial"/>
          <w:i/>
          <w:iCs/>
          <w:color w:val="000000"/>
          <w:sz w:val="20"/>
        </w:rPr>
        <w:t>.</w:t>
      </w:r>
    </w:p>
    <w:p w14:paraId="63332237" w14:textId="77777777" w:rsidR="003C2AA4" w:rsidRPr="003C2AA4" w:rsidRDefault="003C2AA4" w:rsidP="003C2AA4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3BB484B4" w14:textId="77777777" w:rsidR="003C2AA4" w:rsidRPr="003C2AA4" w:rsidRDefault="003C2AA4" w:rsidP="003C2AA4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1753B660" w14:textId="77777777" w:rsidR="003C2AA4" w:rsidRPr="003C2AA4" w:rsidRDefault="003C2AA4" w:rsidP="003C2AA4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>----------------------------------------------------</w:t>
      </w:r>
    </w:p>
    <w:p w14:paraId="01883135" w14:textId="77777777" w:rsidR="003C2AA4" w:rsidRPr="003C2AA4" w:rsidRDefault="003C2AA4" w:rsidP="003C2AA4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 xml:space="preserve">6 -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Strukturované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požadované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YEI,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která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má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být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předložena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dubnu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2015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souladu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s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čl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19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odst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3 a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přílohou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II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nařízení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(EU) č. 1304/2013</w:t>
      </w:r>
    </w:p>
    <w:p w14:paraId="60D477CC" w14:textId="77777777" w:rsidR="003C2AA4" w:rsidRPr="003C2AA4" w:rsidRDefault="003C2AA4" w:rsidP="003C2AA4">
      <w:pPr>
        <w:spacing w:line="312" w:lineRule="auto"/>
        <w:ind w:left="115" w:right="670"/>
        <w:rPr>
          <w:rFonts w:ascii="Arial" w:eastAsia="Arial" w:hAnsi="Arial" w:cs="Arial"/>
          <w:color w:val="000000"/>
          <w:sz w:val="16"/>
        </w:rPr>
      </w:pPr>
    </w:p>
    <w:p w14:paraId="1A65744F" w14:textId="00163069" w:rsidR="003C2AA4" w:rsidRPr="003C2AA4" w:rsidRDefault="003C2AA4" w:rsidP="00C205DC">
      <w:r w:rsidRPr="003C2AA4">
        <w:br w:type="page"/>
      </w:r>
    </w:p>
    <w:p w14:paraId="412BB8E4" w14:textId="77777777" w:rsidR="003C2AA4" w:rsidRPr="003C2AA4" w:rsidRDefault="003C2AA4" w:rsidP="003C2AA4">
      <w:pPr>
        <w:spacing w:line="312" w:lineRule="auto"/>
        <w:ind w:left="115" w:right="670"/>
        <w:jc w:val="both"/>
        <w:rPr>
          <w:rFonts w:ascii="Arial" w:eastAsia="Arial" w:hAnsi="Arial" w:cs="Arial"/>
          <w:b/>
          <w:bCs/>
          <w:i/>
          <w:iCs/>
          <w:color w:val="000000"/>
          <w:sz w:val="16"/>
        </w:rPr>
      </w:pP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lastRenderedPageBreak/>
        <w:t>Tabulka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4A: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Společné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indikátory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výstupů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pro ESF (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podle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prioritních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os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investičních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priorit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kategorií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regionů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). U YEI se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rozdělení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podle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kategorií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regionů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nevyžaduje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pro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každou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prioritní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osu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nebo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její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část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r w:rsidRPr="003C2AA4">
        <w:rPr>
          <w:rFonts w:ascii="Arial" w:eastAsia="Arial" w:hAnsi="Arial" w:cs="Arial"/>
          <w:b/>
          <w:bCs/>
          <w:i/>
          <w:iCs/>
          <w:color w:val="000000"/>
          <w:sz w:val="16"/>
        </w:rPr>
        <w:t>(8)</w:t>
      </w:r>
    </w:p>
    <w:p w14:paraId="4560D387" w14:textId="4FB36D9A" w:rsidR="003C2AA4" w:rsidRDefault="003C2AA4" w:rsidP="00C205DC">
      <w:pPr>
        <w:keepNext/>
        <w:spacing w:before="120"/>
        <w:ind w:left="113" w:right="108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03.1.48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Přístup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k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osoby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hledající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neaktivní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osoby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dlouhodobě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nezaměstnaných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gramStart"/>
      <w:r w:rsidRPr="003C2AA4">
        <w:rPr>
          <w:rFonts w:ascii="Arial" w:eastAsia="Arial" w:hAnsi="Arial" w:cs="Arial"/>
          <w:color w:val="000000"/>
          <w:sz w:val="20"/>
        </w:rPr>
        <w:t>a</w:t>
      </w:r>
      <w:proofErr w:type="gram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osob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vzdálených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trhu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také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prostřednictvím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místních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iniciativ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podporu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zaměstnanosti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mobility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pracovníků</w:t>
      </w:r>
      <w:proofErr w:type="spellEnd"/>
    </w:p>
    <w:tbl>
      <w:tblPr>
        <w:tblW w:w="15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"/>
        <w:gridCol w:w="3115"/>
        <w:gridCol w:w="1075"/>
        <w:gridCol w:w="919"/>
        <w:gridCol w:w="491"/>
        <w:gridCol w:w="757"/>
        <w:gridCol w:w="647"/>
        <w:gridCol w:w="836"/>
        <w:gridCol w:w="836"/>
        <w:gridCol w:w="836"/>
        <w:gridCol w:w="757"/>
        <w:gridCol w:w="870"/>
        <w:gridCol w:w="870"/>
        <w:gridCol w:w="870"/>
        <w:gridCol w:w="1004"/>
        <w:gridCol w:w="899"/>
      </w:tblGrid>
      <w:tr w:rsidR="009F5335" w:rsidRPr="009F5335" w14:paraId="0129D9D7" w14:textId="77777777" w:rsidTr="00C205DC">
        <w:trPr>
          <w:trHeight w:val="709"/>
          <w:tblHeader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6ADAE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C97F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 (název indikátoru)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EC72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AD0E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 (Rozdělení podle pohlaví je pro cíl nepovinné)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AB2E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CED48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E0D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5691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CBB2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C4F66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EA67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F5BA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3B9E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F00B8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8914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B63B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 Rozdělení podle pohlaví je nepovinné</w:t>
            </w:r>
          </w:p>
        </w:tc>
      </w:tr>
      <w:tr w:rsidR="009F5335" w:rsidRPr="009F5335" w14:paraId="2D240DE8" w14:textId="77777777" w:rsidTr="00C205DC">
        <w:trPr>
          <w:trHeight w:val="240"/>
          <w:tblHeader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6CFDE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14B6B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3005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EA1C17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63F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CAC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5E27A6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201F5AD5" w14:textId="77777777" w:rsidTr="00C205DC">
        <w:trPr>
          <w:trHeight w:val="229"/>
          <w:tblHeader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47D5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EAC51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57585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0A3DD8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48BC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0FCB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9AC4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17A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982A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55D4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C864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8FB1C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6316B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CFC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9F384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EFC9DA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66A0D0FF" w14:textId="77777777" w:rsidTr="00C205DC">
        <w:trPr>
          <w:trHeight w:val="229"/>
          <w:tblHeader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C5E6A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EFBD3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F961C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E7C73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1E2C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74204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C90F4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1EA7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7FA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D6058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E3AB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BC67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085F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FD418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85D4E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106934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259B3D2A" w14:textId="77777777" w:rsidTr="009F5335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EB01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60100/CO01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1F1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Nezaměstnaní účastníci, včetně dlouhodobě nezaměstnaných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A7E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D82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181 894,000</w:t>
            </w:r>
          </w:p>
        </w:tc>
        <w:tc>
          <w:tcPr>
            <w:tcW w:w="77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35650C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7A7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165 170,000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1F47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90,806</w:t>
            </w:r>
          </w:p>
        </w:tc>
      </w:tr>
      <w:tr w:rsidR="009F5335" w:rsidRPr="009F5335" w14:paraId="21B63389" w14:textId="77777777" w:rsidTr="009F5335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62AE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27E38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50EAE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500AC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B8A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BC82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5 817,000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9301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261,000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D29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17 290,000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152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29 359,000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AE77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12 419,000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DA53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5 212,000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9CD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0C5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A775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0038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70 358,000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3CC6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00E5A7F4" w14:textId="77777777" w:rsidTr="009F5335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E3E29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984B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4441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15968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8C6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65EC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7 417,000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FC36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291,000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139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19 641,000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8B8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39 393,000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8CA2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19 037,000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0F2E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9 033,000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01A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4D2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3AD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451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94 812,000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F798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35CF955D" w14:textId="77777777" w:rsidTr="009F5335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FDCE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60100/CO01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8A3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Nezaměstnaní účastníci, včetně dlouhodobě nezaměstnaných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8F7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9CD11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8 750,000</w:t>
            </w:r>
          </w:p>
        </w:tc>
        <w:tc>
          <w:tcPr>
            <w:tcW w:w="77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6D0A2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23B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10 135,000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2BBE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115,829</w:t>
            </w:r>
          </w:p>
        </w:tc>
      </w:tr>
      <w:tr w:rsidR="009F5335" w:rsidRPr="009F5335" w14:paraId="432989F1" w14:textId="77777777" w:rsidTr="009F5335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A1E1B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5CBD3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2AB9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D687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884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E17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469,000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76D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ADA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1 290,000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F212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1 952,000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EF3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715,000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FC7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C877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EF4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20A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BC18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4 616,000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9BCD8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400BAC30" w14:textId="77777777" w:rsidTr="009F5335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9DB5B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51458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E47B1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4278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788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8AE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598,000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E04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5F7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1 403,000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BB5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2 346,000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09B3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922,000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8A4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CB49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7FD8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48F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D73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5 519,000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6133C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0020F2EC" w14:textId="77777777" w:rsidTr="009F5335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979F1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60300/CO03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D77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Neaktivní účastníci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28E1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193E5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5 245,000</w:t>
            </w:r>
          </w:p>
        </w:tc>
        <w:tc>
          <w:tcPr>
            <w:tcW w:w="77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E390FC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D06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8 621,000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052AF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164,366</w:t>
            </w:r>
          </w:p>
        </w:tc>
      </w:tr>
      <w:tr w:rsidR="009F5335" w:rsidRPr="009F5335" w14:paraId="06DB23F6" w14:textId="77777777" w:rsidTr="009F5335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3F81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05DB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B8573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F7B65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C40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9E0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700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5FB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423,000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DC3C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1 199,000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C6A0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974,000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C8C5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1 224,000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0B3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675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36D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C5D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3 821,000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A02D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1148D6A4" w14:textId="77777777" w:rsidTr="009F5335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FF368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BF90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CE0B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603F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87C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DB89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28A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B0E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719,000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D7F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1 520,000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275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1 265,000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7A0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1 294,000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9D4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3A50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FD20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8CBA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4 800,000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CA9F2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604370FD" w14:textId="77777777" w:rsidTr="009F5335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170A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60300/CO03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9CB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Neaktivní účastníci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209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758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262,000</w:t>
            </w:r>
          </w:p>
        </w:tc>
        <w:tc>
          <w:tcPr>
            <w:tcW w:w="77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79F9B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A49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187,000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EB8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71,374</w:t>
            </w:r>
          </w:p>
        </w:tc>
      </w:tr>
      <w:tr w:rsidR="009F5335" w:rsidRPr="009F5335" w14:paraId="4956626F" w14:textId="77777777" w:rsidTr="009F5335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281F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5185D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8C5D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1B04F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C66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E2FD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F438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F1AE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60A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5C0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806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C61F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F31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48D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372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51,000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2FB59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0B874B95" w14:textId="77777777" w:rsidTr="009F5335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0B0A7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DAF1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536EE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29AC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0F6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8C7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3A4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94D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1C6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61,000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7D0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F031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6F7E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262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6A1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C1E1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136,000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5A5BF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1E64F3E5" w14:textId="77777777" w:rsidTr="009F5335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B4AB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60600/CO06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E92D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ve věku do 25 let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52B9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EFC8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36 739,000</w:t>
            </w:r>
          </w:p>
        </w:tc>
        <w:tc>
          <w:tcPr>
            <w:tcW w:w="77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BF958A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865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29 723,000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25E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80,903</w:t>
            </w:r>
          </w:p>
        </w:tc>
      </w:tr>
      <w:tr w:rsidR="009F5335" w:rsidRPr="009F5335" w14:paraId="21F7E0DA" w14:textId="77777777" w:rsidTr="009F5335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D52C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DC48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B880B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30113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0CE5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96A9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1 357,000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A6A5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103,000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F26E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3 898,000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8A2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6 606,000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5F1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2 328,000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325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1 560,000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318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67F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9F3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C53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15 852,000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87B1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56F5A31E" w14:textId="77777777" w:rsidTr="009F5335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79D27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B7C0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21710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FB0A7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468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C98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1 264,000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48FF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88,000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F8F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2 632,000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29D0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6 122,000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0C9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2 323,000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3BB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1 442,000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C7D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029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03A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BD2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13 871,000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56CCA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43F5CCCA" w14:textId="77777777" w:rsidTr="009F5335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933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60600/CO06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E686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ve věku do 25 let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708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180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1 832,000</w:t>
            </w:r>
          </w:p>
        </w:tc>
        <w:tc>
          <w:tcPr>
            <w:tcW w:w="77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D8943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B1EF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1 565,000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F6515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85,426</w:t>
            </w:r>
          </w:p>
        </w:tc>
      </w:tr>
      <w:tr w:rsidR="009F5335" w:rsidRPr="009F5335" w14:paraId="07967EC6" w14:textId="77777777" w:rsidTr="009F5335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E4C7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7EDA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B4447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3FA5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164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80F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109,000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981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9CC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260,000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3F8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373,000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52A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94,000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4281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B62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A7D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F3B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AE8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853,000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242B1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3ABB810A" w14:textId="77777777" w:rsidTr="009F5335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A172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A7B10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3F1C4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DB01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9D87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4E1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102,000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920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FF8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153,000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7D3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347,000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962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95,000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4B5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0991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4E2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90C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B42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712,000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773867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5002E204" w14:textId="77777777" w:rsidTr="009F5335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22A42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60700/CO07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06B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ve věku nad 54 let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3AB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C2E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48 986,000</w:t>
            </w:r>
          </w:p>
        </w:tc>
        <w:tc>
          <w:tcPr>
            <w:tcW w:w="77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945556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A54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30 352,000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350E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61,961</w:t>
            </w:r>
          </w:p>
        </w:tc>
      </w:tr>
      <w:tr w:rsidR="009F5335" w:rsidRPr="009F5335" w14:paraId="32CFC31A" w14:textId="77777777" w:rsidTr="009F5335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A58D3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27680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CF71D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5045D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FE8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948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1 075,000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047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86,000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1C9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3 119,000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F4C8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6 799,000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C7E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3 784,000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A3E2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1 653,000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A92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F33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773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5FB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16 516,000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DC7DB7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5E944591" w14:textId="77777777" w:rsidTr="009F5335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C8C6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2D14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2D79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D6D84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529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32F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712,000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2F0F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3DE8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2 189,000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D630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5 326,000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9FA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3 532,000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34D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2 015,000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E2E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F76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41A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85E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13 836,000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46A77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45C75236" w14:textId="77777777" w:rsidTr="009F5335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DBFB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60700/CO07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19D5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ve věku nad 54 let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EBB3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3E25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2 443,000</w:t>
            </w:r>
          </w:p>
        </w:tc>
        <w:tc>
          <w:tcPr>
            <w:tcW w:w="77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A6FE9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998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1 769,000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0812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72,411</w:t>
            </w:r>
          </w:p>
        </w:tc>
      </w:tr>
      <w:tr w:rsidR="009F5335" w:rsidRPr="009F5335" w14:paraId="3841BCF6" w14:textId="77777777" w:rsidTr="009F5335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A9B9E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4CEBE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26D0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1DB8A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0C17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EF4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87,000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A36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799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221,000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874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454,000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B8ED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206,000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2EFB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5E9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F2B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30B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E10F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1 028,000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E5CF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5F1237B1" w14:textId="77777777" w:rsidTr="009F5335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AF08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B1A2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5633B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0AB12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C51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7C55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57,000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B820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79C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136,000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66F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324,000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CB6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158,000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A2F6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66,000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D3E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B31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B4A1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5ECB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741,000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6B6D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0B54A7C3" w14:textId="77777777" w:rsidTr="009F5335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615C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lastRenderedPageBreak/>
              <w:t>60900/CO09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DB0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s ukončeným primárním (ISCED 1) nebo nižším sekundárním (ISCED 2) vzděláním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051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2421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8 477,000</w:t>
            </w:r>
          </w:p>
        </w:tc>
        <w:tc>
          <w:tcPr>
            <w:tcW w:w="77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0F06B8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76B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44 142,000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43B5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520,727</w:t>
            </w:r>
          </w:p>
        </w:tc>
      </w:tr>
      <w:tr w:rsidR="009F5335" w:rsidRPr="009F5335" w14:paraId="15A84BBD" w14:textId="77777777" w:rsidTr="009F5335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B497B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C2F7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2539E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2C093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9A3A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D58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1 487,000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5FE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F6A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3 811,000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C35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9 487,000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4D9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4 352,000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FB1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2 316,000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7BA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3E0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AC7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E94C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21 475,000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F0CB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72251B41" w14:textId="77777777" w:rsidTr="009F5335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6E3C8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6003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24FE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07E0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B67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AE5B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1 201,000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B2A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F00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3 159,000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5FA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9 489,000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CC0D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5 642,000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FE2C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3 157,000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0BB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19C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3179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D31C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22 667,000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BA06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47A8D36B" w14:textId="77777777" w:rsidTr="009F5335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8148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60900/CO09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3539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s ukončeným primárním (ISCED 1) nebo nižším sekundárním (ISCED 2) vzděláním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A96A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6E5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423,000</w:t>
            </w:r>
          </w:p>
        </w:tc>
        <w:tc>
          <w:tcPr>
            <w:tcW w:w="77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9D1DB4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9664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2 449,000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543DB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578,960</w:t>
            </w:r>
          </w:p>
        </w:tc>
      </w:tr>
      <w:tr w:rsidR="009F5335" w:rsidRPr="009F5335" w14:paraId="18AD2FFF" w14:textId="77777777" w:rsidTr="009F5335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385D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F17A8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600C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7CE0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656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7A98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120,000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F94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02B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257,000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74CF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616,000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911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224,000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D190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54,000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47C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864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CAE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ABE7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1 271,000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A683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74791163" w14:textId="77777777" w:rsidTr="009F5335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17029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B00C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E95BF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9B067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369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EF4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97,000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757A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A29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193,000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524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534,000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068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268,000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91A0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86,000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61F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B28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0E6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59A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1 178,000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365C2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3304E27E" w14:textId="77777777" w:rsidTr="009F5335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CF408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62000/CO20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B47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projektů, které zcela nebo zčásti provádějí sociální partneři nebo nevládní organizace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B1A9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8045F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100,000</w:t>
            </w:r>
          </w:p>
        </w:tc>
        <w:tc>
          <w:tcPr>
            <w:tcW w:w="77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0C917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5841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262,000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EB3B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262,000</w:t>
            </w:r>
          </w:p>
        </w:tc>
      </w:tr>
      <w:tr w:rsidR="009F5335" w:rsidRPr="009F5335" w14:paraId="4AD0941C" w14:textId="77777777" w:rsidTr="009F5335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71CE1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D46A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8BD11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0BB77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49DD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4A9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B55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3715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0134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0BAF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D78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9AC1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AC5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CCE0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92B3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B2E0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07B121E4" w14:textId="77777777" w:rsidTr="009F5335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CED56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DCB7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D2DE5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9324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9E8B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8D0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D3A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0CD1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BFC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E307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55D7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F156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668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5B0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08E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09A6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4A86F491" w14:textId="77777777" w:rsidTr="009F5335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D696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62000/CO20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F927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projektů, které zcela nebo zčásti provádějí sociální partneři nebo nevládní organizace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440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B75A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6BBB2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F6CD1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7893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C78E8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B35D1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07B81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E17A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4F596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26DC07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3D72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C2F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8ED2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9F5335" w:rsidRPr="009F5335" w14:paraId="2CC98008" w14:textId="77777777" w:rsidTr="009F5335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1363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68D5A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D88DE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8BFE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7A0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1D1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885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9B9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DBB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38A6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0FDC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4F19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2B7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02BA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4F7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0E2C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206540BF" w14:textId="77777777" w:rsidTr="009F5335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1772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85724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EF15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CF90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9A54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8A8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848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47D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E4E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D9F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EDB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56A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E75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DD84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05E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10038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</w:tbl>
    <w:p w14:paraId="31809D30" w14:textId="77777777" w:rsidR="009F5335" w:rsidRPr="003C2AA4" w:rsidRDefault="009F5335" w:rsidP="009F5335">
      <w:pPr>
        <w:ind w:right="108"/>
        <w:jc w:val="both"/>
        <w:rPr>
          <w:rFonts w:ascii="Arial" w:eastAsia="Arial" w:hAnsi="Arial" w:cs="Arial"/>
          <w:color w:val="000000"/>
          <w:sz w:val="20"/>
        </w:rPr>
      </w:pPr>
    </w:p>
    <w:p w14:paraId="14E29AAF" w14:textId="5BB2807A" w:rsidR="003C2AA4" w:rsidRDefault="003C2AA4" w:rsidP="009F5335">
      <w:pPr>
        <w:keepNext/>
        <w:spacing w:before="120"/>
        <w:ind w:left="113" w:right="108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03.1.49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Trvalé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začlenění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mladých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lidí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trh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mimo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jiné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pomocí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r w:rsidR="009F5335">
        <w:rPr>
          <w:rFonts w:ascii="Arial" w:eastAsia="Arial" w:hAnsi="Arial" w:cs="Arial"/>
          <w:color w:val="000000"/>
          <w:sz w:val="20"/>
        </w:rPr>
        <w:t>“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záruky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mladé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lidi</w:t>
      </w:r>
      <w:proofErr w:type="spellEnd"/>
      <w:r w:rsidR="009F5335">
        <w:rPr>
          <w:rFonts w:ascii="Arial" w:eastAsia="Arial" w:hAnsi="Arial" w:cs="Arial"/>
          <w:color w:val="000000"/>
          <w:sz w:val="20"/>
        </w:rPr>
        <w:t>”</w:t>
      </w:r>
      <w:r w:rsidRPr="003C2AA4">
        <w:rPr>
          <w:rFonts w:ascii="Arial" w:eastAsia="Arial" w:hAnsi="Arial" w:cs="Arial"/>
          <w:color w:val="000000"/>
          <w:sz w:val="20"/>
        </w:rPr>
        <w:t xml:space="preserve">, a to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zejména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těch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kteří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nejsou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vzdělávání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v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nebo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profesní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přípravě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těch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mladých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lidí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kterým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hrozí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sociální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vyloučení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mladých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lidí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z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marginalizovaných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komunit</w:t>
      </w:r>
      <w:proofErr w:type="spellEnd"/>
    </w:p>
    <w:tbl>
      <w:tblPr>
        <w:tblW w:w="158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"/>
        <w:gridCol w:w="3322"/>
        <w:gridCol w:w="1010"/>
        <w:gridCol w:w="887"/>
        <w:gridCol w:w="785"/>
        <w:gridCol w:w="785"/>
        <w:gridCol w:w="785"/>
        <w:gridCol w:w="785"/>
        <w:gridCol w:w="785"/>
        <w:gridCol w:w="785"/>
        <w:gridCol w:w="785"/>
        <w:gridCol w:w="785"/>
        <w:gridCol w:w="785"/>
        <w:gridCol w:w="785"/>
        <w:gridCol w:w="1004"/>
        <w:gridCol w:w="843"/>
      </w:tblGrid>
      <w:tr w:rsidR="009F5335" w:rsidRPr="009F5335" w14:paraId="5B2B71D7" w14:textId="77777777" w:rsidTr="00C205DC">
        <w:trPr>
          <w:trHeight w:val="811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F55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3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EED4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 (název indikátoru)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2316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10EA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 (Rozdělení podle pohlaví je pro cíl nepovinné)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C330C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F4266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34AC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7FCA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52A1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DA35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F66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7EE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E2C74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0B05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FB77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A18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 Rozdělení podle pohlaví je nepovinné</w:t>
            </w:r>
          </w:p>
        </w:tc>
      </w:tr>
      <w:tr w:rsidR="009F5335" w:rsidRPr="009F5335" w14:paraId="2766AF29" w14:textId="77777777" w:rsidTr="00C205DC">
        <w:trPr>
          <w:trHeight w:val="274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B3A38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54C83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51315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9F022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2A95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7511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BC5FA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20537DC2" w14:textId="77777777" w:rsidTr="00C205DC">
        <w:trPr>
          <w:trHeight w:val="274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A793C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9C0C3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4BF63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7F002F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6EAAF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0CB8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E42F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A3EF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DEE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AD3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EF7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BC4B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439B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5C0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43A6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72AD7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0F006F3A" w14:textId="77777777" w:rsidTr="00C205DC">
        <w:trPr>
          <w:trHeight w:val="262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C347F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6CEBD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62A5D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3F572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BF114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5DDC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B9B6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271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6DBD2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FD4E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501C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138B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9F61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0495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0B8BF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C5187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</w:tbl>
    <w:p w14:paraId="69F7B736" w14:textId="77777777" w:rsidR="009F5335" w:rsidRPr="003C2AA4" w:rsidRDefault="009F5335" w:rsidP="00C205DC">
      <w:pPr>
        <w:ind w:right="108"/>
        <w:jc w:val="both"/>
        <w:rPr>
          <w:rFonts w:ascii="Arial" w:eastAsia="Arial" w:hAnsi="Arial" w:cs="Arial"/>
          <w:color w:val="000000"/>
          <w:sz w:val="20"/>
        </w:rPr>
      </w:pPr>
    </w:p>
    <w:p w14:paraId="7E425E0F" w14:textId="76B45286" w:rsidR="003C2AA4" w:rsidRDefault="003C2AA4" w:rsidP="009F5335">
      <w:pPr>
        <w:keepNext/>
        <w:spacing w:before="120"/>
        <w:ind w:left="113" w:right="108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lastRenderedPageBreak/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03.1.51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Rovnost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žen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mužů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všech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oblastech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a to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pokud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jde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přístup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k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kariérní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postup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sladění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pracovního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soukromého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života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podpora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stejné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odměny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za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stejnou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práci</w:t>
      </w:r>
      <w:proofErr w:type="spellEnd"/>
    </w:p>
    <w:tbl>
      <w:tblPr>
        <w:tblW w:w="159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4"/>
        <w:gridCol w:w="2956"/>
        <w:gridCol w:w="931"/>
        <w:gridCol w:w="887"/>
        <w:gridCol w:w="839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13"/>
        <w:gridCol w:w="991"/>
        <w:gridCol w:w="12"/>
        <w:gridCol w:w="829"/>
      </w:tblGrid>
      <w:tr w:rsidR="009F5335" w:rsidRPr="009F5335" w14:paraId="56329FF6" w14:textId="77777777" w:rsidTr="00C205DC">
        <w:trPr>
          <w:trHeight w:val="677"/>
          <w:tblHeader/>
        </w:trPr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BBE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3BA0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 (název indikátoru)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827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01B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 (Rozdělení podle pohlaví je pro cíl nepovinné)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BDEA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EC0A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EBAA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D9CCA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4EEE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D5DE5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F574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0461E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EEB14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339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BD3E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7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B7A2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 Rozdělení podle pohlaví je nepovinné</w:t>
            </w:r>
          </w:p>
        </w:tc>
      </w:tr>
      <w:tr w:rsidR="009F5335" w:rsidRPr="009F5335" w14:paraId="6440B707" w14:textId="77777777" w:rsidTr="00C205DC">
        <w:trPr>
          <w:trHeight w:val="218"/>
          <w:tblHeader/>
        </w:trPr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F7F99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0B9E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D69C3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BF54FA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5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BCD52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75BE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61C147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467545CE" w14:textId="77777777" w:rsidTr="00C205DC">
        <w:trPr>
          <w:trHeight w:val="229"/>
          <w:tblHeader/>
        </w:trPr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A79A9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A1460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C6166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13436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CD14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4C26B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5CDC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E438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1898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DB9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E82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B70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4A1B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AEC96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31D38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4C84F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621CD1D5" w14:textId="77777777" w:rsidTr="00C205DC">
        <w:trPr>
          <w:trHeight w:val="229"/>
          <w:tblHeader/>
        </w:trPr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3D823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8A8F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B739B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EECB1D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2EE2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7271C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27F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D79C1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4D135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AADE8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E53FA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8E96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2F87E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D81C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77F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F46D95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23A024BD" w14:textId="77777777" w:rsidTr="009F5335">
        <w:trPr>
          <w:trHeight w:val="229"/>
        </w:trPr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B704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10106/CO23</w:t>
            </w:r>
          </w:p>
        </w:tc>
        <w:tc>
          <w:tcPr>
            <w:tcW w:w="3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D7B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podporovaných mikropodniků, malých a středních podniků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04BD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7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83AC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115,000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9A2E0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E4CCD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93F99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DB4F1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58CB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A3B88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EAAC2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ADB8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2402C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BCD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C26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669,000</w:t>
            </w:r>
          </w:p>
        </w:tc>
        <w:tc>
          <w:tcPr>
            <w:tcW w:w="7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96B25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581,739</w:t>
            </w:r>
          </w:p>
        </w:tc>
      </w:tr>
      <w:tr w:rsidR="009F5335" w:rsidRPr="009F5335" w14:paraId="114B1A0A" w14:textId="77777777" w:rsidTr="009F5335">
        <w:trPr>
          <w:trHeight w:val="229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AE264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F2D7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7EEBA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22D72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043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F1F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D727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2D3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D66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CAA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DEF7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9C6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6AB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EBD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6C4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A1D3E7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6CC082FD" w14:textId="77777777" w:rsidTr="009F5335">
        <w:trPr>
          <w:trHeight w:val="229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2B24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EEDE1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CAA89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378E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4F7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A93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BD4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66B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51B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D2A1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357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7EF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5DB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E23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426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F807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45737420" w14:textId="77777777" w:rsidTr="009F5335">
        <w:trPr>
          <w:trHeight w:val="229"/>
        </w:trPr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065E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10106/CO23</w:t>
            </w:r>
          </w:p>
        </w:tc>
        <w:tc>
          <w:tcPr>
            <w:tcW w:w="3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11B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podporovaných mikropodniků, malých a středních podniků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ED9C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7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60B7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15,000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12184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A9CB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BA79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786CA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BEED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36C19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AC9D2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509C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25DF4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9C07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8831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669,000</w:t>
            </w:r>
          </w:p>
        </w:tc>
        <w:tc>
          <w:tcPr>
            <w:tcW w:w="7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A25A8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4 460,000</w:t>
            </w:r>
          </w:p>
        </w:tc>
      </w:tr>
      <w:tr w:rsidR="009F5335" w:rsidRPr="009F5335" w14:paraId="380FAB2F" w14:textId="77777777" w:rsidTr="009F5335">
        <w:trPr>
          <w:trHeight w:val="229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ABE2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9D9F6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FA20E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CB42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90B0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8CC8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5D3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AD1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433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AB33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983C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DB8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F9F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B22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157B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ADF7F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5B69C457" w14:textId="77777777" w:rsidTr="009F5335">
        <w:trPr>
          <w:trHeight w:val="229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26F0B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E1AC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867D9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CEB4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484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3849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628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C94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DE5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B43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193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F494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9DB0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F0B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6D6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8E8D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0143DDDB" w14:textId="77777777" w:rsidTr="009F5335">
        <w:trPr>
          <w:trHeight w:val="229"/>
        </w:trPr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32F2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62000/CO20</w:t>
            </w:r>
          </w:p>
        </w:tc>
        <w:tc>
          <w:tcPr>
            <w:tcW w:w="3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329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projektů, které zcela nebo zčásti provádějí sociální partneři nebo nevládní organizace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3ED4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7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BB3E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79,000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A9113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054C3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496B1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9D2E8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0F22F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BE79B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4F21E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3F03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30D1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7A5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7B07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1 431,000</w:t>
            </w:r>
          </w:p>
        </w:tc>
        <w:tc>
          <w:tcPr>
            <w:tcW w:w="7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A13BB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1 811,392</w:t>
            </w:r>
          </w:p>
        </w:tc>
      </w:tr>
      <w:tr w:rsidR="009F5335" w:rsidRPr="009F5335" w14:paraId="4B1D59C7" w14:textId="77777777" w:rsidTr="009F5335">
        <w:trPr>
          <w:trHeight w:val="229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A2C3D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40128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3C15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EBEA6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BA70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102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AD8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3472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08A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F965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31A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369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3532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518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DD3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788F47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68193177" w14:textId="77777777" w:rsidTr="009F5335">
        <w:trPr>
          <w:trHeight w:val="229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A0FF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136D6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5970E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4DD96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7C8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7B90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2431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CBB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A0D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05FF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F96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38AE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FA7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C4C1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01CA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A7BD6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32836B99" w14:textId="77777777" w:rsidTr="009F5335">
        <w:trPr>
          <w:trHeight w:val="229"/>
        </w:trPr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8C68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62000/CO20</w:t>
            </w:r>
          </w:p>
        </w:tc>
        <w:tc>
          <w:tcPr>
            <w:tcW w:w="3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340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projektů, které zcela nebo zčásti provádějí sociální partneři nebo nevládní organizace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66D2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7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042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11,000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73DD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EC034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4667A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42A1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D0ABA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56B91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80F8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49B71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02CF6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12D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579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185,000</w:t>
            </w:r>
          </w:p>
        </w:tc>
        <w:tc>
          <w:tcPr>
            <w:tcW w:w="7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3DA8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1 681,818</w:t>
            </w:r>
          </w:p>
        </w:tc>
      </w:tr>
      <w:tr w:rsidR="009F5335" w:rsidRPr="009F5335" w14:paraId="0398281F" w14:textId="77777777" w:rsidTr="009F5335">
        <w:trPr>
          <w:trHeight w:val="229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C39E67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A0BCB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5B17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535E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1064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B03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68FA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246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422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BED7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C34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347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740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626F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0BC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AABA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7174ABA9" w14:textId="77777777" w:rsidTr="009F5335">
        <w:trPr>
          <w:trHeight w:val="229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47E9C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E154B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7A971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40FB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B098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9BFD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34C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EE9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D0D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0054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271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D8E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DE24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4E6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91E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015E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40632CB9" w14:textId="77777777" w:rsidTr="009F5335">
        <w:trPr>
          <w:trHeight w:val="229"/>
        </w:trPr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587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62100/CO21</w:t>
            </w:r>
          </w:p>
        </w:tc>
        <w:tc>
          <w:tcPr>
            <w:tcW w:w="3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F68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projektů zaměřených na udržitelnou zaměstnanost žen a udržitelný postup žen v zaměstnání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1DFE7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7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7DC1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361,000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D030F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F3B4D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6CB97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153BD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A586F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68B3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888C2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74E08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73FC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F5A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A2C1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1 960,750</w:t>
            </w:r>
          </w:p>
        </w:tc>
        <w:tc>
          <w:tcPr>
            <w:tcW w:w="7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AE2FE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543,144</w:t>
            </w:r>
          </w:p>
        </w:tc>
      </w:tr>
      <w:tr w:rsidR="009F5335" w:rsidRPr="009F5335" w14:paraId="3A2EFD56" w14:textId="77777777" w:rsidTr="009F5335">
        <w:trPr>
          <w:trHeight w:val="229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7983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6414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22FF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C69F9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8E8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C15B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534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060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F5E4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BF8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C58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E4C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C0E0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3B51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AE7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90AC4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3B23646A" w14:textId="77777777" w:rsidTr="009F5335">
        <w:trPr>
          <w:trHeight w:val="229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98D4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DD01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D58A8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312EE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E1B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A06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DD2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B29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DD08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6839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436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12F6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1EA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B25D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5E9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20748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269A9797" w14:textId="77777777" w:rsidTr="009F5335">
        <w:trPr>
          <w:trHeight w:val="229"/>
        </w:trPr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01CA2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62100/CO21</w:t>
            </w:r>
          </w:p>
        </w:tc>
        <w:tc>
          <w:tcPr>
            <w:tcW w:w="3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762C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projektů zaměřených na udržitelnou zaměstnanost žen a udržitelný postup žen v zaměstnání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EDD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7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1769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49,000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6F6ED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FD500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F50A4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97C31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245B3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CD261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B7F5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91533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337087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0C06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6B8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282,250</w:t>
            </w:r>
          </w:p>
        </w:tc>
        <w:tc>
          <w:tcPr>
            <w:tcW w:w="7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2B08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576,020</w:t>
            </w:r>
          </w:p>
        </w:tc>
      </w:tr>
      <w:tr w:rsidR="009F5335" w:rsidRPr="009F5335" w14:paraId="08AE3CC8" w14:textId="77777777" w:rsidTr="009F5335">
        <w:trPr>
          <w:trHeight w:val="229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652D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5244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C87C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12106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AEB2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BD41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548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185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6BC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086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190D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5DA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7C02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849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8E6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3483B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5E6A38DD" w14:textId="77777777" w:rsidTr="009F5335">
        <w:trPr>
          <w:trHeight w:val="229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5E7FB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5D4F7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7C08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01C8B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F08B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A10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4AB7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BBD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D9A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1FA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108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C49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C19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39D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7C17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62D0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48200212" w14:textId="77777777" w:rsidTr="009F5335">
        <w:trPr>
          <w:trHeight w:val="229"/>
        </w:trPr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44F8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62200/CO22</w:t>
            </w:r>
          </w:p>
        </w:tc>
        <w:tc>
          <w:tcPr>
            <w:tcW w:w="3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BAE5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projektů zaměřených na orgány veřejné </w:t>
            </w:r>
            <w:proofErr w:type="gramStart"/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správy  a</w:t>
            </w:r>
            <w:proofErr w:type="gramEnd"/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veřejné služby na celostátní, regionální a místní úrovni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C6D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7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4A9B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53,000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FDDD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8F8B6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2E5A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074D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DEE85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35C9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830B2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FC74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C24F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DAF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4CD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39,880</w:t>
            </w:r>
          </w:p>
        </w:tc>
        <w:tc>
          <w:tcPr>
            <w:tcW w:w="7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57BE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75,245</w:t>
            </w:r>
          </w:p>
        </w:tc>
      </w:tr>
      <w:tr w:rsidR="009F5335" w:rsidRPr="009F5335" w14:paraId="74702E71" w14:textId="77777777" w:rsidTr="009F5335">
        <w:trPr>
          <w:trHeight w:val="229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C579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B9EB2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F8EE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9722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60C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ED9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57A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6CE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9B3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D3BA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A27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10B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D8F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097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3D3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F2A9F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545B5FFF" w14:textId="77777777" w:rsidTr="009F5335">
        <w:trPr>
          <w:trHeight w:val="229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B2959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21BB7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1968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97976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EBC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914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3419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ACB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381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04A3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C55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DFB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2BF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D32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831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AEAB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5F76B4ED" w14:textId="77777777" w:rsidTr="009F5335">
        <w:trPr>
          <w:trHeight w:val="229"/>
        </w:trPr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9A98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62200/CO22</w:t>
            </w:r>
          </w:p>
        </w:tc>
        <w:tc>
          <w:tcPr>
            <w:tcW w:w="3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94B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projektů zaměřených na orgány veřejné </w:t>
            </w:r>
            <w:proofErr w:type="gramStart"/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správy  a</w:t>
            </w:r>
            <w:proofErr w:type="gramEnd"/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veřejné služby na celostátní, regionální a místní úrovni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EB54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7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303F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7,000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F0B75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B6E90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17DDD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6181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F7BAF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CBA86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89D8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905EF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99286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504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8A13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7,120</w:t>
            </w:r>
          </w:p>
        </w:tc>
        <w:tc>
          <w:tcPr>
            <w:tcW w:w="7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DB5D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101,714</w:t>
            </w:r>
          </w:p>
        </w:tc>
      </w:tr>
      <w:tr w:rsidR="009F5335" w:rsidRPr="009F5335" w14:paraId="71BA9F47" w14:textId="77777777" w:rsidTr="009F5335">
        <w:trPr>
          <w:trHeight w:val="229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7D98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15D2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E4DD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E352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A34D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B13B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695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5ECE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FEA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209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72B3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79F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50F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428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792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0CE6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02DA13C3" w14:textId="77777777" w:rsidTr="009F5335">
        <w:trPr>
          <w:trHeight w:val="229"/>
        </w:trPr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7D558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7549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50D4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C4B1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A995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85C9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E8F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6E8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8E5C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B80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2CF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224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840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969F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3B7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0E47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</w:tbl>
    <w:p w14:paraId="7ECECB52" w14:textId="77777777" w:rsidR="009F5335" w:rsidRPr="003C2AA4" w:rsidRDefault="009F5335" w:rsidP="00C205DC">
      <w:pPr>
        <w:spacing w:before="120"/>
        <w:ind w:right="108"/>
        <w:jc w:val="both"/>
        <w:rPr>
          <w:rFonts w:ascii="Arial" w:eastAsia="Arial" w:hAnsi="Arial" w:cs="Arial"/>
          <w:color w:val="000000"/>
          <w:sz w:val="20"/>
        </w:rPr>
      </w:pPr>
    </w:p>
    <w:p w14:paraId="2B9D70D6" w14:textId="60BDE65C" w:rsidR="003C2AA4" w:rsidRDefault="003C2AA4" w:rsidP="00164344">
      <w:pPr>
        <w:keepNext/>
        <w:spacing w:before="240"/>
        <w:ind w:left="113" w:right="108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lastRenderedPageBreak/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03.1.52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Pomoc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pracovníkům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podnikům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podnikatelům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přizpůsobovat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se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změnám</w:t>
      </w:r>
      <w:proofErr w:type="spellEnd"/>
    </w:p>
    <w:tbl>
      <w:tblPr>
        <w:tblW w:w="159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4"/>
        <w:gridCol w:w="3314"/>
        <w:gridCol w:w="1018"/>
        <w:gridCol w:w="887"/>
        <w:gridCol w:w="788"/>
        <w:gridCol w:w="788"/>
        <w:gridCol w:w="788"/>
        <w:gridCol w:w="792"/>
        <w:gridCol w:w="792"/>
        <w:gridCol w:w="792"/>
        <w:gridCol w:w="792"/>
        <w:gridCol w:w="787"/>
        <w:gridCol w:w="787"/>
        <w:gridCol w:w="792"/>
        <w:gridCol w:w="1004"/>
        <w:gridCol w:w="853"/>
      </w:tblGrid>
      <w:tr w:rsidR="009F5335" w:rsidRPr="009F5335" w14:paraId="205B48C4" w14:textId="77777777" w:rsidTr="00C205DC">
        <w:trPr>
          <w:trHeight w:val="703"/>
          <w:tblHeader/>
        </w:trPr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6F3A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EE05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 (název indikátoru)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0984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BC4F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 (Rozdělení podle pohlaví je pro cíl nepovinné)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F4C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7194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0B298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6548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62DC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546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11DC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B121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EF3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22A4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CB9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1E4C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 Rozdělení podle pohlaví je nepovinné</w:t>
            </w:r>
          </w:p>
        </w:tc>
      </w:tr>
      <w:tr w:rsidR="009F5335" w:rsidRPr="009F5335" w14:paraId="1D06CBFE" w14:textId="77777777" w:rsidTr="00C205DC">
        <w:trPr>
          <w:trHeight w:val="237"/>
          <w:tblHeader/>
        </w:trPr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441E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92697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A33B8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ECA8D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4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393E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9FE4E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6DB6B3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1759BE20" w14:textId="77777777" w:rsidTr="00C205DC">
        <w:trPr>
          <w:trHeight w:val="237"/>
          <w:tblHeader/>
        </w:trPr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C9662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1EF8A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F54FB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ABDE7A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2B82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7A3F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4757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2102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2E35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70FC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4332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4B23A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6257A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7AF5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E758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4CDD9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2B543DB3" w14:textId="77777777" w:rsidTr="00C205DC">
        <w:trPr>
          <w:trHeight w:val="237"/>
          <w:tblHeader/>
        </w:trPr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F7F41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1D234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9FCD0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4B54A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D024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E37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7B9B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D86E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B5BF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4CA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B50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1B76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2A82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730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970F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0D7D1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2294BF90" w14:textId="77777777" w:rsidTr="009F5335">
        <w:trPr>
          <w:trHeight w:val="227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CE86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10106/CO23</w:t>
            </w:r>
          </w:p>
        </w:tc>
        <w:tc>
          <w:tcPr>
            <w:tcW w:w="3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2C3F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podporovaných mikropodniků, malých a středních podniků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D4E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251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370,000</w:t>
            </w:r>
          </w:p>
        </w:tc>
        <w:tc>
          <w:tcPr>
            <w:tcW w:w="794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3BC8EF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81E7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1 007,000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48F9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272,162</w:t>
            </w:r>
          </w:p>
        </w:tc>
      </w:tr>
      <w:tr w:rsidR="009F5335" w:rsidRPr="009F5335" w14:paraId="372DF17D" w14:textId="77777777" w:rsidTr="009F5335">
        <w:trPr>
          <w:trHeight w:val="227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5C3E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B8CDB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958D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2557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5D83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F7A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49B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CF3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53B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93C9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8EB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09D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FF0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88B4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54B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140C6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7E950B5F" w14:textId="77777777" w:rsidTr="009F5335">
        <w:trPr>
          <w:trHeight w:val="227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62937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B816E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3290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9E99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AC2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48C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063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D16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8A2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1C2E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E062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07D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FFD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AF0C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0C3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642F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1F867DCE" w14:textId="77777777" w:rsidTr="009F5335">
        <w:trPr>
          <w:trHeight w:val="227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3A84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10106/CO23</w:t>
            </w:r>
          </w:p>
        </w:tc>
        <w:tc>
          <w:tcPr>
            <w:tcW w:w="3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AF4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podporovaných mikropodniků, malých a středních podniků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0CC2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5C4D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4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AC8A6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4A4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1 007,000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CCD8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9F5335" w:rsidRPr="009F5335" w14:paraId="4187136A" w14:textId="77777777" w:rsidTr="009F5335">
        <w:trPr>
          <w:trHeight w:val="227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950AA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7433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6ABA4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78DDB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21A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AF1E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E72B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3FFB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5927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C66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A3C1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622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283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CB83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FCB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286B7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2E2E8D3C" w14:textId="77777777" w:rsidTr="009F5335">
        <w:trPr>
          <w:trHeight w:val="227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0A9C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E93E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FC155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BE5C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D31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045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D93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221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ACA0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4A00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ABD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4B8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3DE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769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EACF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3E1EC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36C86E82" w14:textId="77777777" w:rsidTr="009F5335">
        <w:trPr>
          <w:trHeight w:val="227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F656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60700/CO07</w:t>
            </w:r>
          </w:p>
        </w:tc>
        <w:tc>
          <w:tcPr>
            <w:tcW w:w="3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31C47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ve věku nad 54 let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0C43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EFC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23 036,000</w:t>
            </w:r>
          </w:p>
        </w:tc>
        <w:tc>
          <w:tcPr>
            <w:tcW w:w="794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EEEDFF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D278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12 110,000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425A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52,570</w:t>
            </w:r>
          </w:p>
        </w:tc>
      </w:tr>
      <w:tr w:rsidR="009F5335" w:rsidRPr="009F5335" w14:paraId="26BF6387" w14:textId="77777777" w:rsidTr="009F5335">
        <w:trPr>
          <w:trHeight w:val="227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435B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CD61B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A276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5B12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9AA6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738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00A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E57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578,000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1E2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3 232,000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1F3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1 498,000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A6E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2 485,000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98B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BCC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00F8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D9A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7 793,000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9E877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55A26B47" w14:textId="77777777" w:rsidTr="009F5335">
        <w:trPr>
          <w:trHeight w:val="227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A0B9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B2F4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D213C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4CC64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F729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C4B7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20F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E87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440,000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E034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1 576,000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1F03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635,000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A4B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1 666,000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749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E32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22E2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0A0B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4 317,000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1BE67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34A4D9D1" w14:textId="77777777" w:rsidTr="009F5335">
        <w:trPr>
          <w:trHeight w:val="227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785B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60700/CO07</w:t>
            </w:r>
          </w:p>
        </w:tc>
        <w:tc>
          <w:tcPr>
            <w:tcW w:w="3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14A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účastníci ve věku nad 54 let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ED9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185D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239,000</w:t>
            </w:r>
          </w:p>
        </w:tc>
        <w:tc>
          <w:tcPr>
            <w:tcW w:w="794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B9436E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AC2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274F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9F5335" w:rsidRPr="009F5335" w14:paraId="5B046FF5" w14:textId="77777777" w:rsidTr="009F5335">
        <w:trPr>
          <w:trHeight w:val="227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4F1C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C4AB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C20A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CB6F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68C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BF1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98CC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581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2C4E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965A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B94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553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69E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FED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20C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FE9A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77388750" w14:textId="77777777" w:rsidTr="009F5335">
        <w:trPr>
          <w:trHeight w:val="227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47E93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CB9DD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72B19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13FD6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DCC9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555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B35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4927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440F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0E9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392A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B11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B82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5C93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4998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13588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2F5F9112" w14:textId="77777777" w:rsidTr="009F5335">
        <w:trPr>
          <w:trHeight w:val="227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F888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62000/CO20</w:t>
            </w:r>
          </w:p>
        </w:tc>
        <w:tc>
          <w:tcPr>
            <w:tcW w:w="3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A459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projektů, které zcela nebo zčásti provádějí sociální partneři nebo nevládní organizace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411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7243C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17,000</w:t>
            </w:r>
          </w:p>
        </w:tc>
        <w:tc>
          <w:tcPr>
            <w:tcW w:w="794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F60EEE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812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84,220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17918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495,412</w:t>
            </w:r>
          </w:p>
        </w:tc>
      </w:tr>
      <w:tr w:rsidR="009F5335" w:rsidRPr="009F5335" w14:paraId="40F2B54B" w14:textId="77777777" w:rsidTr="009F5335">
        <w:trPr>
          <w:trHeight w:val="227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4D230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6767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3AF39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A0D47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3614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986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BF6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5AD8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0F7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08ED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7C7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8B9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02B4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DDB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D74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4D924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5267BC91" w14:textId="77777777" w:rsidTr="009F5335">
        <w:trPr>
          <w:trHeight w:val="227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1E65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DBD1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C0B5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6D2A8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66AE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916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7536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712E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C6C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06E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A05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24A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1E9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9AE7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5F20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1D8D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5EA741C5" w14:textId="77777777" w:rsidTr="009F5335">
        <w:trPr>
          <w:trHeight w:val="227"/>
        </w:trPr>
        <w:tc>
          <w:tcPr>
            <w:tcW w:w="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9DD11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62000/CO20</w:t>
            </w:r>
          </w:p>
        </w:tc>
        <w:tc>
          <w:tcPr>
            <w:tcW w:w="33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2BF9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projektů, které zcela nebo zčásti provádějí sociální partneři nebo nevládní organizace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C418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54D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794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03037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B98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2,780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AE0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139,000</w:t>
            </w:r>
          </w:p>
        </w:tc>
      </w:tr>
      <w:tr w:rsidR="009F5335" w:rsidRPr="009F5335" w14:paraId="4B234F70" w14:textId="77777777" w:rsidTr="009F5335">
        <w:trPr>
          <w:trHeight w:val="227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30CE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2570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B0827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A563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B4CC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80B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F676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E0D5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D0C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B29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7498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D2B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948F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1E69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9F58" w14:textId="2F4C0F6A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F8DC2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6F7928B4" w14:textId="77777777" w:rsidTr="009F5335">
        <w:trPr>
          <w:trHeight w:val="227"/>
        </w:trPr>
        <w:tc>
          <w:tcPr>
            <w:tcW w:w="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AB522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7B938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D7C1C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2461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974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1843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4B8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454C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7B5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9E7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D962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6E66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113B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624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F92E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4B89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</w:tbl>
    <w:p w14:paraId="703B37DA" w14:textId="77777777" w:rsidR="009F5335" w:rsidRPr="003C2AA4" w:rsidRDefault="009F5335" w:rsidP="00C205DC">
      <w:pPr>
        <w:ind w:right="108"/>
        <w:jc w:val="both"/>
        <w:rPr>
          <w:rFonts w:ascii="Arial" w:eastAsia="Arial" w:hAnsi="Arial" w:cs="Arial"/>
          <w:color w:val="000000"/>
          <w:sz w:val="20"/>
        </w:rPr>
      </w:pPr>
    </w:p>
    <w:p w14:paraId="03E1CC8E" w14:textId="40352598" w:rsidR="003C2AA4" w:rsidRDefault="003C2AA4" w:rsidP="00C205DC">
      <w:pPr>
        <w:keepNext/>
        <w:spacing w:before="120"/>
        <w:ind w:left="113" w:right="108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03.1.54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Modernizace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institucí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trhu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jako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veřejné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soukromé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služby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zaměstnanosti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přispívání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k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adaptaci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potřeby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trhu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prostřednictvím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opatření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zlepšení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nadnárodní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mobility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pracovníků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programů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mobility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lepší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spolupráce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mezi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institucemi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příslušnými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zúčastněnými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stranami</w:t>
      </w:r>
      <w:proofErr w:type="spellEnd"/>
    </w:p>
    <w:tbl>
      <w:tblPr>
        <w:tblW w:w="15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"/>
        <w:gridCol w:w="3328"/>
        <w:gridCol w:w="1022"/>
        <w:gridCol w:w="887"/>
        <w:gridCol w:w="789"/>
        <w:gridCol w:w="789"/>
        <w:gridCol w:w="789"/>
        <w:gridCol w:w="789"/>
        <w:gridCol w:w="789"/>
        <w:gridCol w:w="789"/>
        <w:gridCol w:w="789"/>
        <w:gridCol w:w="789"/>
        <w:gridCol w:w="789"/>
        <w:gridCol w:w="792"/>
        <w:gridCol w:w="1004"/>
        <w:gridCol w:w="854"/>
      </w:tblGrid>
      <w:tr w:rsidR="009F5335" w:rsidRPr="009F5335" w14:paraId="1507B079" w14:textId="77777777" w:rsidTr="00C205DC">
        <w:trPr>
          <w:trHeight w:val="741"/>
          <w:tblHeader/>
        </w:trPr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F35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3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21A5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 (název indikátoru)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B22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40C6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 (Rozdělení podle pohlaví je pro cíl nepovinné)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9F34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B9E4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918EC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FF4F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50EB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50B54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8C0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B65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564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B31B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159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F85B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 Rozdělení podle pohlaví je nepovinné</w:t>
            </w:r>
          </w:p>
        </w:tc>
      </w:tr>
      <w:tr w:rsidR="009F5335" w:rsidRPr="009F5335" w14:paraId="7F73F3E4" w14:textId="77777777" w:rsidTr="00C205DC">
        <w:trPr>
          <w:trHeight w:val="250"/>
          <w:tblHeader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9DDB5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B5B19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2889A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AF5078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5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BAE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EE75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1FC923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0FEC0DD1" w14:textId="77777777" w:rsidTr="00C205DC">
        <w:trPr>
          <w:trHeight w:val="250"/>
          <w:tblHeader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06A2A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9C4E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A4E60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FDA466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A9A2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077C2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010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422F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DA58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3091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71946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49C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203A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3A58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923BF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D582A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7A74E099" w14:textId="77777777" w:rsidTr="00C205DC">
        <w:trPr>
          <w:trHeight w:val="250"/>
          <w:tblHeader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AB422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D78CE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06BCD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45FC7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39FF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CA45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8A2B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24D1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33B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48B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9B972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C09A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3132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29C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60C1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FD0AB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28D3DAF3" w14:textId="77777777" w:rsidTr="009F5335">
        <w:trPr>
          <w:trHeight w:val="250"/>
        </w:trPr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3B6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62200/CO22</w:t>
            </w:r>
          </w:p>
        </w:tc>
        <w:tc>
          <w:tcPr>
            <w:tcW w:w="33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A98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projektů zaměřených na orgány veřejné </w:t>
            </w:r>
            <w:proofErr w:type="gramStart"/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správy  a</w:t>
            </w:r>
            <w:proofErr w:type="gramEnd"/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veřejné služby na celostátní, regionální a místní úrovni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6D4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BA81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19,000</w:t>
            </w:r>
          </w:p>
        </w:tc>
        <w:tc>
          <w:tcPr>
            <w:tcW w:w="795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999BB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68AF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7,400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683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38,947</w:t>
            </w:r>
          </w:p>
        </w:tc>
      </w:tr>
      <w:tr w:rsidR="009F5335" w:rsidRPr="009F5335" w14:paraId="6C02256F" w14:textId="77777777" w:rsidTr="009F5335">
        <w:trPr>
          <w:trHeight w:val="250"/>
        </w:trPr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83755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3A6FD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E24D8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4D82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658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3B9B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6FA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F5EA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635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D4A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E9CF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FC6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AEB5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108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9BD7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561B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3A7E2F0A" w14:textId="77777777" w:rsidTr="009F5335">
        <w:trPr>
          <w:trHeight w:val="239"/>
        </w:trPr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2F48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4AE95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E62E0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7FCB2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965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ED11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237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6A6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4AB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EF8A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75B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ACC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7D43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28F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486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2D360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760E4A67" w14:textId="77777777" w:rsidTr="009F5335">
        <w:trPr>
          <w:trHeight w:val="250"/>
        </w:trPr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6894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62200/CO22</w:t>
            </w:r>
          </w:p>
        </w:tc>
        <w:tc>
          <w:tcPr>
            <w:tcW w:w="33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B65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projektů zaměřených na orgány veřejné </w:t>
            </w:r>
            <w:proofErr w:type="gramStart"/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správy  a</w:t>
            </w:r>
            <w:proofErr w:type="gramEnd"/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veřejné služby na celostátní, regionální a místní úrovni</w:t>
            </w:r>
          </w:p>
        </w:tc>
        <w:tc>
          <w:tcPr>
            <w:tcW w:w="10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8A9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3976C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795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54CD4C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4A5E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0,600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E808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60,000</w:t>
            </w:r>
          </w:p>
        </w:tc>
      </w:tr>
      <w:tr w:rsidR="009F5335" w:rsidRPr="009F5335" w14:paraId="1C50EFFD" w14:textId="77777777" w:rsidTr="009F5335">
        <w:trPr>
          <w:trHeight w:val="250"/>
        </w:trPr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946E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204E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3DF5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C3EB7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E9CB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FE99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0DAA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587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E46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3F3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F641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EA02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49B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D9B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DE7B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F89A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3B853C3C" w14:textId="77777777" w:rsidTr="009F5335">
        <w:trPr>
          <w:trHeight w:val="250"/>
        </w:trPr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137D5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CA14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370B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6F89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6F5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EB7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4CB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1AE2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38F7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E55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2AA1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88D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CC0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456E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A96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FD5A7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</w:tbl>
    <w:p w14:paraId="51F01E92" w14:textId="77777777" w:rsidR="009F5335" w:rsidRPr="003C2AA4" w:rsidRDefault="009F5335" w:rsidP="00C205DC">
      <w:pPr>
        <w:spacing w:before="120"/>
        <w:ind w:right="108"/>
        <w:jc w:val="both"/>
        <w:rPr>
          <w:rFonts w:ascii="Arial" w:eastAsia="Arial" w:hAnsi="Arial" w:cs="Arial"/>
          <w:color w:val="000000"/>
          <w:sz w:val="20"/>
        </w:rPr>
      </w:pPr>
    </w:p>
    <w:p w14:paraId="0E398126" w14:textId="745F920B" w:rsidR="003C2AA4" w:rsidRDefault="003C2AA4" w:rsidP="00C205DC">
      <w:pPr>
        <w:keepNext/>
        <w:spacing w:before="120"/>
        <w:ind w:left="113" w:right="108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03.2.60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Aktivní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začleňování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začleňování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s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ohledem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podporu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rovných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příležitostí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gramStart"/>
      <w:r w:rsidRPr="003C2AA4">
        <w:rPr>
          <w:rFonts w:ascii="Arial" w:eastAsia="Arial" w:hAnsi="Arial" w:cs="Arial"/>
          <w:color w:val="000000"/>
          <w:sz w:val="20"/>
        </w:rPr>
        <w:t>a</w:t>
      </w:r>
      <w:proofErr w:type="gram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aktivní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účast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zlepšení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zaměstnatelnosti</w:t>
      </w:r>
      <w:proofErr w:type="spellEnd"/>
    </w:p>
    <w:tbl>
      <w:tblPr>
        <w:tblW w:w="160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"/>
        <w:gridCol w:w="3246"/>
        <w:gridCol w:w="1003"/>
        <w:gridCol w:w="887"/>
        <w:gridCol w:w="808"/>
        <w:gridCol w:w="809"/>
        <w:gridCol w:w="809"/>
        <w:gridCol w:w="809"/>
        <w:gridCol w:w="809"/>
        <w:gridCol w:w="809"/>
        <w:gridCol w:w="809"/>
        <w:gridCol w:w="809"/>
        <w:gridCol w:w="809"/>
        <w:gridCol w:w="811"/>
        <w:gridCol w:w="1004"/>
        <w:gridCol w:w="841"/>
      </w:tblGrid>
      <w:tr w:rsidR="009F5335" w:rsidRPr="009F5335" w14:paraId="54FDC126" w14:textId="77777777" w:rsidTr="00C205DC">
        <w:trPr>
          <w:trHeight w:val="763"/>
          <w:tblHeader/>
        </w:trPr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3CD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3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E45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 (název indikátoru)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7B39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1A29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 (Rozdělení podle pohlaví je pro cíl nepovinné)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4291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61A1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5D18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2DA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06A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AF37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BD7AE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DFCD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87FCB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6C7C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8D7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EAF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 Rozdělení podle pohlaví je nepovinné</w:t>
            </w:r>
          </w:p>
        </w:tc>
      </w:tr>
      <w:tr w:rsidR="009F5335" w:rsidRPr="009F5335" w14:paraId="5AC51D53" w14:textId="77777777" w:rsidTr="00C205DC">
        <w:trPr>
          <w:trHeight w:val="258"/>
          <w:tblHeader/>
        </w:trPr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7AA38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9F0E6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B7721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B60316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10B28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BECC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E5539A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3C928CB8" w14:textId="77777777" w:rsidTr="00C205DC">
        <w:trPr>
          <w:trHeight w:val="258"/>
          <w:tblHeader/>
        </w:trPr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2E5F2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C6B3A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A62A5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70DDC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9A6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F17B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EA21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5C3F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A0C2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612C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85F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9812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0C9A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C5DC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A4E61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6DC7B1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0C57558F" w14:textId="77777777" w:rsidTr="00C205DC">
        <w:trPr>
          <w:trHeight w:val="258"/>
          <w:tblHeader/>
        </w:trPr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D4A41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69088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380FC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7F346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CB951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E400E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1494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5425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FC3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F801C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84BF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B4D4E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92D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EBFE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375A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46DDC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3F326847" w14:textId="77777777" w:rsidTr="009F5335">
        <w:trPr>
          <w:trHeight w:val="258"/>
        </w:trPr>
        <w:tc>
          <w:tcPr>
            <w:tcW w:w="9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A111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10106/CO23</w:t>
            </w:r>
          </w:p>
        </w:tc>
        <w:tc>
          <w:tcPr>
            <w:tcW w:w="33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F47E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podporovaných mikropodniků, malých a středních podniků</w:t>
            </w:r>
          </w:p>
        </w:tc>
        <w:tc>
          <w:tcPr>
            <w:tcW w:w="10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000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8D77A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207,000</w:t>
            </w:r>
          </w:p>
        </w:tc>
        <w:tc>
          <w:tcPr>
            <w:tcW w:w="81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2F090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799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211,000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F32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101,932</w:t>
            </w:r>
          </w:p>
        </w:tc>
      </w:tr>
      <w:tr w:rsidR="009F5335" w:rsidRPr="009F5335" w14:paraId="19DCD8B7" w14:textId="77777777" w:rsidTr="009F5335">
        <w:trPr>
          <w:trHeight w:val="258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7335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D9C91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03E5C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91B64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0FE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E9EC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F4F6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5107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38A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AA0D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AAA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4B23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CBB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2FBF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C2B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CFF45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0F435BBE" w14:textId="77777777" w:rsidTr="009F5335">
        <w:trPr>
          <w:trHeight w:val="246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29FA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64765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1D57F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C4E04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97B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7A2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3F2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CB27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EC9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E947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D45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635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161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4492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F3A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DEDA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499E3023" w14:textId="77777777" w:rsidTr="009F5335">
        <w:trPr>
          <w:trHeight w:val="258"/>
        </w:trPr>
        <w:tc>
          <w:tcPr>
            <w:tcW w:w="9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385B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10106/CO23</w:t>
            </w:r>
          </w:p>
        </w:tc>
        <w:tc>
          <w:tcPr>
            <w:tcW w:w="33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B49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podporovaných mikropodniků, malých a středních podniků</w:t>
            </w:r>
          </w:p>
        </w:tc>
        <w:tc>
          <w:tcPr>
            <w:tcW w:w="10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64F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3C96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24,000</w:t>
            </w:r>
          </w:p>
        </w:tc>
        <w:tc>
          <w:tcPr>
            <w:tcW w:w="81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A50CB4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5107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211,000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5142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879,167</w:t>
            </w:r>
          </w:p>
        </w:tc>
      </w:tr>
      <w:tr w:rsidR="009F5335" w:rsidRPr="009F5335" w14:paraId="78E05F23" w14:textId="77777777" w:rsidTr="009F5335">
        <w:trPr>
          <w:trHeight w:val="258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97C6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6D63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24981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EB1587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A2D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5519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251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C58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60A7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ECF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CC41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B447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D6E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735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FAD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3FE5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46220432" w14:textId="77777777" w:rsidTr="009F5335">
        <w:trPr>
          <w:trHeight w:val="258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AEA94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070B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1F71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15E4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049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C21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7B3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1DF4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0079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8F9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1B2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8BF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A88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B57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00E3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DF433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1FD44C30" w14:textId="77777777" w:rsidTr="009F5335">
        <w:trPr>
          <w:trHeight w:val="258"/>
        </w:trPr>
        <w:tc>
          <w:tcPr>
            <w:tcW w:w="9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D7FE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62000/CO20</w:t>
            </w:r>
          </w:p>
        </w:tc>
        <w:tc>
          <w:tcPr>
            <w:tcW w:w="33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5FF5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projektů, které zcela nebo zčásti provádějí sociální partneři nebo nevládní organizace</w:t>
            </w:r>
          </w:p>
        </w:tc>
        <w:tc>
          <w:tcPr>
            <w:tcW w:w="10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1A52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201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372,000</w:t>
            </w:r>
          </w:p>
        </w:tc>
        <w:tc>
          <w:tcPr>
            <w:tcW w:w="81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ECDD8E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5EF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330,200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DD0F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88,763</w:t>
            </w:r>
          </w:p>
        </w:tc>
      </w:tr>
      <w:tr w:rsidR="009F5335" w:rsidRPr="009F5335" w14:paraId="4EA8D194" w14:textId="77777777" w:rsidTr="009F5335">
        <w:trPr>
          <w:trHeight w:val="258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B88B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38553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2A8B3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2C254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321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553E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CF5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F65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765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8F44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5C4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D04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6F8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A27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3F5A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36DD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28241579" w14:textId="77777777" w:rsidTr="009F5335">
        <w:trPr>
          <w:trHeight w:val="258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7CEEC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E07A1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7C61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37AAE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9F5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443B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9F9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91A5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0A7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8FA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253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EE0C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5A2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89F6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7C5D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D0B3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46782649" w14:textId="77777777" w:rsidTr="009F5335">
        <w:trPr>
          <w:trHeight w:val="258"/>
        </w:trPr>
        <w:tc>
          <w:tcPr>
            <w:tcW w:w="9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88A4B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62000/CO20</w:t>
            </w:r>
          </w:p>
        </w:tc>
        <w:tc>
          <w:tcPr>
            <w:tcW w:w="33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E0FB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projektů, které zcela nebo zčásti provádějí sociální partneři nebo nevládní organizace</w:t>
            </w:r>
          </w:p>
        </w:tc>
        <w:tc>
          <w:tcPr>
            <w:tcW w:w="10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1A0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A498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43,000</w:t>
            </w:r>
          </w:p>
        </w:tc>
        <w:tc>
          <w:tcPr>
            <w:tcW w:w="81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12991A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5FF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24,600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B205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57,209</w:t>
            </w:r>
          </w:p>
        </w:tc>
      </w:tr>
      <w:tr w:rsidR="009F5335" w:rsidRPr="009F5335" w14:paraId="0BF02373" w14:textId="77777777" w:rsidTr="009F5335">
        <w:trPr>
          <w:trHeight w:val="258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618867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A8EA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EFE6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5A3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843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E74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3881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8041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2A3C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0E71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941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846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513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361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64BF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D891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403224CB" w14:textId="77777777" w:rsidTr="009F5335">
        <w:trPr>
          <w:trHeight w:val="258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8CB73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C800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A98E3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C110B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522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EAC0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B77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886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E98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0E79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7C2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CEC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E15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979A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0A1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B6D0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01A04F90" w14:textId="77777777" w:rsidTr="009F5335">
        <w:trPr>
          <w:trHeight w:val="258"/>
        </w:trPr>
        <w:tc>
          <w:tcPr>
            <w:tcW w:w="9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A60A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62200/CO22</w:t>
            </w:r>
          </w:p>
        </w:tc>
        <w:tc>
          <w:tcPr>
            <w:tcW w:w="33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9D50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projektů zaměřených na orgány veřejné </w:t>
            </w:r>
            <w:proofErr w:type="gramStart"/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správy  a</w:t>
            </w:r>
            <w:proofErr w:type="gramEnd"/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veřejné služby na celostátní, regionální a místní úrovni</w:t>
            </w:r>
          </w:p>
        </w:tc>
        <w:tc>
          <w:tcPr>
            <w:tcW w:w="10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D835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9E9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13,000</w:t>
            </w:r>
          </w:p>
        </w:tc>
        <w:tc>
          <w:tcPr>
            <w:tcW w:w="81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51E0D8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B9E1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26,000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366A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200,000</w:t>
            </w:r>
          </w:p>
        </w:tc>
      </w:tr>
      <w:tr w:rsidR="009F5335" w:rsidRPr="009F5335" w14:paraId="0D7A197B" w14:textId="77777777" w:rsidTr="009F5335">
        <w:trPr>
          <w:trHeight w:val="258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18ECA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AA18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5275C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7C472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3701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63D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02C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18E6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4C5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AFC5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D28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B4F3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EAB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0EC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A6C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0333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056790A3" w14:textId="77777777" w:rsidTr="009F5335">
        <w:trPr>
          <w:trHeight w:val="258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303C4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8468C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B441A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46A54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EB3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315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7FD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1711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D31E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FAEE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59AC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07DD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8DE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6CCF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1C99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07A7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57F03255" w14:textId="77777777" w:rsidTr="009F5335">
        <w:trPr>
          <w:trHeight w:val="258"/>
        </w:trPr>
        <w:tc>
          <w:tcPr>
            <w:tcW w:w="9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696B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62200/CO22</w:t>
            </w:r>
          </w:p>
        </w:tc>
        <w:tc>
          <w:tcPr>
            <w:tcW w:w="33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348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projektů zaměřených na orgány veřejné </w:t>
            </w:r>
            <w:proofErr w:type="gramStart"/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správy  a</w:t>
            </w:r>
            <w:proofErr w:type="gramEnd"/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veřejné služby na celostátní, regionální a místní úrovni</w:t>
            </w:r>
          </w:p>
        </w:tc>
        <w:tc>
          <w:tcPr>
            <w:tcW w:w="10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49587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93342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1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60554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3B3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2,500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C1CA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250,000</w:t>
            </w:r>
          </w:p>
        </w:tc>
      </w:tr>
      <w:tr w:rsidR="009F5335" w:rsidRPr="009F5335" w14:paraId="70990409" w14:textId="77777777" w:rsidTr="009F5335">
        <w:trPr>
          <w:trHeight w:val="258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7B97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2510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8C95F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615B87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122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1256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8B3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3EF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25C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4346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44B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C62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477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4BD5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221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520D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4B587805" w14:textId="77777777" w:rsidTr="009F5335">
        <w:trPr>
          <w:trHeight w:val="258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3CAEC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8E1B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87E9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ACBDB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7206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B9C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ECB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20CF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8032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E859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83DE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F83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470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BB1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575F" w14:textId="0DCDAA5C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C8E3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</w:tbl>
    <w:p w14:paraId="11729A36" w14:textId="77777777" w:rsidR="009F5335" w:rsidRPr="003C2AA4" w:rsidRDefault="009F5335" w:rsidP="00C205DC">
      <w:pPr>
        <w:ind w:right="108"/>
        <w:jc w:val="both"/>
        <w:rPr>
          <w:rFonts w:ascii="Arial" w:eastAsia="Arial" w:hAnsi="Arial" w:cs="Arial"/>
          <w:color w:val="000000"/>
          <w:sz w:val="20"/>
        </w:rPr>
      </w:pPr>
    </w:p>
    <w:p w14:paraId="72AFFD7F" w14:textId="1CB5441E" w:rsidR="003C2AA4" w:rsidRDefault="003C2AA4" w:rsidP="00C205DC">
      <w:pPr>
        <w:keepNext/>
        <w:spacing w:before="120"/>
        <w:ind w:left="113" w:right="108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03.2.63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Zlepšování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přístupu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k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dostupným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udržitelným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vysoce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kvalitním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službám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zdravotnictví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sociálních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služeb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obecného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zájmu</w:t>
      </w:r>
      <w:proofErr w:type="spellEnd"/>
    </w:p>
    <w:tbl>
      <w:tblPr>
        <w:tblW w:w="159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"/>
        <w:gridCol w:w="3341"/>
        <w:gridCol w:w="1001"/>
        <w:gridCol w:w="887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1004"/>
        <w:gridCol w:w="944"/>
      </w:tblGrid>
      <w:tr w:rsidR="009F5335" w:rsidRPr="009F5335" w14:paraId="5E1DD681" w14:textId="77777777" w:rsidTr="00C205DC">
        <w:trPr>
          <w:trHeight w:val="761"/>
          <w:tblHeader/>
        </w:trPr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F13F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3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A0044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 (název indikátoru)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8E646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706C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 (Rozdělení podle pohlaví je pro cíl nepovinné)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B4014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25EC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7C5F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ED6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363C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86D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9B80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4C64B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1378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FD5D5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B342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ABF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 Rozdělení podle pohlaví je nepovinné</w:t>
            </w:r>
          </w:p>
        </w:tc>
      </w:tr>
      <w:tr w:rsidR="009F5335" w:rsidRPr="009F5335" w14:paraId="6CF89EBA" w14:textId="77777777" w:rsidTr="00C205DC">
        <w:trPr>
          <w:trHeight w:val="253"/>
          <w:tblHeader/>
        </w:trPr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B0069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B850C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C1373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2E071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3BB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40431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418E31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2F1B74E6" w14:textId="77777777" w:rsidTr="00C205DC">
        <w:trPr>
          <w:trHeight w:val="253"/>
          <w:tblHeader/>
        </w:trPr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E36DD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B8857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A3319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6F01E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684EA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F2E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559D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94F4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142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03BF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EAAE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24B4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DD7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E4EB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AE369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31D65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5734B311" w14:textId="77777777" w:rsidTr="00C205DC">
        <w:trPr>
          <w:trHeight w:val="253"/>
          <w:tblHeader/>
        </w:trPr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060CA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DF8ED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38A3E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B46D0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6EAF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F03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F24A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D37D7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F68B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F841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B39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DFB4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CB2F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8405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7DB3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44F341" w14:textId="77777777" w:rsidR="009F5335" w:rsidRPr="009F5335" w:rsidRDefault="009F5335" w:rsidP="009F5335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7F861B09" w14:textId="77777777" w:rsidTr="009F5335">
        <w:trPr>
          <w:trHeight w:val="242"/>
        </w:trPr>
        <w:tc>
          <w:tcPr>
            <w:tcW w:w="9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84B2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62000/CO20</w:t>
            </w:r>
          </w:p>
        </w:tc>
        <w:tc>
          <w:tcPr>
            <w:tcW w:w="33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D5B4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projektů, které zcela nebo zčásti provádějí sociální partneři nebo nevládní organizace</w:t>
            </w:r>
          </w:p>
        </w:tc>
        <w:tc>
          <w:tcPr>
            <w:tcW w:w="10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CE77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7CC2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237,000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39C39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0682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8357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A746B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51587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BC841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24F1B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93D77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7C51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1BCE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D6A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256,790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40A6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108,350</w:t>
            </w:r>
          </w:p>
        </w:tc>
      </w:tr>
      <w:tr w:rsidR="009F5335" w:rsidRPr="009F5335" w14:paraId="20BC64A0" w14:textId="77777777" w:rsidTr="009F5335">
        <w:trPr>
          <w:trHeight w:val="242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C81657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0DDB0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976F3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226C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C16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E10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E99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1F1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1C25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8A8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0687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4121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ED8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6BF6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94DB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694E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7290DA43" w14:textId="77777777" w:rsidTr="009F5335">
        <w:trPr>
          <w:trHeight w:val="242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6D12C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75850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C39D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331E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A4D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B25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0B0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C75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064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E26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678F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472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29F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196B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DEB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3DBB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1A5D4862" w14:textId="77777777" w:rsidTr="009F5335">
        <w:trPr>
          <w:trHeight w:val="242"/>
        </w:trPr>
        <w:tc>
          <w:tcPr>
            <w:tcW w:w="9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33ED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62000/CO20</w:t>
            </w:r>
          </w:p>
        </w:tc>
        <w:tc>
          <w:tcPr>
            <w:tcW w:w="33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E10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projektů, které zcela nebo zčásti provádějí sociální partneři nebo nevládní organizace</w:t>
            </w:r>
          </w:p>
        </w:tc>
        <w:tc>
          <w:tcPr>
            <w:tcW w:w="10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239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FB0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48,000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32E9B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3E077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B0900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35BC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35A4D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0165A9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5B58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329BB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8BBB5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F54D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D00F" w14:textId="648D4EB7" w:rsidR="009F5335" w:rsidRPr="009F5335" w:rsidRDefault="008060BF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30</w:t>
            </w:r>
            <w:r w:rsidR="009F5335"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,000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AC49" w14:textId="362B175D" w:rsidR="009F5335" w:rsidRPr="009F5335" w:rsidRDefault="008060BF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62,5</w:t>
            </w:r>
            <w:r w:rsidR="009F5335"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00</w:t>
            </w:r>
          </w:p>
        </w:tc>
      </w:tr>
      <w:tr w:rsidR="009F5335" w:rsidRPr="009F5335" w14:paraId="3AD42FD5" w14:textId="77777777" w:rsidTr="009F5335">
        <w:trPr>
          <w:trHeight w:val="242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AEA59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13E22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7F0D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407AC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B6A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EB7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773C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4AB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30A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B51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5A92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F2B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11E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47FF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E17A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5E0AE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1BFD3DB1" w14:textId="77777777" w:rsidTr="009F5335">
        <w:trPr>
          <w:trHeight w:val="242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BCCE7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0A18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2336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BC5F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BD9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1A2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25C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758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E345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A392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87A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D11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1FA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D0F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526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5A946F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1A4581D1" w14:textId="77777777" w:rsidTr="009F5335">
        <w:trPr>
          <w:trHeight w:val="242"/>
        </w:trPr>
        <w:tc>
          <w:tcPr>
            <w:tcW w:w="9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8132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62200/CO22</w:t>
            </w:r>
          </w:p>
        </w:tc>
        <w:tc>
          <w:tcPr>
            <w:tcW w:w="33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497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projektů zaměřených na orgány veřejné </w:t>
            </w:r>
            <w:proofErr w:type="gramStart"/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správy  a</w:t>
            </w:r>
            <w:proofErr w:type="gramEnd"/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veřejné služby na celostátní, regionální a místní úrovni</w:t>
            </w:r>
          </w:p>
        </w:tc>
        <w:tc>
          <w:tcPr>
            <w:tcW w:w="10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F5B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D3D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395,000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4C93F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D5A74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7E1C6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13EF8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D83DA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C1C0A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98F9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6F03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CA760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FA52A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0314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119,600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FFD0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30,278</w:t>
            </w:r>
          </w:p>
        </w:tc>
      </w:tr>
      <w:tr w:rsidR="009F5335" w:rsidRPr="009F5335" w14:paraId="5E2B7DBB" w14:textId="77777777" w:rsidTr="009F5335">
        <w:trPr>
          <w:trHeight w:val="242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1F95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7AB7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1A87E4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C197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A73D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B48C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52C8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1BB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26E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73E1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089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55D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685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6BE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99D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7F47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58AF2618" w14:textId="77777777" w:rsidTr="009F5335">
        <w:trPr>
          <w:trHeight w:val="242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367B8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2ED03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F5B32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E7BB3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5D5B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ACAC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037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18C3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DBD5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9DE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84F5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5CE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D091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E63F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D3D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E51A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073B0CA7" w14:textId="77777777" w:rsidTr="009F5335">
        <w:trPr>
          <w:trHeight w:val="242"/>
        </w:trPr>
        <w:tc>
          <w:tcPr>
            <w:tcW w:w="9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549EC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62200/CO22</w:t>
            </w:r>
          </w:p>
        </w:tc>
        <w:tc>
          <w:tcPr>
            <w:tcW w:w="33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CF7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projektů zaměřených na orgány veřejné </w:t>
            </w:r>
            <w:proofErr w:type="gramStart"/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správy  a</w:t>
            </w:r>
            <w:proofErr w:type="gramEnd"/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veřejné služby na celostátní, regionální a místní úrovni</w:t>
            </w:r>
          </w:p>
        </w:tc>
        <w:tc>
          <w:tcPr>
            <w:tcW w:w="10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847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5FBE" w14:textId="77777777" w:rsidR="009F5335" w:rsidRPr="009F5335" w:rsidRDefault="009F5335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80,000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D0B59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D268B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07598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2098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343B1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B99E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DCF84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2CC9A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41D98D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3B8B0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EFD5" w14:textId="7B996F2A" w:rsidR="009F5335" w:rsidRPr="009F5335" w:rsidRDefault="008060BF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</w:t>
            </w:r>
            <w:r w:rsidR="009F5335"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,000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DAB8C" w14:textId="5C132CB5" w:rsidR="009F5335" w:rsidRPr="009F5335" w:rsidRDefault="008060BF" w:rsidP="009F5335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17,5</w:t>
            </w:r>
          </w:p>
        </w:tc>
      </w:tr>
      <w:tr w:rsidR="009F5335" w:rsidRPr="009F5335" w14:paraId="5F416EC8" w14:textId="77777777" w:rsidTr="009F5335">
        <w:trPr>
          <w:trHeight w:val="242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6120A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2DC902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529C5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A02E73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E15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D8A4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2E62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CA40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CFCA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70B9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11B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D8A22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8E13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C56B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34EB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CEDEA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9F5335" w:rsidRPr="009F5335" w14:paraId="6178DDBB" w14:textId="77777777" w:rsidTr="009F5335">
        <w:trPr>
          <w:trHeight w:val="242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43E9FC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46801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6A0CB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34896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48F38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7056D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7F54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64A1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6B6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0C16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36E4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5BCE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0C8A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67D7" w14:textId="7777777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26D49" w14:textId="2DC4BB57" w:rsidR="009F5335" w:rsidRPr="009F5335" w:rsidRDefault="009F5335" w:rsidP="009F5335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9F5335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075C9E" w14:textId="77777777" w:rsidR="009F5335" w:rsidRPr="009F5335" w:rsidRDefault="009F5335" w:rsidP="009F5335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</w:tbl>
    <w:p w14:paraId="7102F548" w14:textId="77777777" w:rsidR="009F5335" w:rsidRPr="003C2AA4" w:rsidRDefault="009F5335" w:rsidP="00C205DC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0696413E" w14:textId="2F3709F9" w:rsidR="003C2AA4" w:rsidRDefault="003C2AA4" w:rsidP="00C205DC">
      <w:pPr>
        <w:keepNext/>
        <w:spacing w:before="120"/>
        <w:ind w:left="113" w:right="108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03.2.65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Strategie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komunitně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vedeného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místního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rozvoje</w:t>
      </w:r>
      <w:proofErr w:type="spellEnd"/>
    </w:p>
    <w:tbl>
      <w:tblPr>
        <w:tblW w:w="160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4"/>
        <w:gridCol w:w="3043"/>
        <w:gridCol w:w="902"/>
        <w:gridCol w:w="887"/>
        <w:gridCol w:w="838"/>
        <w:gridCol w:w="839"/>
        <w:gridCol w:w="839"/>
        <w:gridCol w:w="839"/>
        <w:gridCol w:w="839"/>
        <w:gridCol w:w="839"/>
        <w:gridCol w:w="839"/>
        <w:gridCol w:w="839"/>
        <w:gridCol w:w="839"/>
        <w:gridCol w:w="842"/>
        <w:gridCol w:w="1004"/>
        <w:gridCol w:w="855"/>
      </w:tblGrid>
      <w:tr w:rsidR="00E92F27" w:rsidRPr="00E92F27" w14:paraId="5B4F31ED" w14:textId="77777777" w:rsidTr="00C205DC">
        <w:trPr>
          <w:trHeight w:val="868"/>
          <w:tblHeader/>
        </w:trPr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972D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C6CF3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 (název indikátoru)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AAE7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26E1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 (Rozdělení podle pohlaví je pro cíl nepovinné)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39BD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0E3BF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F94A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8317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F092E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2545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8FC5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2723F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DA7E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BD424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1DAF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D71AF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 Rozdělení podle pohlaví je nepovinné</w:t>
            </w:r>
          </w:p>
        </w:tc>
      </w:tr>
      <w:tr w:rsidR="00E92F27" w:rsidRPr="00E92F27" w14:paraId="2A985590" w14:textId="77777777" w:rsidTr="00C205DC">
        <w:trPr>
          <w:trHeight w:val="289"/>
          <w:tblHeader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3DF9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52A02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9838B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825CB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6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9C5D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576D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3E0EA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2F092681" w14:textId="77777777" w:rsidTr="00C205DC">
        <w:trPr>
          <w:trHeight w:val="289"/>
          <w:tblHeader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74603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AC9E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C06D5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3F06A1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FB86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6FD87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EE96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D72F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EA7C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6AAC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F0DF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712D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C733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F978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59DD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807B5A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40069892" w14:textId="77777777" w:rsidTr="00C205DC">
        <w:trPr>
          <w:trHeight w:val="289"/>
          <w:tblHeader/>
        </w:trPr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6F19E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FEA34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8A262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4A6D1B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8870B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697D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8DEF7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7BA0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9976C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CC18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A7F6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49C7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4716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6F121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D6C89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298CAC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51AE6667" w14:textId="77777777" w:rsidTr="00E92F27">
        <w:trPr>
          <w:trHeight w:val="276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FD11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62000/CO20</w:t>
            </w:r>
          </w:p>
        </w:tc>
        <w:tc>
          <w:tcPr>
            <w:tcW w:w="3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461D3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projektů, které zcela nebo zčásti provádějí sociální partneři nebo nevládní organizace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99DA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25D92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88,000</w:t>
            </w:r>
          </w:p>
        </w:tc>
        <w:tc>
          <w:tcPr>
            <w:tcW w:w="856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AC8993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6969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509,000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A53A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578,409</w:t>
            </w:r>
          </w:p>
        </w:tc>
      </w:tr>
      <w:tr w:rsidR="00E92F27" w:rsidRPr="00E92F27" w14:paraId="42557B86" w14:textId="77777777" w:rsidTr="00E92F27">
        <w:trPr>
          <w:trHeight w:val="276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B706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352532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0C4F6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F0C404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CC590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405AB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A6198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AA10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D0E0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E989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EB8B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F710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FC61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6C75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287C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ACCD87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21A95317" w14:textId="77777777" w:rsidTr="00E92F27">
        <w:trPr>
          <w:trHeight w:val="276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70A875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B761B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ECF56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94F4CD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3F28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9D7A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10C8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C317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E1BB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93C6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BC11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9A74D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079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51FA7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08A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5F233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63F075C1" w14:textId="77777777" w:rsidTr="00E92F27">
        <w:trPr>
          <w:trHeight w:val="276"/>
        </w:trPr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548C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62200/CO22</w:t>
            </w:r>
          </w:p>
        </w:tc>
        <w:tc>
          <w:tcPr>
            <w:tcW w:w="3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96BBB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projektů zaměřených na orgány veřejné </w:t>
            </w:r>
            <w:proofErr w:type="gramStart"/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správy  a</w:t>
            </w:r>
            <w:proofErr w:type="gramEnd"/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veřejné služby na celostátní, regionální a místní úrovni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BBEE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4883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326,000</w:t>
            </w:r>
          </w:p>
        </w:tc>
        <w:tc>
          <w:tcPr>
            <w:tcW w:w="856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8ECC7D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7BDD7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58,000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A031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17,791</w:t>
            </w:r>
          </w:p>
        </w:tc>
      </w:tr>
      <w:tr w:rsidR="00E92F27" w:rsidRPr="00E92F27" w14:paraId="4BC983B9" w14:textId="77777777" w:rsidTr="00E92F27">
        <w:trPr>
          <w:trHeight w:val="276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E253EB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A19F0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81F58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B57198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B27A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DF7D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4B13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D5DB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14B8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885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80D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FBA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860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0D36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AE9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D3511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5D83C70A" w14:textId="77777777" w:rsidTr="00E92F27">
        <w:trPr>
          <w:trHeight w:val="276"/>
        </w:trPr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F330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E5D084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D0F2D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BC062B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56AC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0EE2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F61A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722FA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C15D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E008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652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5A1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2AE3" w14:textId="42559A5F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EED9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F75D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8806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</w:tbl>
    <w:p w14:paraId="6D865990" w14:textId="77777777" w:rsidR="00E92F27" w:rsidRPr="003C2AA4" w:rsidRDefault="00E92F27" w:rsidP="00C205DC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55D88112" w14:textId="050CAF53" w:rsidR="003C2AA4" w:rsidRDefault="003C2AA4" w:rsidP="00C205DC">
      <w:pPr>
        <w:keepNext/>
        <w:spacing w:before="120"/>
        <w:ind w:left="113" w:right="108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03.3.48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Přístup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k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osoby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hledající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neaktivní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osoby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dlouhodobě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nezaměstnaných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gramStart"/>
      <w:r w:rsidRPr="003C2AA4">
        <w:rPr>
          <w:rFonts w:ascii="Arial" w:eastAsia="Arial" w:hAnsi="Arial" w:cs="Arial"/>
          <w:color w:val="000000"/>
          <w:sz w:val="20"/>
        </w:rPr>
        <w:t>a</w:t>
      </w:r>
      <w:proofErr w:type="gram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osob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vzdálených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trhu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také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prostřednictvím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místních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iniciativ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podporu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zaměstnanosti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mobility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pracovníků</w:t>
      </w:r>
      <w:proofErr w:type="spellEnd"/>
    </w:p>
    <w:tbl>
      <w:tblPr>
        <w:tblW w:w="159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"/>
        <w:gridCol w:w="3285"/>
        <w:gridCol w:w="1012"/>
        <w:gridCol w:w="887"/>
        <w:gridCol w:w="798"/>
        <w:gridCol w:w="799"/>
        <w:gridCol w:w="799"/>
        <w:gridCol w:w="799"/>
        <w:gridCol w:w="799"/>
        <w:gridCol w:w="799"/>
        <w:gridCol w:w="799"/>
        <w:gridCol w:w="799"/>
        <w:gridCol w:w="799"/>
        <w:gridCol w:w="803"/>
        <w:gridCol w:w="1004"/>
        <w:gridCol w:w="841"/>
      </w:tblGrid>
      <w:tr w:rsidR="00E92F27" w:rsidRPr="00E92F27" w14:paraId="51E5961B" w14:textId="77777777" w:rsidTr="00C205DC">
        <w:trPr>
          <w:trHeight w:val="773"/>
          <w:tblHeader/>
        </w:trPr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2487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2F2E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 (název indikátoru)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AACE9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83F22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 (Rozdělení podle pohlaví je pro cíl nepovinné)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AE90C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B4833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BA5F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B34A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037D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9193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92F6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7CA0D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10AB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F2F95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618F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A383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 Rozdělení podle pohlaví je nepovinné</w:t>
            </w:r>
          </w:p>
        </w:tc>
      </w:tr>
      <w:tr w:rsidR="00E92F27" w:rsidRPr="00E92F27" w14:paraId="49CE7141" w14:textId="77777777" w:rsidTr="00C205DC">
        <w:trPr>
          <w:trHeight w:val="261"/>
          <w:tblHeader/>
        </w:trPr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6885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29793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DB38D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5DF733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243C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8014A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65883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39E187FA" w14:textId="77777777" w:rsidTr="00C205DC">
        <w:trPr>
          <w:trHeight w:val="261"/>
          <w:tblHeader/>
        </w:trPr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BB863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D6569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56DD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D967E1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2E57F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3345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BAE7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10BC8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DC5A7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9B3F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71DC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10B0B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1843B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A01A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E907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47462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4169CD03" w14:textId="77777777" w:rsidTr="00C205DC">
        <w:trPr>
          <w:trHeight w:val="261"/>
          <w:tblHeader/>
        </w:trPr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A5A63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A5644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C416D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D6BA74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D565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7B0D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891F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5D94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BF39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B9FD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9CEF1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B795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3CCA2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4648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136B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94D2DA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737622D5" w14:textId="77777777" w:rsidTr="00E92F27">
        <w:trPr>
          <w:trHeight w:val="249"/>
        </w:trPr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AC170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10106/CO23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94E4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podporovaných mikropodniků, malých a středních podniků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BD94C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3D16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8,000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B02DDC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DC4BF4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5AB35E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A01449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370704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14FDC4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835D2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5AF87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B99CC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7F317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73D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94,000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2CE5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1 175,000</w:t>
            </w:r>
          </w:p>
        </w:tc>
      </w:tr>
      <w:tr w:rsidR="00E92F27" w:rsidRPr="00E92F27" w14:paraId="16F30ED5" w14:textId="77777777" w:rsidTr="00E92F27">
        <w:trPr>
          <w:trHeight w:val="249"/>
        </w:trPr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336D3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AF06D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67325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C1B58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F50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FE1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8B2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4C1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EC2C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385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35EB0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7F66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8306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38FB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7C80D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296E1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147EB006" w14:textId="77777777" w:rsidTr="00E92F27">
        <w:trPr>
          <w:trHeight w:val="249"/>
        </w:trPr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CB3BC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D7E92D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90776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4028D8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B8AF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C47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372D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FCF1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7FCB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F6B3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0AFA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EE2D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6DA1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7D1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D159A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2644C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4BB18F19" w14:textId="77777777" w:rsidTr="00E92F27">
        <w:trPr>
          <w:trHeight w:val="249"/>
        </w:trPr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39CB0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10106/CO23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E2D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podporovaných mikropodniků, malých a středních podniků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BA02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BF61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FF895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D027D9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580C0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794C8B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7A6802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F4E3B3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D0351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91EFA7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A39EE7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3D776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B80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94,000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2586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9 400,000</w:t>
            </w:r>
          </w:p>
        </w:tc>
      </w:tr>
      <w:tr w:rsidR="00E92F27" w:rsidRPr="00E92F27" w14:paraId="7C8BF2E1" w14:textId="77777777" w:rsidTr="00E92F27">
        <w:trPr>
          <w:trHeight w:val="249"/>
        </w:trPr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CB9103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7259D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AC5E2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4664BD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873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8349C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0B68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D5A3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BBE9C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487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465A2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BA30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758A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F2BF6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66DE1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25823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041E1308" w14:textId="77777777" w:rsidTr="00E92F27">
        <w:trPr>
          <w:trHeight w:val="249"/>
        </w:trPr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F19C79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0C95D1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DC2DD1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D6A249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B1EB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277B0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6351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0619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C799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FC3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B12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5008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3BB1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C7A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3F6A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B6714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640E70EE" w14:textId="77777777" w:rsidTr="00E92F27">
        <w:trPr>
          <w:trHeight w:val="249"/>
        </w:trPr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CC631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62000/CO20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C06B1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projektů, které zcela nebo zčásti provádějí sociální partneři nebo nevládní organizace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7352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BB0C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41,000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9A648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0CF9B7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D4A7FD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D6BD4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5E7277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5A1FE4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862D97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8FE9CC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091F55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F31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2ADAC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55,490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D8F48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135,341</w:t>
            </w:r>
          </w:p>
        </w:tc>
      </w:tr>
      <w:tr w:rsidR="00E92F27" w:rsidRPr="00E92F27" w14:paraId="43FE3472" w14:textId="77777777" w:rsidTr="00E92F27">
        <w:trPr>
          <w:trHeight w:val="249"/>
        </w:trPr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0F4802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4A3DA1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2B3F94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2CE6E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3E9B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CA8A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01C76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C15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71F91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F782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1D8D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0969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D2BB1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F82D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85C8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AFC4E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679F93FA" w14:textId="77777777" w:rsidTr="00E92F27">
        <w:trPr>
          <w:trHeight w:val="249"/>
        </w:trPr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2ED9C7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54B09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FC6466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A46582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71ED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8010A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CC709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550D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790B6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790C7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9E31B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6137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07617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F148A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3D736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540DBB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70A16152" w14:textId="77777777" w:rsidTr="00E92F27">
        <w:trPr>
          <w:trHeight w:val="249"/>
        </w:trPr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BDE0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62000/CO20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3555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projektů, které zcela nebo zčásti provádějí sociální partneři nebo nevládní organizace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DA90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BA9A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6,000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977C2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419E6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E26C16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9788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1F304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84B2B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C94DFB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169C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4D295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F9AA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1AE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7,440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59F9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124,000</w:t>
            </w:r>
          </w:p>
        </w:tc>
      </w:tr>
      <w:tr w:rsidR="00E92F27" w:rsidRPr="00E92F27" w14:paraId="51BDBB55" w14:textId="77777777" w:rsidTr="00E92F27">
        <w:trPr>
          <w:trHeight w:val="249"/>
        </w:trPr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F8C02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B276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486CC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23FFCC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1E1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3F7D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73E96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A74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7389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0B11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8D2D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D6E1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56648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AB41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3A0F2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256EE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3135D3F4" w14:textId="77777777" w:rsidTr="00E92F27">
        <w:trPr>
          <w:trHeight w:val="249"/>
        </w:trPr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C881AB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37C81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6C0C3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1EAD3E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13F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C379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EEB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DD8A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F44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9538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47F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247D7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C1AC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4B0A9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20A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49286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7E738976" w14:textId="77777777" w:rsidTr="00E92F27">
        <w:trPr>
          <w:trHeight w:val="249"/>
        </w:trPr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11719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62200/CO22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003A9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projektů zaměřených na orgány veřejné </w:t>
            </w:r>
            <w:proofErr w:type="gramStart"/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správy  a</w:t>
            </w:r>
            <w:proofErr w:type="gramEnd"/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veřejné služby na celostátní, regionální a místní úrovni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1B53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A0A15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193A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DB6210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DD037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97DA3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959DC6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D27A4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AB308C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22A79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445F7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DEA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7C421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6,530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BF6B0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E92F27" w:rsidRPr="00E92F27" w14:paraId="1B46BBE6" w14:textId="77777777" w:rsidTr="00E92F27">
        <w:trPr>
          <w:trHeight w:val="249"/>
        </w:trPr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6D77AB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4A214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1AB3A2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A0393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0150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048D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485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78D9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F339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BC1B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2EF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03A2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B3226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9C8B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557F0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B6B0D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0C95E220" w14:textId="77777777" w:rsidTr="00E92F27">
        <w:trPr>
          <w:trHeight w:val="249"/>
        </w:trPr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A328D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639CF9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9CB81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5105E8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5A70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6DA1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8856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273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4E2A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B81F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B3DC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EB67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FDB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430D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1528C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86C0D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386513BF" w14:textId="77777777" w:rsidTr="00E92F27">
        <w:trPr>
          <w:trHeight w:val="249"/>
        </w:trPr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0B053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62200/CO22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96407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projektů zaměřených na orgány veřejné </w:t>
            </w:r>
            <w:proofErr w:type="gramStart"/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správy  a</w:t>
            </w:r>
            <w:proofErr w:type="gramEnd"/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veřejné služby na celostátní, regionální a místní úrovni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F2E64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3A7F7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F8F76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AF8ED0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069F98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2588D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FFC5C5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307B4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B8F3C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92BA99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0D7C90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7940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7D6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0,880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49F5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88,000</w:t>
            </w:r>
          </w:p>
        </w:tc>
      </w:tr>
      <w:tr w:rsidR="00E92F27" w:rsidRPr="00E92F27" w14:paraId="637EA47F" w14:textId="77777777" w:rsidTr="00E92F27">
        <w:trPr>
          <w:trHeight w:val="249"/>
        </w:trPr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B354C4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79688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E6A325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0D7DB7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C7C99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A60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B646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9EE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E1E9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6C22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089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E06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9593D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24C6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6878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508157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4D7BC088" w14:textId="77777777" w:rsidTr="00E92F27">
        <w:trPr>
          <w:trHeight w:val="249"/>
        </w:trPr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97754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3872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C53231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37D22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5A97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3981" w14:textId="71B507A0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0439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C9F0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BDC0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461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BECC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2600A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47DC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8FE0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4CC1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973C9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</w:tbl>
    <w:p w14:paraId="52AEBF18" w14:textId="77777777" w:rsidR="00E92F27" w:rsidRPr="003C2AA4" w:rsidRDefault="00E92F27" w:rsidP="00C205DC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73E03AD0" w14:textId="28920409" w:rsidR="003C2AA4" w:rsidRDefault="003C2AA4" w:rsidP="00C205DC">
      <w:pPr>
        <w:keepNext/>
        <w:spacing w:before="120"/>
        <w:ind w:left="113" w:right="108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lastRenderedPageBreak/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03.3.60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Aktivní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začleňování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začleňování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s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ohledem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podporu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rovných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příležitostí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gramStart"/>
      <w:r w:rsidRPr="003C2AA4">
        <w:rPr>
          <w:rFonts w:ascii="Arial" w:eastAsia="Arial" w:hAnsi="Arial" w:cs="Arial"/>
          <w:color w:val="000000"/>
          <w:sz w:val="20"/>
        </w:rPr>
        <w:t>a</w:t>
      </w:r>
      <w:proofErr w:type="gram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aktivní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účast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zlepšení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zaměstnatelnosti</w:t>
      </w:r>
      <w:proofErr w:type="spellEnd"/>
    </w:p>
    <w:tbl>
      <w:tblPr>
        <w:tblW w:w="159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"/>
        <w:gridCol w:w="3285"/>
        <w:gridCol w:w="1012"/>
        <w:gridCol w:w="887"/>
        <w:gridCol w:w="798"/>
        <w:gridCol w:w="799"/>
        <w:gridCol w:w="799"/>
        <w:gridCol w:w="799"/>
        <w:gridCol w:w="799"/>
        <w:gridCol w:w="799"/>
        <w:gridCol w:w="799"/>
        <w:gridCol w:w="799"/>
        <w:gridCol w:w="799"/>
        <w:gridCol w:w="803"/>
        <w:gridCol w:w="1004"/>
        <w:gridCol w:w="841"/>
      </w:tblGrid>
      <w:tr w:rsidR="00E92F27" w:rsidRPr="00E92F27" w14:paraId="323513B4" w14:textId="77777777" w:rsidTr="00C205DC">
        <w:trPr>
          <w:trHeight w:val="732"/>
          <w:tblHeader/>
        </w:trPr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C287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17541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 (název indikátoru)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3200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71FB6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 (Rozdělení podle pohlaví je pro cíl nepovinné)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70AC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72B03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9D23B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F5E1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876B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BCB6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455F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00A48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72B8B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66F6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C1AE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3A02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 Rozdělení podle pohlaví je nepovinné</w:t>
            </w:r>
          </w:p>
        </w:tc>
      </w:tr>
      <w:tr w:rsidR="00E92F27" w:rsidRPr="00E92F27" w14:paraId="53695B49" w14:textId="77777777" w:rsidTr="00C205DC">
        <w:trPr>
          <w:trHeight w:val="247"/>
          <w:tblHeader/>
        </w:trPr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1A3FA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C8184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17AAB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0BEA88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395A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F249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8A407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37C15E8A" w14:textId="77777777" w:rsidTr="00C205DC">
        <w:trPr>
          <w:trHeight w:val="294"/>
          <w:tblHeader/>
        </w:trPr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FE8F2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85532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92B5D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318493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C38F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61BB8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225B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E5F5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CD3B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397B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E16D9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F63A4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E5821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7C3C1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8DD1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666870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6699616A" w14:textId="77777777" w:rsidTr="00C205DC">
        <w:trPr>
          <w:trHeight w:val="294"/>
          <w:tblHeader/>
        </w:trPr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4A369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DAD5E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0A7CC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1FCE0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E6F4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06B7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17FDD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2EB8B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1E6B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D06E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D278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1C83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9C0A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0C4B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E58DD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3D1EE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402D024C" w14:textId="77777777" w:rsidTr="00E92F27">
        <w:trPr>
          <w:trHeight w:val="236"/>
        </w:trPr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B0410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10106/CO23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AA82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podporovaných mikropodniků, malých a středních podniků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52F1D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6F56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10,000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4FD34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B267E5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4871E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4700E9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FAE1DB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76819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1633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92B67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32B4C9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E3680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8350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82,000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355BE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820,000</w:t>
            </w:r>
          </w:p>
        </w:tc>
      </w:tr>
      <w:tr w:rsidR="00E92F27" w:rsidRPr="00E92F27" w14:paraId="6A31C6D9" w14:textId="77777777" w:rsidTr="00E92F27">
        <w:trPr>
          <w:trHeight w:val="236"/>
        </w:trPr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DFC82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CCFC2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0B18B9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C0437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8A19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38E6A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B4E3A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D91D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29C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2457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D2C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015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BAD9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EDAD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CD5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DF44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1DF8CB87" w14:textId="77777777" w:rsidTr="00E92F27">
        <w:trPr>
          <w:trHeight w:val="236"/>
        </w:trPr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6585D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89FFC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E42DE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7FA97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58A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05A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5D2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EB8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A250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95D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CB6A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762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BFE4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89F0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932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92122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4B52E0D4" w14:textId="77777777" w:rsidTr="00E92F27">
        <w:trPr>
          <w:trHeight w:val="236"/>
        </w:trPr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4BA08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10106/CO23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A365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podporovaných mikropodniků, malých a středních podniků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60F1E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EB8EF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E963CB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A63AB6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73B67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1E8561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EFC577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7716E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7AB38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302608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3004E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1154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887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82,000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81D0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8 200,000</w:t>
            </w:r>
          </w:p>
        </w:tc>
      </w:tr>
      <w:tr w:rsidR="00E92F27" w:rsidRPr="00E92F27" w14:paraId="14758516" w14:textId="77777777" w:rsidTr="00E92F27">
        <w:trPr>
          <w:trHeight w:val="236"/>
        </w:trPr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7FDCE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20AB0B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E8B5B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4EB0B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B55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110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15979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358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22DB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08F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FE58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F2B6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105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F22A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67F1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0A76A0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513FDA1C" w14:textId="77777777" w:rsidTr="00E92F27">
        <w:trPr>
          <w:trHeight w:val="236"/>
        </w:trPr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F4FDD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27DE4C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8041E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12CC11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617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1D41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1177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5EDAD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BF1D2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D56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1778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54F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A4E2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B61AC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EC8B9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870E63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13A72C82" w14:textId="77777777" w:rsidTr="00E92F27">
        <w:trPr>
          <w:trHeight w:val="236"/>
        </w:trPr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3E77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62000/CO20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09FD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projektů, které zcela nebo zčásti provádějí sociální partneři nebo nevládní organizace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7EF92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AAE1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47,000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E3083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C7E2F7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5ADB3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9DE98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FD5DD5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05B4CD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F62990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A5545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A1CEC5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3FB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56A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32,560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23851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69,277</w:t>
            </w:r>
          </w:p>
        </w:tc>
      </w:tr>
      <w:tr w:rsidR="00E92F27" w:rsidRPr="00E92F27" w14:paraId="638F628A" w14:textId="77777777" w:rsidTr="00E92F27">
        <w:trPr>
          <w:trHeight w:val="236"/>
        </w:trPr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329BB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4AEBE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F0979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59E7C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A7DA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47DC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B1D1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4722D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CD442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AC6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D259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BA3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B2B1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405CC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F2041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65197C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3A414510" w14:textId="77777777" w:rsidTr="00E92F27">
        <w:trPr>
          <w:trHeight w:val="236"/>
        </w:trPr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446B1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D89FC3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5BCC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8F0D1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B74CA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54AD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97540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CA3B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F2D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8E19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422D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4A42C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EE12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0A52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C73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AE072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6846BAFA" w14:textId="77777777" w:rsidTr="00E92F27">
        <w:trPr>
          <w:trHeight w:val="236"/>
        </w:trPr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53DF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62000/CO20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82C8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projektů, které zcela nebo zčásti provádějí sociální partneři nebo nevládní organizace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F45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9F74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6,000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26EECC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A3D0CB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8DB690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1A2B4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EBBEE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07E3A9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B59D43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5F0F7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E2543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0DC8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BB442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4,370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F1289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72,833</w:t>
            </w:r>
          </w:p>
        </w:tc>
      </w:tr>
      <w:tr w:rsidR="00E92F27" w:rsidRPr="00E92F27" w14:paraId="266D43D0" w14:textId="77777777" w:rsidTr="00E92F27">
        <w:trPr>
          <w:trHeight w:val="236"/>
        </w:trPr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00546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74351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BE620D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46E94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3064C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65FB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15E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9F2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04E0B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E2A7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CE4C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C2B3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2B7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D882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C51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1E248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6FE81B6E" w14:textId="77777777" w:rsidTr="00E92F27">
        <w:trPr>
          <w:trHeight w:val="236"/>
        </w:trPr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F4F70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276376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1F95A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BD4E8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A4F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ED8C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E3A9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8F07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E811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BCED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A76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17242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91A07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666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D0117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2FA55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700FE7B3" w14:textId="77777777" w:rsidTr="00E92F27">
        <w:trPr>
          <w:trHeight w:val="236"/>
        </w:trPr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36B5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62200/CO22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9F63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projektů zaměřených na orgány veřejné </w:t>
            </w:r>
            <w:proofErr w:type="gramStart"/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správy  a</w:t>
            </w:r>
            <w:proofErr w:type="gramEnd"/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veřejné služby na celostátní, regionální a místní úrovni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6672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CFD9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3,000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6386A9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1B82C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731AFE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DF6628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5EC4E1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B3B5FE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9B6D6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C82500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407B78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77D9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B7DBA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7,370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2FD66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245,667</w:t>
            </w:r>
          </w:p>
        </w:tc>
      </w:tr>
      <w:tr w:rsidR="00E92F27" w:rsidRPr="00E92F27" w14:paraId="1A69AA0E" w14:textId="77777777" w:rsidTr="00E92F27">
        <w:trPr>
          <w:trHeight w:val="236"/>
        </w:trPr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38C054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72B8E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EED01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273A78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F82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E6227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73A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55FC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849C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02E6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3487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0C5C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2627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75C0A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DC7B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30FD13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6B0B6E21" w14:textId="77777777" w:rsidTr="00E92F27">
        <w:trPr>
          <w:trHeight w:val="236"/>
        </w:trPr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ADA0FE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61C2C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738D0B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F6964B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9708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FB4D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9A4D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B7A4C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BF40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EE0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FDB48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2C19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4BE3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CC4C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75FBD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70D797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25C58B63" w14:textId="77777777" w:rsidTr="00E92F27">
        <w:trPr>
          <w:trHeight w:val="236"/>
        </w:trPr>
        <w:tc>
          <w:tcPr>
            <w:tcW w:w="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CE39F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62200/CO22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1983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projektů zaměřených na orgány veřejné </w:t>
            </w:r>
            <w:proofErr w:type="gramStart"/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správy  a</w:t>
            </w:r>
            <w:proofErr w:type="gramEnd"/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veřejné služby na celostátní, regionální a místní úrovni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08CC1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C3F9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AEE49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84A3D0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8D416C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3A46D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97BB6B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DDF33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86D82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3E0717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A2E8A6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2CB4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3CDBC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0,990</w:t>
            </w:r>
          </w:p>
        </w:tc>
        <w:tc>
          <w:tcPr>
            <w:tcW w:w="8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5EB2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E92F27" w:rsidRPr="00E92F27" w14:paraId="355ADB0C" w14:textId="77777777" w:rsidTr="00E92F27">
        <w:trPr>
          <w:trHeight w:val="236"/>
        </w:trPr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811BB3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0677C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5EE880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A31E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DFCA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EC92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292FA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654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04B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53D0B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9410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F74A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2A4A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4760A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1469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8AB28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54C63479" w14:textId="77777777" w:rsidTr="00E92F27">
        <w:trPr>
          <w:trHeight w:val="236"/>
        </w:trPr>
        <w:tc>
          <w:tcPr>
            <w:tcW w:w="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23A11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A8EC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4DBE2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045AB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93B28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401B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1CBB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125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7139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75FB8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FB84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E9DD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95A1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9479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9AC51" w14:textId="2B855B03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246869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</w:tbl>
    <w:p w14:paraId="04B189E4" w14:textId="77777777" w:rsidR="00E92F27" w:rsidRPr="003C2AA4" w:rsidRDefault="00E92F27" w:rsidP="00C205DC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068EFDD6" w14:textId="7D8FFE12" w:rsidR="003C2AA4" w:rsidRDefault="003C2AA4" w:rsidP="00C205DC">
      <w:pPr>
        <w:keepNext/>
        <w:spacing w:before="120"/>
        <w:ind w:left="113" w:right="108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03.3.74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do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institucionální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kapacity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gramStart"/>
      <w:r w:rsidRPr="003C2AA4">
        <w:rPr>
          <w:rFonts w:ascii="Arial" w:eastAsia="Arial" w:hAnsi="Arial" w:cs="Arial"/>
          <w:color w:val="000000"/>
          <w:sz w:val="20"/>
        </w:rPr>
        <w:t>a</w:t>
      </w:r>
      <w:proofErr w:type="gram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efektivnosti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veřejné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správy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veřejných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služeb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celostátní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regionální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místní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úrovni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za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účelem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reforem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zlepšování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úpravy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řádné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správy</w:t>
      </w:r>
      <w:proofErr w:type="spellEnd"/>
    </w:p>
    <w:tbl>
      <w:tblPr>
        <w:tblW w:w="160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"/>
        <w:gridCol w:w="3298"/>
        <w:gridCol w:w="1017"/>
        <w:gridCol w:w="887"/>
        <w:gridCol w:w="803"/>
        <w:gridCol w:w="803"/>
        <w:gridCol w:w="803"/>
        <w:gridCol w:w="803"/>
        <w:gridCol w:w="803"/>
        <w:gridCol w:w="803"/>
        <w:gridCol w:w="803"/>
        <w:gridCol w:w="803"/>
        <w:gridCol w:w="803"/>
        <w:gridCol w:w="807"/>
        <w:gridCol w:w="1004"/>
        <w:gridCol w:w="841"/>
      </w:tblGrid>
      <w:tr w:rsidR="00E92F27" w:rsidRPr="00E92F27" w14:paraId="601003B0" w14:textId="77777777" w:rsidTr="00C205DC">
        <w:trPr>
          <w:trHeight w:val="782"/>
          <w:tblHeader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6CC8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3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14CA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 (název indikátoru)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64F2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37068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 (Rozdělení podle pohlaví je pro cíl nepovinné)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C0D1D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FE861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98B8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9AFA0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4C5C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57151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E8B2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3DE50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8140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3417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26E7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4FE0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 Rozdělení podle pohlaví je nepovinné</w:t>
            </w:r>
          </w:p>
        </w:tc>
      </w:tr>
      <w:tr w:rsidR="00E92F27" w:rsidRPr="00E92F27" w14:paraId="6B5568BB" w14:textId="77777777" w:rsidTr="00C205DC">
        <w:trPr>
          <w:trHeight w:val="264"/>
          <w:tblHeader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A636F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573C3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6E2E5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B49F9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CD0C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3F4F0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88223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215970AD" w14:textId="77777777" w:rsidTr="00C205DC">
        <w:trPr>
          <w:trHeight w:val="264"/>
          <w:tblHeader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FBCFA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1A426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34423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9AFC9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966EB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285A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DC82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E62F0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4064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26CD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A7032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F1351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EC81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0825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7A3D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1474E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69CDB845" w14:textId="77777777" w:rsidTr="00C205DC">
        <w:trPr>
          <w:trHeight w:val="264"/>
          <w:tblHeader/>
        </w:trPr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4618E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F7413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507E5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CB3EF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A632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7CC39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24428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D74C5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814A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DCA20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0A17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CD60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6BE7C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65005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B9C4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FB67E7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4591D023" w14:textId="77777777" w:rsidTr="00E92F27">
        <w:trPr>
          <w:trHeight w:val="252"/>
        </w:trPr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3277B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62200/CO22</w:t>
            </w:r>
          </w:p>
        </w:tc>
        <w:tc>
          <w:tcPr>
            <w:tcW w:w="33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4931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projektů zaměřených na orgány veřejné </w:t>
            </w:r>
            <w:proofErr w:type="gramStart"/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správy  a</w:t>
            </w:r>
            <w:proofErr w:type="gramEnd"/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veřejné služby na celostátní, regionální a místní úrovni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966B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7ADD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4,000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B2AA8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00359E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5A5EC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B1911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4D5BD9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C94FED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0C047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56E53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365F75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90EB4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5EB5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2,850</w:t>
            </w:r>
          </w:p>
        </w:tc>
        <w:tc>
          <w:tcPr>
            <w:tcW w:w="8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CA7D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71,250</w:t>
            </w:r>
          </w:p>
        </w:tc>
      </w:tr>
      <w:tr w:rsidR="00E92F27" w:rsidRPr="00E92F27" w14:paraId="72C699CF" w14:textId="77777777" w:rsidTr="00E92F27">
        <w:trPr>
          <w:trHeight w:val="252"/>
        </w:trPr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EAA76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610D6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0AE78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120B70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72F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7A07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2CD7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2D30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78A8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7A649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335E1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E02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9207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0549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AD57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DDCB21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3BE6DA7C" w14:textId="77777777" w:rsidTr="00E92F27">
        <w:trPr>
          <w:trHeight w:val="252"/>
        </w:trPr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079ED2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4CB9B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E3FA0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C075B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310F7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A49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C9B3C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FBC8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D6DC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A066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F20E0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179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5951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5360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1D22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38677D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36583FBF" w14:textId="77777777" w:rsidTr="00E92F27">
        <w:trPr>
          <w:trHeight w:val="252"/>
        </w:trPr>
        <w:tc>
          <w:tcPr>
            <w:tcW w:w="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AA1B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62200/CO22</w:t>
            </w:r>
          </w:p>
        </w:tc>
        <w:tc>
          <w:tcPr>
            <w:tcW w:w="33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2863B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projektů zaměřených na orgány veřejné </w:t>
            </w:r>
            <w:proofErr w:type="gramStart"/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správy  a</w:t>
            </w:r>
            <w:proofErr w:type="gramEnd"/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veřejné služby na celostátní, regionální a místní úrovni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56A8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D40FA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27768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BC0A7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1A816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E38291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14E451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87E9FD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884C6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7A6F20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61E9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0DD14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E07A7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0,380</w:t>
            </w:r>
          </w:p>
        </w:tc>
        <w:tc>
          <w:tcPr>
            <w:tcW w:w="8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8521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E92F27" w:rsidRPr="00E92F27" w14:paraId="4419314F" w14:textId="77777777" w:rsidTr="00E92F27">
        <w:trPr>
          <w:trHeight w:val="252"/>
        </w:trPr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2467E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A7543E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57D41E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17E01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BD6EA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8DB9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CD51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97D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A68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FCB26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6FA8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6DCD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2F48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CC6E0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8AE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B2F10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4CB36B56" w14:textId="77777777" w:rsidTr="00E92F27">
        <w:trPr>
          <w:trHeight w:val="252"/>
        </w:trPr>
        <w:tc>
          <w:tcPr>
            <w:tcW w:w="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57BE5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3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EEABA6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BE6A2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0B9AD6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D03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C5D1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E75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8337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4888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687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7082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8F0A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5207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921C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2585" w14:textId="4F258453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C34824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</w:tbl>
    <w:p w14:paraId="1812EC9C" w14:textId="77777777" w:rsidR="00E92F27" w:rsidRPr="003C2AA4" w:rsidRDefault="00E92F27" w:rsidP="00C205DC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4A49BF96" w14:textId="710F54E5" w:rsidR="003C2AA4" w:rsidRDefault="003C2AA4" w:rsidP="00C205DC">
      <w:pPr>
        <w:keepNext/>
        <w:spacing w:before="120"/>
        <w:ind w:left="113" w:right="108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03.4.74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do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institucionální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kapacity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gramStart"/>
      <w:r w:rsidRPr="003C2AA4">
        <w:rPr>
          <w:rFonts w:ascii="Arial" w:eastAsia="Arial" w:hAnsi="Arial" w:cs="Arial"/>
          <w:color w:val="000000"/>
          <w:sz w:val="20"/>
        </w:rPr>
        <w:t>a</w:t>
      </w:r>
      <w:proofErr w:type="gram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efektivnosti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veřejné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správy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veřejných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služeb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celostátní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regionální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místní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úrovni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za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účelem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reforem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zlepšování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úpravy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řádné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správy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>.</w:t>
      </w:r>
    </w:p>
    <w:tbl>
      <w:tblPr>
        <w:tblW w:w="159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3212"/>
        <w:gridCol w:w="1034"/>
        <w:gridCol w:w="887"/>
        <w:gridCol w:w="799"/>
        <w:gridCol w:w="801"/>
        <w:gridCol w:w="801"/>
        <w:gridCol w:w="801"/>
        <w:gridCol w:w="801"/>
        <w:gridCol w:w="801"/>
        <w:gridCol w:w="801"/>
        <w:gridCol w:w="801"/>
        <w:gridCol w:w="801"/>
        <w:gridCol w:w="802"/>
        <w:gridCol w:w="1004"/>
        <w:gridCol w:w="841"/>
      </w:tblGrid>
      <w:tr w:rsidR="00E92F27" w:rsidRPr="00E92F27" w14:paraId="198D18AA" w14:textId="77777777" w:rsidTr="00C205DC">
        <w:trPr>
          <w:trHeight w:val="745"/>
          <w:tblHeader/>
        </w:trPr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6BC3F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3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8A83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 (název indikátoru)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A452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CABB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 (Rozdělení podle pohlaví je pro cíl nepovinné)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86C55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0D139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7311B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39188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D523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8B89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EF4C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F912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805CC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35049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A695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8674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 Rozdělení podle pohlaví je nepovinné</w:t>
            </w:r>
          </w:p>
        </w:tc>
      </w:tr>
      <w:tr w:rsidR="00E92F27" w:rsidRPr="00E92F27" w14:paraId="028B602E" w14:textId="77777777" w:rsidTr="00C205DC">
        <w:trPr>
          <w:trHeight w:val="252"/>
          <w:tblHeader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7E36F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D0393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EE79B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6810E8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67D5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F7CC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32767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752B8044" w14:textId="77777777" w:rsidTr="00C205DC">
        <w:trPr>
          <w:trHeight w:val="252"/>
          <w:tblHeader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57C4F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EB3FF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318D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45C7FD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FF9D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078B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53B6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3C64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A8EA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D1BA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B9AB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49A95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B0838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07C2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9F40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74B2C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398EF8B5" w14:textId="77777777" w:rsidTr="00C205DC">
        <w:trPr>
          <w:trHeight w:val="252"/>
          <w:tblHeader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4B421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F208C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04413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703CA2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ECE0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6439D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CA9C9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765C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884D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8ECDC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6333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CF8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9E016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6653D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A64E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16F3AD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1DB07382" w14:textId="77777777" w:rsidTr="00E92F27">
        <w:trPr>
          <w:trHeight w:val="24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0ED2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62200/CO22</w:t>
            </w:r>
          </w:p>
        </w:tc>
        <w:tc>
          <w:tcPr>
            <w:tcW w:w="32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6AAD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projektů zaměřených na orgány veřejné </w:t>
            </w:r>
            <w:proofErr w:type="gramStart"/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správy  a</w:t>
            </w:r>
            <w:proofErr w:type="gramEnd"/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veřejné služby na celostátní, regionální a místní úrovni</w:t>
            </w:r>
          </w:p>
        </w:tc>
        <w:tc>
          <w:tcPr>
            <w:tcW w:w="10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24744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4BC10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489,000</w:t>
            </w:r>
          </w:p>
        </w:tc>
        <w:tc>
          <w:tcPr>
            <w:tcW w:w="80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9FB325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3356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280,160</w:t>
            </w:r>
          </w:p>
        </w:tc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63A1F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57,292</w:t>
            </w:r>
          </w:p>
        </w:tc>
      </w:tr>
      <w:tr w:rsidR="00E92F27" w:rsidRPr="00E92F27" w14:paraId="21BB7804" w14:textId="77777777" w:rsidTr="00E92F27">
        <w:trPr>
          <w:trHeight w:val="24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BF734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57497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AA105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EFEC2C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42609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D6C6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49EA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763A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1E96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2713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7E1C9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CCB6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4326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3EB42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36B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91E2ED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51F81156" w14:textId="77777777" w:rsidTr="00E92F27">
        <w:trPr>
          <w:trHeight w:val="24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7E3BB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85233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6637E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3A102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811A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7ED6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C10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A3A0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FD8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8EE8C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7960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15647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CC1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E6B26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58E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BCC43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322E68B4" w14:textId="77777777" w:rsidTr="00E92F27">
        <w:trPr>
          <w:trHeight w:val="24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DF8C5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62200/CO22</w:t>
            </w:r>
          </w:p>
        </w:tc>
        <w:tc>
          <w:tcPr>
            <w:tcW w:w="32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5FF3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projektů zaměřených na orgány veřejné </w:t>
            </w:r>
            <w:proofErr w:type="gramStart"/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správy  a</w:t>
            </w:r>
            <w:proofErr w:type="gramEnd"/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veřejné služby na celostátní, regionální a místní úrovni</w:t>
            </w:r>
          </w:p>
        </w:tc>
        <w:tc>
          <w:tcPr>
            <w:tcW w:w="10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EAEE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F9DD4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49,000</w:t>
            </w:r>
          </w:p>
        </w:tc>
        <w:tc>
          <w:tcPr>
            <w:tcW w:w="80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D6A11C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99D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27,850</w:t>
            </w:r>
          </w:p>
        </w:tc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CCAA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56,837</w:t>
            </w:r>
          </w:p>
        </w:tc>
      </w:tr>
      <w:tr w:rsidR="00E92F27" w:rsidRPr="00E92F27" w14:paraId="5C06FA13" w14:textId="77777777" w:rsidTr="00E92F27">
        <w:trPr>
          <w:trHeight w:val="24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39E27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71310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F31EF0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693A8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9642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3020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26C6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4A2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18ECA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D18B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AC92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263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041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ECCE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88FB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1DF7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6D10DA38" w14:textId="77777777" w:rsidTr="00E92F27">
        <w:trPr>
          <w:trHeight w:val="24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491E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4F27E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BBD8C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966FF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30C2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606F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79FD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9588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16C3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0F304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980C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0FC0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128CD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2A45" w14:textId="77777777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8531" w14:textId="561B9363" w:rsidR="00E92F27" w:rsidRPr="00E92F27" w:rsidRDefault="00E92F27" w:rsidP="00E92F27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DB607A" w14:textId="77777777" w:rsidR="00E92F27" w:rsidRPr="00E92F27" w:rsidRDefault="00E92F27" w:rsidP="00E92F27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</w:tr>
    </w:tbl>
    <w:p w14:paraId="7438CD00" w14:textId="77777777" w:rsidR="00E92F27" w:rsidRPr="003C2AA4" w:rsidRDefault="00E92F27" w:rsidP="00C205DC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605816E0" w14:textId="27755784" w:rsidR="003C2AA4" w:rsidRDefault="003C2AA4" w:rsidP="00C205DC">
      <w:pPr>
        <w:keepNext/>
        <w:spacing w:before="120"/>
        <w:ind w:left="113" w:right="108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03.5.125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Technická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pomoc</w:t>
      </w:r>
      <w:proofErr w:type="spellEnd"/>
    </w:p>
    <w:tbl>
      <w:tblPr>
        <w:tblW w:w="15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3"/>
        <w:gridCol w:w="3413"/>
        <w:gridCol w:w="1050"/>
        <w:gridCol w:w="887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5"/>
        <w:gridCol w:w="1004"/>
        <w:gridCol w:w="841"/>
      </w:tblGrid>
      <w:tr w:rsidR="00E92F27" w:rsidRPr="00E92F27" w14:paraId="1CCFF7B6" w14:textId="77777777" w:rsidTr="00E92F27">
        <w:trPr>
          <w:trHeight w:val="855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62503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3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6D53C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 (název indikátoru)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1D10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C67A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 (Rozdělení podle pohlaví je pro cíl nepovinné)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D2417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643E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68DA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B543A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1787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6372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DD83F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9579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F95A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ECF4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41EC3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FBAC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 Rozdělení podle pohlaví je nepovinné</w:t>
            </w:r>
          </w:p>
        </w:tc>
      </w:tr>
      <w:tr w:rsidR="00E92F27" w:rsidRPr="00E92F27" w14:paraId="7708E462" w14:textId="77777777" w:rsidTr="00E92F27">
        <w:trPr>
          <w:trHeight w:val="289"/>
        </w:trPr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ECF44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24ED9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7D171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ACA7F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5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39EF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70D2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310D0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36AF3789" w14:textId="77777777" w:rsidTr="00E92F27">
        <w:trPr>
          <w:trHeight w:val="289"/>
        </w:trPr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E883A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CE007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B46E8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C0E5E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00F0D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5CF0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164A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EA13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C8E6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2EBE8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00A5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79DB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99E13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1EBD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F85A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F1574F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92F27" w:rsidRPr="00E92F27" w14:paraId="228072B1" w14:textId="77777777" w:rsidTr="00E92F27">
        <w:trPr>
          <w:trHeight w:val="276"/>
        </w:trPr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4155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3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14D6B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3DF4F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AA096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F4785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7BFE3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4A00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9001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9646F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C9A5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982E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D035C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6DAC8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F5E2" w14:textId="77777777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C706" w14:textId="78A8B38E" w:rsidR="00E92F27" w:rsidRPr="00E92F27" w:rsidRDefault="00E92F27" w:rsidP="00E92F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92F2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C2EE9" w14:textId="77777777" w:rsidR="00E92F27" w:rsidRPr="00E92F27" w:rsidRDefault="00E92F27" w:rsidP="00E92F27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</w:tbl>
    <w:p w14:paraId="5BAB3AC5" w14:textId="77777777" w:rsidR="00E92F27" w:rsidRPr="003C2AA4" w:rsidRDefault="00E92F27" w:rsidP="003C2AA4">
      <w:pPr>
        <w:keepNext/>
        <w:spacing w:before="240"/>
        <w:ind w:left="115" w:right="106"/>
        <w:jc w:val="both"/>
        <w:rPr>
          <w:rFonts w:ascii="Arial" w:eastAsia="Arial" w:hAnsi="Arial" w:cs="Arial"/>
          <w:color w:val="000000"/>
          <w:sz w:val="20"/>
        </w:rPr>
      </w:pPr>
    </w:p>
    <w:p w14:paraId="7C7CABCC" w14:textId="77777777" w:rsidR="003C2AA4" w:rsidRPr="003C2AA4" w:rsidRDefault="003C2AA4" w:rsidP="003C2AA4">
      <w:pPr>
        <w:ind w:left="820" w:right="529" w:hanging="705"/>
        <w:jc w:val="both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>1</w:t>
      </w:r>
      <w:r w:rsidRPr="003C2AA4">
        <w:rPr>
          <w:rFonts w:ascii="Arial" w:eastAsia="Arial" w:hAnsi="Arial" w:cs="Arial"/>
          <w:color w:val="000000"/>
          <w:sz w:val="16"/>
        </w:rPr>
        <w:tab/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Odhad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založený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reprezentativním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vzorku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Členské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státy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mají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1: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Minimálním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požadavkem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je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jednou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2017.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případě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této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vykázány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sloupci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„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proofErr w:type="gramStart"/>
      <w:r w:rsidRPr="003C2AA4">
        <w:rPr>
          <w:rFonts w:ascii="Arial" w:eastAsia="Arial" w:hAnsi="Arial" w:cs="Arial"/>
          <w:color w:val="000000"/>
          <w:sz w:val="16"/>
        </w:rPr>
        <w:t>hodnota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“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ve</w:t>
      </w:r>
      <w:proofErr w:type="spellEnd"/>
      <w:proofErr w:type="gram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implementaci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 2017.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Možnost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č. 2: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každý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rok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.</w:t>
      </w:r>
    </w:p>
    <w:p w14:paraId="55D79E5B" w14:textId="77777777" w:rsidR="003C2AA4" w:rsidRPr="003C2AA4" w:rsidRDefault="003C2AA4" w:rsidP="003C2AA4">
      <w:pPr>
        <w:ind w:left="820" w:right="529" w:hanging="705"/>
        <w:jc w:val="both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>2</w:t>
      </w:r>
      <w:r w:rsidRPr="003C2AA4">
        <w:rPr>
          <w:rFonts w:ascii="Arial" w:eastAsia="Arial" w:hAnsi="Arial" w:cs="Arial"/>
          <w:color w:val="000000"/>
          <w:sz w:val="16"/>
        </w:rPr>
        <w:tab/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Úhrnný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počet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účastníků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zahrnuje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účastníky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s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úplnými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záznamy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(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osobních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necitlivých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)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účastníky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s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neúplnými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záznamy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(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osobních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necitlivých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).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Celkový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počet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účastníků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se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systému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SFC2014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vypočítá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základě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těchto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tří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společných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ukazatelů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výstupů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: „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nezaměstnaní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dlouhodobě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proofErr w:type="gramStart"/>
      <w:r w:rsidRPr="003C2AA4">
        <w:rPr>
          <w:rFonts w:ascii="Arial" w:eastAsia="Arial" w:hAnsi="Arial" w:cs="Arial"/>
          <w:color w:val="000000"/>
          <w:sz w:val="16"/>
        </w:rPr>
        <w:t>nezaměstnaných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“</w:t>
      </w:r>
      <w:proofErr w:type="gramEnd"/>
      <w:r w:rsidRPr="003C2AA4">
        <w:rPr>
          <w:rFonts w:ascii="Arial" w:eastAsia="Arial" w:hAnsi="Arial" w:cs="Arial"/>
          <w:color w:val="000000"/>
          <w:sz w:val="16"/>
        </w:rPr>
        <w:t>, „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neaktivní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“ a „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zaměstnaní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osob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samostatně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výdělečně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činných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“.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Tento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celkový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počet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zahrnuje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pouze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účastníky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s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úplnými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záznamy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všech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osobních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necitlivých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úhrnném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počtu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účastníků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musí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členské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státy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uvést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všechny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účastníky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programů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podpořených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z ESF,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účastníků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s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neúplným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záznamem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osobních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necitlivých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.</w:t>
      </w:r>
    </w:p>
    <w:p w14:paraId="4BE2DC9A" w14:textId="77777777" w:rsidR="003C2AA4" w:rsidRPr="003C2AA4" w:rsidRDefault="003C2AA4" w:rsidP="003C2AA4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5935EE17" w14:textId="77777777" w:rsidR="003C2AA4" w:rsidRPr="003C2AA4" w:rsidRDefault="003C2AA4" w:rsidP="003C2AA4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04FBC2A6" w14:textId="77777777" w:rsidR="003C2AA4" w:rsidRPr="003C2AA4" w:rsidRDefault="003C2AA4" w:rsidP="003C2AA4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>----------------------------------------------------</w:t>
      </w:r>
    </w:p>
    <w:p w14:paraId="4967090F" w14:textId="77777777" w:rsidR="003C2AA4" w:rsidRPr="003C2AA4" w:rsidRDefault="003C2AA4" w:rsidP="003C2AA4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 xml:space="preserve">8 -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Strukturované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požadované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YEI,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která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má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být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předložena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dubnu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2015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souladu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s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čl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19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odst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3 a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přílohou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II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nařízení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(EU) č. 1304/2013.</w:t>
      </w:r>
    </w:p>
    <w:p w14:paraId="10D36B7B" w14:textId="77777777" w:rsidR="003C2AA4" w:rsidRPr="003C2AA4" w:rsidRDefault="003C2AA4" w:rsidP="003C2AA4">
      <w:pPr>
        <w:spacing w:line="312" w:lineRule="auto"/>
        <w:ind w:left="115" w:right="670"/>
        <w:jc w:val="both"/>
        <w:rPr>
          <w:rFonts w:ascii="Arial" w:eastAsia="Arial" w:hAnsi="Arial" w:cs="Arial"/>
          <w:color w:val="000000"/>
          <w:sz w:val="16"/>
        </w:rPr>
      </w:pPr>
    </w:p>
    <w:p w14:paraId="19CEF7CC" w14:textId="77777777" w:rsidR="003C2AA4" w:rsidRPr="003C2AA4" w:rsidRDefault="003C2AA4" w:rsidP="003C2AA4">
      <w:r w:rsidRPr="003C2AA4">
        <w:br w:type="page"/>
      </w:r>
    </w:p>
    <w:p w14:paraId="340503BC" w14:textId="77777777" w:rsidR="003C2AA4" w:rsidRPr="003C2AA4" w:rsidRDefault="003C2AA4" w:rsidP="003C2AA4">
      <w:pPr>
        <w:spacing w:line="312" w:lineRule="auto"/>
        <w:ind w:left="115" w:right="670"/>
        <w:jc w:val="both"/>
      </w:pPr>
    </w:p>
    <w:p w14:paraId="3F6D06BC" w14:textId="77777777" w:rsidR="003C2AA4" w:rsidRPr="003C2AA4" w:rsidRDefault="003C2AA4" w:rsidP="003C2AA4">
      <w:pPr>
        <w:spacing w:line="312" w:lineRule="auto"/>
        <w:ind w:left="115" w:right="670"/>
        <w:jc w:val="both"/>
        <w:rPr>
          <w:rFonts w:ascii="Arial" w:eastAsia="Arial" w:hAnsi="Arial" w:cs="Arial"/>
          <w:b/>
          <w:bCs/>
          <w:i/>
          <w:iCs/>
          <w:color w:val="000000"/>
          <w:sz w:val="16"/>
        </w:rPr>
      </w:pP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Tabulka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4B: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Indikátory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výstupů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specifické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pro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jednotlivé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programy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pro ESF (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podle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prioritních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os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investičních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priorit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kategorií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regionů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; to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platí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rovněž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pro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prioritní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osy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„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technická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proofErr w:type="gram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pomoc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“</w:t>
      </w:r>
      <w:proofErr w:type="gram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). U YEI se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rozdělení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podle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kategorií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regionů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nevyžaduje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pro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každou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prioritní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osu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nebo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její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část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r w:rsidRPr="003C2AA4">
        <w:rPr>
          <w:rFonts w:ascii="Arial" w:eastAsia="Arial" w:hAnsi="Arial" w:cs="Arial"/>
          <w:b/>
          <w:bCs/>
          <w:i/>
          <w:iCs/>
          <w:color w:val="000000"/>
          <w:sz w:val="16"/>
        </w:rPr>
        <w:t>(9)</w:t>
      </w:r>
    </w:p>
    <w:p w14:paraId="54A8200E" w14:textId="07A1964B" w:rsidR="003C2AA4" w:rsidRDefault="003C2AA4" w:rsidP="007802AB">
      <w:pPr>
        <w:keepNext/>
        <w:spacing w:before="120"/>
        <w:ind w:left="113" w:right="108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03.1.48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Přístup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k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osoby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hledající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neaktivní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osoby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dlouhodobě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nezaměstnaných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gramStart"/>
      <w:r w:rsidRPr="003C2AA4">
        <w:rPr>
          <w:rFonts w:ascii="Arial" w:eastAsia="Arial" w:hAnsi="Arial" w:cs="Arial"/>
          <w:color w:val="000000"/>
          <w:sz w:val="20"/>
        </w:rPr>
        <w:t>a</w:t>
      </w:r>
      <w:proofErr w:type="gram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osob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vzdálených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trhu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také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prostřednictvím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místních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iniciativ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podporu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zaměstnanosti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mobility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pracovníků</w:t>
      </w:r>
      <w:proofErr w:type="spellEnd"/>
    </w:p>
    <w:tbl>
      <w:tblPr>
        <w:tblW w:w="16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"/>
        <w:gridCol w:w="2060"/>
        <w:gridCol w:w="818"/>
        <w:gridCol w:w="977"/>
        <w:gridCol w:w="876"/>
        <w:gridCol w:w="877"/>
        <w:gridCol w:w="877"/>
        <w:gridCol w:w="877"/>
        <w:gridCol w:w="877"/>
        <w:gridCol w:w="877"/>
        <w:gridCol w:w="877"/>
        <w:gridCol w:w="877"/>
        <w:gridCol w:w="877"/>
        <w:gridCol w:w="877"/>
        <w:gridCol w:w="877"/>
        <w:gridCol w:w="1004"/>
        <w:gridCol w:w="877"/>
      </w:tblGrid>
      <w:tr w:rsidR="00E836C3" w:rsidRPr="00E836C3" w14:paraId="73E3AC84" w14:textId="77777777" w:rsidTr="007802AB">
        <w:trPr>
          <w:trHeight w:val="720"/>
          <w:tblHeader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1443D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3990D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346BC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D9148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B6214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E7AE5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D971A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AC0A5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D71F9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A5D5C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C6E96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B3401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6D717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66732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1BAD7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97D22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24F94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</w:t>
            </w:r>
          </w:p>
        </w:tc>
      </w:tr>
      <w:tr w:rsidR="00E836C3" w:rsidRPr="00E836C3" w14:paraId="72B342C1" w14:textId="77777777" w:rsidTr="007802AB">
        <w:trPr>
          <w:trHeight w:val="240"/>
          <w:tblHeader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E364C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5BC47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4D240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2BD0B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AEFA9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92E17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A0066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E0CF1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</w:tr>
      <w:tr w:rsidR="00E836C3" w:rsidRPr="00E836C3" w14:paraId="1B8EA02A" w14:textId="77777777" w:rsidTr="007802AB">
        <w:trPr>
          <w:trHeight w:val="240"/>
          <w:tblHeader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4D1B5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E06A9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26F8A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DDB6C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7935B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CCAB8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9EBAE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34F32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21AF6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13B7E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40871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4D5AF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64D26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A9BF3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D7765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6A276C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7729E2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836C3" w:rsidRPr="00E836C3" w14:paraId="62A94DAB" w14:textId="77777777" w:rsidTr="007802AB">
        <w:trPr>
          <w:trHeight w:val="240"/>
          <w:tblHeader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335A9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E7C66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70D06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B9351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F793F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B3229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04BA7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309C6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AF566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54FA8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D8E69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D3CB1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E3762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F5F6E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CB49C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9A09B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355A5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</w:tr>
      <w:tr w:rsidR="00E836C3" w:rsidRPr="00E836C3" w14:paraId="246F2D27" w14:textId="77777777" w:rsidTr="007802AB">
        <w:trPr>
          <w:trHeight w:val="240"/>
          <w:tblHeader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571D7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CFAFB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F539AA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1F75E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B8500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A1F27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9DFF4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163BE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C2A2A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A8BAA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CBCB8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0AF05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713EF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46562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224DC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CF7F7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1BC3C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</w:tr>
      <w:tr w:rsidR="00E836C3" w:rsidRPr="00E836C3" w14:paraId="5F8800EE" w14:textId="77777777" w:rsidTr="00E836C3">
        <w:trPr>
          <w:trHeight w:val="233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0576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66F7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50F8A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1D3B5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3B7E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187 139,000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2B0D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63FF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13 237,000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619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556,000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96B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39 152,000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0C2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72 511,000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CD5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34 841,000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1840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17 727,000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20ECD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EB2A6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84E4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D89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178 024,000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8412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95,129</w:t>
            </w:r>
          </w:p>
        </w:tc>
      </w:tr>
      <w:tr w:rsidR="00E836C3" w:rsidRPr="00E836C3" w14:paraId="4F5FB3AD" w14:textId="77777777" w:rsidTr="00E836C3">
        <w:trPr>
          <w:trHeight w:val="24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89827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20D60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97E36E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CDEB6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A76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4E7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17D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5 818,000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FAEB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265,000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F201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18 139,000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CCC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30 889,000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E84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13 747,000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947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6 633,000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BE3C5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D295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8C0C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942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75 491,000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912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E836C3" w:rsidRPr="00E836C3" w14:paraId="5219CD46" w14:textId="77777777" w:rsidTr="00E836C3">
        <w:trPr>
          <w:trHeight w:val="24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CCF43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807E5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C3ABC4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1544C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BB62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1DF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E1A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7 419,000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F8C3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79F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21 013,000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9E97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41 622,000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6F0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21 094,000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6D9A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11 094,000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8C1A5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B8F3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90C3B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717F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102 533,000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159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E836C3" w:rsidRPr="00E836C3" w14:paraId="67592CF7" w14:textId="77777777" w:rsidTr="00E836C3">
        <w:trPr>
          <w:trHeight w:val="24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4DAD5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C0680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256A2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2618A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4B91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9 012,000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C4AB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A44C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1 067,000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CCC3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3895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2 693,000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79D6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4 591,000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E3C0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1 749,000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0C63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517,000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0C2E9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22E73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CC865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0A3A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10 617,000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248A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117,810</w:t>
            </w:r>
          </w:p>
        </w:tc>
      </w:tr>
      <w:tr w:rsidR="00E836C3" w:rsidRPr="00E836C3" w14:paraId="3E46579A" w14:textId="77777777" w:rsidTr="00E836C3">
        <w:trPr>
          <w:trHeight w:val="24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EEFD2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3414D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4D0409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097AC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7897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2386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9D56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469,000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BB28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D633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1 290,000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37A2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2 043,000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2608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746,000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E92A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207,000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E036A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5CA0E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55F0B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BE84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4 755,000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C0B3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E836C3" w:rsidRPr="00E836C3" w14:paraId="6D968811" w14:textId="77777777" w:rsidTr="00E836C3">
        <w:trPr>
          <w:trHeight w:val="24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B9214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C8A9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01A222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5C8AA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02B8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39B9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3A6E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598,000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6994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201F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1 403,000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2592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2 548,000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28FF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1 003,000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9170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310,000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602ED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AF03A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EA867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F4E4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5 862,000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A27D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</w:tbl>
    <w:p w14:paraId="5D0F6F8B" w14:textId="77777777" w:rsidR="00E836C3" w:rsidRPr="003C2AA4" w:rsidRDefault="00E836C3" w:rsidP="007802AB">
      <w:pPr>
        <w:spacing w:before="120"/>
        <w:ind w:right="108"/>
        <w:jc w:val="both"/>
        <w:rPr>
          <w:rFonts w:ascii="Arial" w:eastAsia="Arial" w:hAnsi="Arial" w:cs="Arial"/>
          <w:color w:val="000000"/>
          <w:sz w:val="20"/>
        </w:rPr>
      </w:pPr>
    </w:p>
    <w:p w14:paraId="7A5AF8D5" w14:textId="7F8F18F1" w:rsidR="003C2AA4" w:rsidRDefault="003C2AA4" w:rsidP="007802AB">
      <w:pPr>
        <w:keepNext/>
        <w:spacing w:before="120"/>
        <w:ind w:left="113" w:right="108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03.1.49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Trvalé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začlenění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mladých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lidí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trh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mimo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jiné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pomocí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r w:rsidR="00E836C3">
        <w:rPr>
          <w:rFonts w:ascii="Arial" w:eastAsia="Arial" w:hAnsi="Arial" w:cs="Arial"/>
          <w:color w:val="000000"/>
          <w:sz w:val="20"/>
        </w:rPr>
        <w:t>“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záruky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mladé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lidi</w:t>
      </w:r>
      <w:proofErr w:type="spellEnd"/>
      <w:r w:rsidR="00E836C3">
        <w:rPr>
          <w:rFonts w:ascii="Arial" w:eastAsia="Arial" w:hAnsi="Arial" w:cs="Arial"/>
          <w:color w:val="000000"/>
          <w:sz w:val="20"/>
        </w:rPr>
        <w:t>”</w:t>
      </w:r>
      <w:r w:rsidRPr="003C2AA4">
        <w:rPr>
          <w:rFonts w:ascii="Arial" w:eastAsia="Arial" w:hAnsi="Arial" w:cs="Arial"/>
          <w:color w:val="000000"/>
          <w:sz w:val="20"/>
        </w:rPr>
        <w:t xml:space="preserve">, a to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zejména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těch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kteří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nejsou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vzdělávání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v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nebo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profesní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přípravě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těch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mladých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lidí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kterým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hrozí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sociální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vyloučení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mladých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lidí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z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marginalizovaných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komunit</w:t>
      </w:r>
      <w:proofErr w:type="spellEnd"/>
    </w:p>
    <w:tbl>
      <w:tblPr>
        <w:tblW w:w="160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1833"/>
        <w:gridCol w:w="832"/>
        <w:gridCol w:w="995"/>
        <w:gridCol w:w="892"/>
        <w:gridCol w:w="890"/>
        <w:gridCol w:w="890"/>
        <w:gridCol w:w="890"/>
        <w:gridCol w:w="890"/>
        <w:gridCol w:w="890"/>
        <w:gridCol w:w="890"/>
        <w:gridCol w:w="890"/>
        <w:gridCol w:w="890"/>
        <w:gridCol w:w="890"/>
        <w:gridCol w:w="891"/>
        <w:gridCol w:w="1020"/>
        <w:gridCol w:w="890"/>
      </w:tblGrid>
      <w:tr w:rsidR="00E836C3" w:rsidRPr="00E836C3" w14:paraId="014CEE70" w14:textId="77777777" w:rsidTr="007802AB">
        <w:trPr>
          <w:trHeight w:val="735"/>
          <w:tblHeader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39F8B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C9A9E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49ACF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3B0E5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615CA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E9CA1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BB9CF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41491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5B466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68FF6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DA138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E9473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1AE9B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45E4E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2B9C4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D6F78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A0B36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</w:t>
            </w:r>
          </w:p>
        </w:tc>
      </w:tr>
      <w:tr w:rsidR="00E836C3" w:rsidRPr="00E836C3" w14:paraId="7B8C1C9F" w14:textId="77777777" w:rsidTr="007802AB">
        <w:trPr>
          <w:trHeight w:val="245"/>
          <w:tblHeader/>
        </w:trPr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3EDAA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18EB1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BEBF3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A657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52202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9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68EB9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E53E8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5B921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</w:tr>
      <w:tr w:rsidR="00E836C3" w:rsidRPr="00E836C3" w14:paraId="43185A82" w14:textId="77777777" w:rsidTr="007802AB">
        <w:trPr>
          <w:trHeight w:val="245"/>
          <w:tblHeader/>
        </w:trPr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306B5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52CD7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E5FAD7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4CF90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2BAFC3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2AD9F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B882D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3F0E8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D9D7E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FC0DE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6DEA3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7F2D2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B59CD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0DC72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5EC7C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E408A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ED2C2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836C3" w:rsidRPr="00E836C3" w14:paraId="5CC3FDA8" w14:textId="77777777" w:rsidTr="007802AB">
        <w:trPr>
          <w:trHeight w:val="245"/>
          <w:tblHeader/>
        </w:trPr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4F4C9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F8868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0B8E7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23575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9A48A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A3692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C6339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72FA3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B6751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765DE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BCE84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E61C4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95E71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8DE69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90EF4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F71F1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31972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</w:tr>
      <w:tr w:rsidR="00E836C3" w:rsidRPr="00E836C3" w14:paraId="5094C38E" w14:textId="77777777" w:rsidTr="007802AB">
        <w:trPr>
          <w:trHeight w:val="245"/>
          <w:tblHeader/>
        </w:trPr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70EAA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A7A87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AB8707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7E64B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AA16A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F3501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12482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24B19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7B694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423F4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43FD4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168FB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52B2A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5DD1F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0D9A2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A00DB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FA5B3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</w:tr>
      <w:tr w:rsidR="00E836C3" w:rsidRPr="00E836C3" w14:paraId="5CBC85A8" w14:textId="77777777" w:rsidTr="00E836C3">
        <w:trPr>
          <w:trHeight w:val="245"/>
        </w:trPr>
        <w:tc>
          <w:tcPr>
            <w:tcW w:w="6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FE6B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34ED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22ADB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30DB1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Nerelevantní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11BF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3 100,000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B86D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95F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C10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199,000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491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2 145,000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99C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1 715,000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42A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1 423,000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046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229,000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0106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1555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FCD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A739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5 711,000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207A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184,226</w:t>
            </w:r>
          </w:p>
        </w:tc>
      </w:tr>
      <w:tr w:rsidR="00E836C3" w:rsidRPr="00E836C3" w14:paraId="2F4D5306" w14:textId="77777777" w:rsidTr="00E836C3">
        <w:trPr>
          <w:trHeight w:val="245"/>
        </w:trPr>
        <w:tc>
          <w:tcPr>
            <w:tcW w:w="6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05EC3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04BC9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83BE8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EFD9D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2AB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71DD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0DB3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758A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88,000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FC51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1 058,000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374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807,000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772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670,000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593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89,000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0FCA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9679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E87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E47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2 712,000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C503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E836C3" w:rsidRPr="00E836C3" w14:paraId="1AFA50FE" w14:textId="77777777" w:rsidTr="00E836C3">
        <w:trPr>
          <w:trHeight w:val="245"/>
        </w:trPr>
        <w:tc>
          <w:tcPr>
            <w:tcW w:w="6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6E43F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F2147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52D8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30F32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CC2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5D51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CE20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7ADA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111,000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E100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1 087,000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8C8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908,000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DEDA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753,000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3455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140,000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BF0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077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2781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850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2 999,000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881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E836C3" w:rsidRPr="00E836C3" w14:paraId="793F3657" w14:textId="77777777" w:rsidTr="00E836C3">
        <w:trPr>
          <w:trHeight w:val="245"/>
        </w:trPr>
        <w:tc>
          <w:tcPr>
            <w:tcW w:w="6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1DF11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60605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4AE5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účastníci ve věku </w:t>
            </w:r>
            <w:proofErr w:type="gramStart"/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25 - 29</w:t>
            </w:r>
            <w:proofErr w:type="gramEnd"/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let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1041E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7ACF9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Nerelevantní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3772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620,000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F74A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A0D5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B8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76,000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7BA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575,000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553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449,000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E48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407,000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650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67,000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DB6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40C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F32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B3C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1 574,000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8AF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253,871</w:t>
            </w:r>
          </w:p>
        </w:tc>
      </w:tr>
      <w:tr w:rsidR="00E836C3" w:rsidRPr="00E836C3" w14:paraId="1E848C19" w14:textId="77777777" w:rsidTr="00E836C3">
        <w:trPr>
          <w:trHeight w:val="245"/>
        </w:trPr>
        <w:tc>
          <w:tcPr>
            <w:tcW w:w="6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4972D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5EA7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42D8B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41785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723F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25C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3C1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79D9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5B6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C10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238D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D5D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7806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6E84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AEB3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EEE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D28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E836C3" w:rsidRPr="00E836C3" w14:paraId="0F998523" w14:textId="77777777" w:rsidTr="00E836C3">
        <w:trPr>
          <w:trHeight w:val="245"/>
        </w:trPr>
        <w:tc>
          <w:tcPr>
            <w:tcW w:w="6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F4DE2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BB6C9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01523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7AA91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681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596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BE29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7F9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609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16F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2A53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3F7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D9C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727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605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F7F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6E986" w14:textId="598EBA6E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</w:tbl>
    <w:p w14:paraId="38E39183" w14:textId="77777777" w:rsidR="00E836C3" w:rsidRPr="003C2AA4" w:rsidRDefault="00E836C3" w:rsidP="007802AB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5861DD3D" w14:textId="2BD4B561" w:rsidR="003C2AA4" w:rsidRDefault="003C2AA4" w:rsidP="007802AB">
      <w:pPr>
        <w:keepNext/>
        <w:spacing w:before="120"/>
        <w:ind w:left="113" w:right="108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lastRenderedPageBreak/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03.1.51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Rovnost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žen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mužů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všech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oblastech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a to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pokud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jde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přístup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k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kariérní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postup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sladění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pracovního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soukromého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života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podpora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stejné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odměny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za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stejnou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práci</w:t>
      </w:r>
      <w:proofErr w:type="spellEnd"/>
    </w:p>
    <w:tbl>
      <w:tblPr>
        <w:tblW w:w="159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6"/>
        <w:gridCol w:w="1827"/>
        <w:gridCol w:w="860"/>
        <w:gridCol w:w="990"/>
        <w:gridCol w:w="886"/>
        <w:gridCol w:w="885"/>
        <w:gridCol w:w="885"/>
        <w:gridCol w:w="885"/>
        <w:gridCol w:w="885"/>
        <w:gridCol w:w="885"/>
        <w:gridCol w:w="885"/>
        <w:gridCol w:w="885"/>
        <w:gridCol w:w="885"/>
        <w:gridCol w:w="885"/>
        <w:gridCol w:w="885"/>
        <w:gridCol w:w="6"/>
        <w:gridCol w:w="1011"/>
        <w:gridCol w:w="6"/>
        <w:gridCol w:w="879"/>
        <w:gridCol w:w="6"/>
      </w:tblGrid>
      <w:tr w:rsidR="00E836C3" w:rsidRPr="00E836C3" w14:paraId="22F18A60" w14:textId="77777777" w:rsidTr="007802AB">
        <w:trPr>
          <w:gridAfter w:val="1"/>
          <w:wAfter w:w="6" w:type="dxa"/>
          <w:trHeight w:val="912"/>
          <w:tblHeader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ECE01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1CC5A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95B88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94B25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4A302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E5206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DA944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35D90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91836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27A40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8D0A8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9639E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F9325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CB7C1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21B44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CC35D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FA172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</w:t>
            </w:r>
          </w:p>
        </w:tc>
      </w:tr>
      <w:tr w:rsidR="00E836C3" w:rsidRPr="00E836C3" w14:paraId="42D9F394" w14:textId="77777777" w:rsidTr="007802AB">
        <w:trPr>
          <w:trHeight w:val="243"/>
          <w:tblHeader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6575F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B0D4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267C47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A594D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0D0F1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5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C8298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10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AE147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13563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</w:tr>
      <w:tr w:rsidR="00E836C3" w:rsidRPr="00E836C3" w14:paraId="784085FC" w14:textId="77777777" w:rsidTr="007802AB">
        <w:trPr>
          <w:gridAfter w:val="1"/>
          <w:wAfter w:w="6" w:type="dxa"/>
          <w:trHeight w:val="243"/>
          <w:tblHeader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23BB9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A0292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617721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3E988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C2D741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8B214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47E75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43C81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1C6DA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6768F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F0BDD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6F4CE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A3C4D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86264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35916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10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3D9B20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74F750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836C3" w:rsidRPr="00E836C3" w14:paraId="1DB5D760" w14:textId="77777777" w:rsidTr="007802AB">
        <w:trPr>
          <w:gridAfter w:val="1"/>
          <w:wAfter w:w="6" w:type="dxa"/>
          <w:trHeight w:val="243"/>
          <w:tblHeader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11127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BE1B4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6E9CBF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00381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36DF0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D769D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C4A90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554E0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5D1B1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A559A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30123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F6FDC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32417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C3FAE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3A7F7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F7996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83494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</w:tr>
      <w:tr w:rsidR="00E836C3" w:rsidRPr="00E836C3" w14:paraId="65576619" w14:textId="77777777" w:rsidTr="007802AB">
        <w:trPr>
          <w:gridAfter w:val="1"/>
          <w:wAfter w:w="6" w:type="dxa"/>
          <w:trHeight w:val="243"/>
          <w:tblHeader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44DE6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D4A17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056E2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1DFC3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21681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62475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19549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90A3B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A44D0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EAF11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EC7F0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914D5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116A1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E03DE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72C46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A3DFE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8F478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</w:tr>
      <w:tr w:rsidR="00E836C3" w:rsidRPr="00E836C3" w14:paraId="52D00CA1" w14:textId="77777777" w:rsidTr="00E836C3">
        <w:trPr>
          <w:gridAfter w:val="1"/>
          <w:wAfter w:w="6" w:type="dxa"/>
          <w:trHeight w:val="236"/>
        </w:trPr>
        <w:tc>
          <w:tcPr>
            <w:tcW w:w="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CA5C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50001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203D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Kapacita podporovaných zařízení péče o děti nebo vzdělávacích zařízení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57E75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0E1F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776E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3 526,000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96C3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1E5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336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3 042,000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F753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5 832,000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CE4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4 916,000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75C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6 764,800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048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7 528,000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6F3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4A3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643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5875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28 082,800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198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796,449</w:t>
            </w:r>
          </w:p>
        </w:tc>
      </w:tr>
      <w:tr w:rsidR="00E836C3" w:rsidRPr="00E836C3" w14:paraId="3C37D93E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1611F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79391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4E914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EA871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0BA6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334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CCB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733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322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602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3802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072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387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157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7F66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3CF0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95E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E836C3" w:rsidRPr="00E836C3" w14:paraId="30F4FA0E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5E6B5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0850C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CE849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82AEF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3FAA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48F4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39E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40D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E3D7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C5E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A1B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5DF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E78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A309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BEB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F2C4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16ED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E836C3" w:rsidRPr="00E836C3" w14:paraId="4F9C88E4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9B26B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50001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89B6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Kapacita podporovaných zařízení péče o děti nebo vzdělávacích zařízení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F8F5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DA4B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F62D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474,000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764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5576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08A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693,000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8AC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515,000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858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1 027,000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9837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1 442,000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13E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719,000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CC2A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BDC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8D7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43A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4 396,000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27F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927,426</w:t>
            </w:r>
          </w:p>
        </w:tc>
      </w:tr>
      <w:tr w:rsidR="00E836C3" w:rsidRPr="00E836C3" w14:paraId="7E1802BD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C7728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41BB1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706D3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DCF55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B20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126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10E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0EC1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2D5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A3DE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0A8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CD8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D0CD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4DB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801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488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354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E836C3" w:rsidRPr="00E836C3" w14:paraId="103BAA46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E08F7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AD2C2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42D06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02322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0B50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BA1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CBF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BB7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633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4B5F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5395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A76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053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228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EE6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E39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13D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E836C3" w:rsidRPr="00E836C3" w14:paraId="49A2B13A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F574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50100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3B8F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podpořených zařízení péče o děti předškolního věku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19D4F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Zařízení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CE107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90C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294,000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CD85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499E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24A3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204,000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67C3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5E0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700,000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566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186,000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B76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768,000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E76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0D0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D5D6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8FF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2 068,000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A6A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703,401</w:t>
            </w:r>
          </w:p>
        </w:tc>
      </w:tr>
      <w:tr w:rsidR="00E836C3" w:rsidRPr="00E836C3" w14:paraId="3FAF7A84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5DB23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71C2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E11E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4FF5F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5BBF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7AED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5BD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C47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952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0A7C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561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E6CE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5AA7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AA14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042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FA1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0782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E836C3" w:rsidRPr="00E836C3" w14:paraId="0C3E4998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BFE6F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CB20D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792BB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5135B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7AF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986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30E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1D4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58E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788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2880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EB6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A24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C7F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4B7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04A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7ED0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E836C3" w:rsidRPr="00E836C3" w14:paraId="7B8E1BED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A0A7C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50100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0EB6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podpořených zařízení péče o děti předškolního věku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49E2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Zařízení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6747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7D22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39,000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6075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3B6D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59E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26,000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6064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42,000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E30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113,000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31B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9BC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61,000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76F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7D2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72D9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CD5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310,000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D05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794,872</w:t>
            </w:r>
          </w:p>
        </w:tc>
      </w:tr>
      <w:tr w:rsidR="00E836C3" w:rsidRPr="00E836C3" w14:paraId="56B386B8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4537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61B08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7E9C1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F87E0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727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341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4A8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D88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E22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B89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BBE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12D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C82F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2FC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AA0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FD7B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4378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E836C3" w:rsidRPr="00E836C3" w14:paraId="6A545761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415AA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FE5EA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3FC9B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E7B6F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222D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FAA4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88F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1D1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FCFC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940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AE9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622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3C1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2FB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9F3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857C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244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E836C3" w:rsidRPr="00E836C3" w14:paraId="109F4B47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23EB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50105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3CCA2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zaměstnavatelů, kteří podporují flexibilní formy práce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E29A8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Podniky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04D2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D09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1F8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9627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BEA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1E4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72,000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347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217,000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471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211,000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1455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256,000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E5B2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79C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BC7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397D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764,000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24A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1 232,258</w:t>
            </w:r>
          </w:p>
        </w:tc>
      </w:tr>
      <w:tr w:rsidR="00E836C3" w:rsidRPr="00E836C3" w14:paraId="11ABD549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79B24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77E56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65CF1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87021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26F0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BBC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68F0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9B41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D6A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974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5058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401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C51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E9A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7D2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D27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E6A9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E836C3" w:rsidRPr="00E836C3" w14:paraId="217BBA1A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20E5D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DCC25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D706B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EB5ED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6250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6846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887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B6B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A458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101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FF6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9F3B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BEA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BF5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384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339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3D9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E836C3" w:rsidRPr="00E836C3" w14:paraId="2F219E37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2EAB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50105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E2AF0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zaměstnavatelů, kteří podporují flexibilní formy práce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2AB4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Podniky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1C58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5DD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8,000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D12E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A60E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B6D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914F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7,000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310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68,000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8ED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24,000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ED7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489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EE6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4F7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B7FB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100,000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B13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1 250,000</w:t>
            </w:r>
          </w:p>
        </w:tc>
      </w:tr>
      <w:tr w:rsidR="00E836C3" w:rsidRPr="00E836C3" w14:paraId="0047036B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F7AF9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D77E0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CA8EA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8D900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8D2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B9F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6BE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A28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9F92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91A3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E59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8508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80E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A4F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4E0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3D0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725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E836C3" w:rsidRPr="00E836C3" w14:paraId="2A6C5CBA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DFDC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AD969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354E0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C1D60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931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9A69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467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4471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8A4A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B6A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9EB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3E7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B952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4DF6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C9D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F8E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677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E836C3" w:rsidRPr="00E836C3" w14:paraId="685AEFBB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E1D05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C0D4C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1D90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5E804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BEF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9 169,000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D79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3E6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D5F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1 707,000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39D1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13 349,000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E1BC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18 085,000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53E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14 820,000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82E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17 310,000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FA4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A8DD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59F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503D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65 271,000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2D6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711,866</w:t>
            </w:r>
          </w:p>
        </w:tc>
      </w:tr>
      <w:tr w:rsidR="00E836C3" w:rsidRPr="00E836C3" w14:paraId="358259FC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BCA01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13F82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E5271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D8867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6989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4D3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5DA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2F2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734,000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7CB2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4 149,000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8AE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5 888,000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04E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5 597,000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DA1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7 687,000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E9B7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497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41E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A768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24 055,000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395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E836C3" w:rsidRPr="00E836C3" w14:paraId="51375053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2F109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5D3F7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18192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4ABE2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E1E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8 340,000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05A5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6A12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73E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973,000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945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9 200,000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167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12 197,000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86C5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9 223,000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0CCF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9 623,000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587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FDC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F99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978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41 216,000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098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494,197</w:t>
            </w:r>
          </w:p>
        </w:tc>
      </w:tr>
      <w:tr w:rsidR="00E836C3" w:rsidRPr="00E836C3" w14:paraId="42E108ED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526C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E401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F459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0C915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F00C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1 231,000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E679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627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2B80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367,000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A039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1 998,000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869D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2 325,000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F02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2 099,000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4DC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2 174,000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783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4EB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849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4907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8 963,000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6B3E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728,107</w:t>
            </w:r>
          </w:p>
        </w:tc>
      </w:tr>
      <w:tr w:rsidR="00E836C3" w:rsidRPr="00E836C3" w14:paraId="36391161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03BBF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0EB73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5652E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77DB6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8D7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568E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6C7A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1C8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158,000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F2BD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608,000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25A3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644,000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817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929,000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8BE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975,000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7A6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98D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AE2B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78CC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3 314,000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488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E836C3" w:rsidRPr="00E836C3" w14:paraId="7755AD19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C8D01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A463D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57B10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ED3AE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7CE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1 120,000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505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E93D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793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209,000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734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1 390,000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CEF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1 681,000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1DC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1 170,000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9C3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1 199,000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1791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881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EC4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F93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5 649,000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0BCB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504,375</w:t>
            </w:r>
          </w:p>
        </w:tc>
      </w:tr>
      <w:tr w:rsidR="00E836C3" w:rsidRPr="00E836C3" w14:paraId="28752B6B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7D63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80500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089E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napsaných a zveřejněných analytických a strategických dokumentů (vč. evaluačních)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8471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Dokumenty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5C461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BBB9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31,000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78D1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D201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358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072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19,893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78B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177,020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F1A3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99,520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E340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32,490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E92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F947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892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8B4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328,923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1304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1 061,042</w:t>
            </w:r>
          </w:p>
        </w:tc>
      </w:tr>
      <w:tr w:rsidR="00E836C3" w:rsidRPr="00E836C3" w14:paraId="4A742A82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F80BD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A9679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B6231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2E185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27E7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B4CB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D10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335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B3C8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588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7B2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275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FEF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B1A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3748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9853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7FDE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E836C3" w:rsidRPr="00E836C3" w14:paraId="16FC206B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A1C8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E5D5B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054E2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5405C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2F69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F1A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52B4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D83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8DA9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FBE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51A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C51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D16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C270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2CDE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1E8E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41E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E836C3" w:rsidRPr="00E836C3" w14:paraId="6E878D6F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6E07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lastRenderedPageBreak/>
              <w:t>80500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F57C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napsaných a zveřejněných analytických a strategických dokumentů (vč. evaluačních)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61F4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Dokumenty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8130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20D7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7D6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614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0B7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18E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1,110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9BB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58,000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F6B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10,460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EE6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19,510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697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9CCB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D4F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AF9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89,080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25F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2 227,000</w:t>
            </w:r>
          </w:p>
        </w:tc>
      </w:tr>
      <w:tr w:rsidR="00E836C3" w:rsidRPr="00E836C3" w14:paraId="70CACC7E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9BC34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611D9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78E72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0725F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080E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ED7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AAC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3EC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31C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B4D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B1D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090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560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B6A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529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AE7E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D8A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E836C3" w:rsidRPr="00E836C3" w14:paraId="1828C6F1" w14:textId="77777777" w:rsidTr="00E836C3">
        <w:trPr>
          <w:gridAfter w:val="1"/>
          <w:wAfter w:w="6" w:type="dxa"/>
          <w:trHeight w:val="243"/>
        </w:trPr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3FCB4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253D8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73FC4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601D2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90E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4EAC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B8D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2DA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45A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D30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14B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110B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EF5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D5CC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D65F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E3BA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5DF8" w14:textId="2F37592C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</w:tbl>
    <w:p w14:paraId="1A3F0D60" w14:textId="77777777" w:rsidR="00E836C3" w:rsidRPr="003C2AA4" w:rsidRDefault="00E836C3" w:rsidP="00385C57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3ABF1414" w14:textId="13CC8B31" w:rsidR="003C2AA4" w:rsidRDefault="003C2AA4" w:rsidP="00385C57">
      <w:pPr>
        <w:keepNext/>
        <w:spacing w:before="120"/>
        <w:ind w:left="113" w:right="108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03.1.52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Pomoc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pracovníkům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podnikům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podnikatelům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přizpůsobovat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se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změnám</w:t>
      </w:r>
      <w:proofErr w:type="spellEnd"/>
    </w:p>
    <w:tbl>
      <w:tblPr>
        <w:tblW w:w="160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7"/>
        <w:gridCol w:w="2405"/>
        <w:gridCol w:w="853"/>
        <w:gridCol w:w="933"/>
        <w:gridCol w:w="1075"/>
        <w:gridCol w:w="832"/>
        <w:gridCol w:w="832"/>
        <w:gridCol w:w="832"/>
        <w:gridCol w:w="833"/>
        <w:gridCol w:w="833"/>
        <w:gridCol w:w="833"/>
        <w:gridCol w:w="833"/>
        <w:gridCol w:w="832"/>
        <w:gridCol w:w="832"/>
        <w:gridCol w:w="832"/>
        <w:gridCol w:w="18"/>
        <w:gridCol w:w="991"/>
        <w:gridCol w:w="13"/>
        <w:gridCol w:w="820"/>
        <w:gridCol w:w="13"/>
      </w:tblGrid>
      <w:tr w:rsidR="00E836C3" w:rsidRPr="00E836C3" w14:paraId="7F6DC6AF" w14:textId="77777777" w:rsidTr="00385C57">
        <w:trPr>
          <w:gridAfter w:val="1"/>
          <w:wAfter w:w="13" w:type="dxa"/>
          <w:trHeight w:val="756"/>
          <w:tblHeader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001C9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15064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5D408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43097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8EA18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9815F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4ED82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85F74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2CD11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1DC8B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69264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AF49F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75FFD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A39CA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7BBCC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C4A89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46A45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</w:t>
            </w:r>
          </w:p>
        </w:tc>
      </w:tr>
      <w:tr w:rsidR="00E836C3" w:rsidRPr="00E836C3" w14:paraId="6CF7E042" w14:textId="77777777" w:rsidTr="00385C57">
        <w:trPr>
          <w:trHeight w:val="251"/>
          <w:tblHeader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C1DE3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3601D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4AF96D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F899D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F1CA9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34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B43F4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10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AC932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57009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</w:tr>
      <w:tr w:rsidR="00E836C3" w:rsidRPr="00E836C3" w14:paraId="5EB4A600" w14:textId="77777777" w:rsidTr="00385C57">
        <w:trPr>
          <w:gridAfter w:val="1"/>
          <w:wAfter w:w="13" w:type="dxa"/>
          <w:trHeight w:val="251"/>
          <w:tblHeader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33FC1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1D204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2A385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7E467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2415F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2C050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89EFF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85FA0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93F71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37C03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94E25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786C2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9857C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2CB0C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485DF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10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06ED0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8013F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E836C3" w:rsidRPr="00E836C3" w14:paraId="7CB6D78E" w14:textId="77777777" w:rsidTr="00385C57">
        <w:trPr>
          <w:gridAfter w:val="1"/>
          <w:wAfter w:w="13" w:type="dxa"/>
          <w:trHeight w:val="251"/>
          <w:tblHeader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13F37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30C6D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309D91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9BA23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6B14B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C8F9E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E8687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BB2B3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345B6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611EF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AEE37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19F80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0E484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B6EE6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A4A52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1DA51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14DEA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</w:tr>
      <w:tr w:rsidR="00E836C3" w:rsidRPr="00E836C3" w14:paraId="6D2E4CF8" w14:textId="77777777" w:rsidTr="00385C57">
        <w:trPr>
          <w:gridAfter w:val="1"/>
          <w:wAfter w:w="13" w:type="dxa"/>
          <w:trHeight w:val="251"/>
          <w:tblHeader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862B7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FD155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E9555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37D1F" w14:textId="77777777" w:rsidR="00E836C3" w:rsidRPr="00E836C3" w:rsidRDefault="00E836C3" w:rsidP="00E836C3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404A7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344D8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50BEE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76DDF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ED7A2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33099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C5A1D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9E02E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A0FCA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C925F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82620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B4469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C3F1F" w14:textId="77777777" w:rsidR="00E836C3" w:rsidRPr="00E836C3" w:rsidRDefault="00E836C3" w:rsidP="00E836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</w:tr>
      <w:tr w:rsidR="00E836C3" w:rsidRPr="00E836C3" w14:paraId="550AD9EF" w14:textId="77777777" w:rsidTr="00B65DBE">
        <w:trPr>
          <w:gridAfter w:val="1"/>
          <w:wAfter w:w="13" w:type="dxa"/>
          <w:trHeight w:val="377"/>
        </w:trPr>
        <w:tc>
          <w:tcPr>
            <w:tcW w:w="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BB597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2020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71CEE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D9DDE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E2B7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162 157,000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6113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FC33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143C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26D4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6 448,000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829C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42 507,000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73BA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34 315,000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7CA9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26 437,000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3A55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A29E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6916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153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109 707,000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9645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67,655</w:t>
            </w:r>
          </w:p>
        </w:tc>
      </w:tr>
      <w:tr w:rsidR="00E836C3" w:rsidRPr="00E836C3" w14:paraId="7E99EB20" w14:textId="77777777" w:rsidTr="00B65DBE">
        <w:trPr>
          <w:gridAfter w:val="1"/>
          <w:wAfter w:w="13" w:type="dxa"/>
          <w:trHeight w:val="251"/>
        </w:trPr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7837D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C07D5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563C6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18444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BD64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9519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CE7B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28F6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5460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3 659,000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56E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27 687,000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FC0E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21 705,000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7381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15 785,000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0186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53B4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EEE8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6B1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68 836,000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24EE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E836C3" w:rsidRPr="00E836C3" w14:paraId="4B04D5D9" w14:textId="77777777" w:rsidTr="00B65DBE">
        <w:trPr>
          <w:gridAfter w:val="1"/>
          <w:wAfter w:w="13" w:type="dxa"/>
          <w:trHeight w:val="251"/>
        </w:trPr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E2A73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F797B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45FB1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7D475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E471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6A659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763A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636B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DBD6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2 789,000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129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14 820,000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AAE0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12 610,000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227F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10 652,000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4132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EE87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9641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1A30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40 871,000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8AAF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E836C3" w:rsidRPr="00E836C3" w14:paraId="191C96C9" w14:textId="77777777" w:rsidTr="00B65DBE">
        <w:trPr>
          <w:gridAfter w:val="1"/>
          <w:wAfter w:w="13" w:type="dxa"/>
          <w:trHeight w:val="377"/>
        </w:trPr>
        <w:tc>
          <w:tcPr>
            <w:tcW w:w="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CBE2D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87DBF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CC11B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915E7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A2AB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2 424,000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67D3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D5CD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EE1F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ECBE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1C96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7E50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B413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1FA3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8763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B968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9EF7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473D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E836C3" w:rsidRPr="00E836C3" w14:paraId="4263B61B" w14:textId="77777777" w:rsidTr="00B65DBE">
        <w:trPr>
          <w:gridAfter w:val="1"/>
          <w:wAfter w:w="13" w:type="dxa"/>
          <w:trHeight w:val="251"/>
        </w:trPr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15FC7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44F6E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7E570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9AF30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2927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8AFE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0E2E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D4AF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12B5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19558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294C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2586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5630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4923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AABF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D87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1E32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E836C3" w:rsidRPr="00E836C3" w14:paraId="3E1C0B71" w14:textId="77777777" w:rsidTr="00B65DBE">
        <w:trPr>
          <w:gridAfter w:val="1"/>
          <w:wAfter w:w="13" w:type="dxa"/>
          <w:trHeight w:val="251"/>
        </w:trPr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DF9B9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1EA26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099A2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2AFFE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6A2C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0724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E006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1BEF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56E96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4398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FE39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AA86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BC9D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A329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29DC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782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CD45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E836C3" w:rsidRPr="00E836C3" w14:paraId="755E8F76" w14:textId="77777777" w:rsidTr="00B65DBE">
        <w:trPr>
          <w:gridAfter w:val="1"/>
          <w:wAfter w:w="13" w:type="dxa"/>
          <w:trHeight w:val="251"/>
        </w:trPr>
        <w:tc>
          <w:tcPr>
            <w:tcW w:w="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C591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80500</w:t>
            </w:r>
          </w:p>
        </w:tc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2B83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napsaných a zveřejněných analytických a strategických dokumentů (vč. evaluačních)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10047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Dokumenty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8CC4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276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58F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88C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DE5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3,500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712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44,560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9C3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22,720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975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64,640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ADD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27,085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839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2702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422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0F5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162,505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22EE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1 250,038</w:t>
            </w:r>
          </w:p>
        </w:tc>
      </w:tr>
      <w:tr w:rsidR="00E836C3" w:rsidRPr="00E836C3" w14:paraId="54502234" w14:textId="77777777" w:rsidTr="00B65DBE">
        <w:trPr>
          <w:gridAfter w:val="1"/>
          <w:wAfter w:w="13" w:type="dxa"/>
          <w:trHeight w:val="251"/>
        </w:trPr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29482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15C5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7F88A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69508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0380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1985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25D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441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C23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A610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8850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5698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EABE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600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46C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2B8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3E0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E836C3" w:rsidRPr="00E836C3" w14:paraId="65DB622A" w14:textId="77777777" w:rsidTr="00B65DBE">
        <w:trPr>
          <w:gridAfter w:val="1"/>
          <w:wAfter w:w="13" w:type="dxa"/>
          <w:trHeight w:val="251"/>
        </w:trPr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CFD4F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E8E73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BA7F1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6C468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9AD5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C8BA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52D7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601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3AA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ECD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7A8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84B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A841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D44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4A1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3B9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689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E836C3" w:rsidRPr="00E836C3" w14:paraId="2549A6DB" w14:textId="77777777" w:rsidTr="00B65DBE">
        <w:trPr>
          <w:gridAfter w:val="1"/>
          <w:wAfter w:w="13" w:type="dxa"/>
          <w:trHeight w:val="251"/>
        </w:trPr>
        <w:tc>
          <w:tcPr>
            <w:tcW w:w="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1C218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80500</w:t>
            </w:r>
          </w:p>
        </w:tc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EE94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napsaných a zveřejněných analytických a strategických dokumentů (vč. evaluačních)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09821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Dokumenty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90733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607D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8AF6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E07D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0967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0,500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8D2E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5,580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0D8C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4,150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99F8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9,350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A492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3,920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6073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0520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6B59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822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23,500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9F3C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1 175,000</w:t>
            </w:r>
          </w:p>
        </w:tc>
      </w:tr>
      <w:tr w:rsidR="00E836C3" w:rsidRPr="00E836C3" w14:paraId="6964E327" w14:textId="77777777" w:rsidTr="00B65DBE">
        <w:trPr>
          <w:gridAfter w:val="1"/>
          <w:wAfter w:w="13" w:type="dxa"/>
          <w:trHeight w:val="251"/>
        </w:trPr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2F4AE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177E0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09CD9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E0DD2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4F4B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D495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2F97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98E9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1205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1598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4804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A4E1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336A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389A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4399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F82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5D76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E836C3" w:rsidRPr="00E836C3" w14:paraId="1B77131B" w14:textId="77777777" w:rsidTr="00B65DBE">
        <w:trPr>
          <w:gridAfter w:val="1"/>
          <w:wAfter w:w="13" w:type="dxa"/>
          <w:trHeight w:val="251"/>
        </w:trPr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B487A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84D15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1F386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82DCD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1EE5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0289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0EA5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9DC4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441C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C025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2093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92FE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F29A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DADC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FA6E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27A9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6653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E836C3" w:rsidRPr="00E836C3" w14:paraId="5C63D092" w14:textId="77777777" w:rsidTr="00B65DBE">
        <w:trPr>
          <w:gridAfter w:val="1"/>
          <w:wAfter w:w="13" w:type="dxa"/>
          <w:trHeight w:val="251"/>
        </w:trPr>
        <w:tc>
          <w:tcPr>
            <w:tcW w:w="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4B7E5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99500</w:t>
            </w:r>
          </w:p>
        </w:tc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91CD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osob podpořených v rámci boje nebo působení proti účinkům pandemie COVID-19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93580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622AD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D230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153 068,000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4ED9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BF9A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6155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CE2E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971E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3E84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22C6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51F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70B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D8F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D24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BC8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E836C3" w:rsidRPr="00E836C3" w14:paraId="3185B6F4" w14:textId="77777777" w:rsidTr="00B65DBE">
        <w:trPr>
          <w:gridAfter w:val="1"/>
          <w:wAfter w:w="13" w:type="dxa"/>
          <w:trHeight w:val="251"/>
        </w:trPr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548DA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8CEE8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64990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0E464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6AA5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0C50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C3BB6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9C6D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4E378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5989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AD16C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EC1D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FBCE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F68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E9C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C67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DA66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E836C3" w:rsidRPr="00E836C3" w14:paraId="2690939E" w14:textId="77777777" w:rsidTr="00B65DBE">
        <w:trPr>
          <w:gridAfter w:val="1"/>
          <w:wAfter w:w="13" w:type="dxa"/>
          <w:trHeight w:val="251"/>
        </w:trPr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879F1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0172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345A8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436AA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028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7EF1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C8E2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6CA5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C058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BE05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9044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4E50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AC2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3755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9594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2EE5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F2A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E836C3" w:rsidRPr="00E836C3" w14:paraId="6E29427F" w14:textId="77777777" w:rsidTr="00B65DBE">
        <w:trPr>
          <w:gridAfter w:val="1"/>
          <w:wAfter w:w="13" w:type="dxa"/>
          <w:trHeight w:val="251"/>
        </w:trPr>
        <w:tc>
          <w:tcPr>
            <w:tcW w:w="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BD3CA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99500</w:t>
            </w:r>
          </w:p>
        </w:tc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B97D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osob podpořených v rámci boje nebo působení proti účinkům pandemie COVID-19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0A05E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4F337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3603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22 127,000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0248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55DF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3161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2405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B7CA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B240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32F2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51E5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9153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0C34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D62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776E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E836C3" w:rsidRPr="00E836C3" w14:paraId="0B976DE2" w14:textId="77777777" w:rsidTr="00B65DBE">
        <w:trPr>
          <w:gridAfter w:val="1"/>
          <w:wAfter w:w="13" w:type="dxa"/>
          <w:trHeight w:val="251"/>
        </w:trPr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90663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6CE5E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7D426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29424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9F6D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FF7D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4BDF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9718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5CB2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28A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6685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D3A9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C98F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49F2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BA00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7BB4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7B71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E836C3" w:rsidRPr="00E836C3" w14:paraId="5ABDC6D9" w14:textId="77777777" w:rsidTr="00B65DBE">
        <w:trPr>
          <w:gridAfter w:val="1"/>
          <w:wAfter w:w="13" w:type="dxa"/>
          <w:trHeight w:val="251"/>
        </w:trPr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34FE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0CF77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3BDE1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83CAC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C8DD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9642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485E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20FA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ED1C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3B3C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42E3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D967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1828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983A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BAAB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895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EE4D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E836C3" w:rsidRPr="00E836C3" w14:paraId="3779A145" w14:textId="77777777" w:rsidTr="00B65DBE">
        <w:trPr>
          <w:gridAfter w:val="1"/>
          <w:wAfter w:w="13" w:type="dxa"/>
          <w:trHeight w:val="251"/>
        </w:trPr>
        <w:tc>
          <w:tcPr>
            <w:tcW w:w="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5C42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99510</w:t>
            </w:r>
          </w:p>
        </w:tc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1942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Hodnota ESF opatření zaměřených na boj nebo působení proti účinkům pandemie COVID-19 (celkové veřejné výdaje)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7C52D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EUR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4523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17D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250 577 160,000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99CC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0652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60B8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4D28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E079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7328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A681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2EA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462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B558A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482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E2C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E836C3" w:rsidRPr="00E836C3" w14:paraId="60567998" w14:textId="77777777" w:rsidTr="00B65DBE">
        <w:trPr>
          <w:gridAfter w:val="1"/>
          <w:wAfter w:w="13" w:type="dxa"/>
          <w:trHeight w:val="251"/>
        </w:trPr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C97A7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2B55D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48681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8D4E9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C48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B59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960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6B4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1496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C5C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942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16A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E72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840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DCC5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2B7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E044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E836C3" w:rsidRPr="00E836C3" w14:paraId="679A0930" w14:textId="77777777" w:rsidTr="00B65DBE">
        <w:trPr>
          <w:gridAfter w:val="1"/>
          <w:wAfter w:w="13" w:type="dxa"/>
          <w:trHeight w:val="251"/>
        </w:trPr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3B4B4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845B2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66B25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94E18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DEE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4811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DB9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3AD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486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878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A7C3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0D4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EDF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D9A1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368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7CE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B6E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E836C3" w:rsidRPr="00E836C3" w14:paraId="6BB987AC" w14:textId="77777777" w:rsidTr="00B65DBE">
        <w:trPr>
          <w:gridAfter w:val="1"/>
          <w:wAfter w:w="13" w:type="dxa"/>
          <w:trHeight w:val="251"/>
        </w:trPr>
        <w:tc>
          <w:tcPr>
            <w:tcW w:w="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F77D7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99510</w:t>
            </w:r>
          </w:p>
        </w:tc>
        <w:tc>
          <w:tcPr>
            <w:tcW w:w="2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5412E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Hodnota ESF opatření zaměřených na boj nebo působení proti účinkům pandemie COVID-19 (celkové veřejné výdaje)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265E3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EUR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BB00D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D9C7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36 222 840,000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9695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AE0B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C53A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11E5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56A5D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E303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BFA2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7A98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F0B8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9834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D05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FB25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E836C3" w:rsidRPr="00E836C3" w14:paraId="47E924A0" w14:textId="77777777" w:rsidTr="00B65DBE">
        <w:trPr>
          <w:gridAfter w:val="1"/>
          <w:wAfter w:w="13" w:type="dxa"/>
          <w:trHeight w:val="251"/>
        </w:trPr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CA0B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1EBDF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2CF15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F493F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9CFF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B83D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E3596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A8AD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D41A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CA4EB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FB1E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7AFF9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6B5E1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C4B1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9565F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4A02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B243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E836C3" w:rsidRPr="00E836C3" w14:paraId="12D4DC3F" w14:textId="77777777" w:rsidTr="00B65DBE">
        <w:trPr>
          <w:gridAfter w:val="1"/>
          <w:wAfter w:w="13" w:type="dxa"/>
          <w:trHeight w:val="251"/>
        </w:trPr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EF560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4940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F133D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1CFB8" w14:textId="77777777" w:rsidR="00E836C3" w:rsidRPr="00E836C3" w:rsidRDefault="00E836C3" w:rsidP="00E836C3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AA76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4E0EE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5BB04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456E7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6BC9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3988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4DFF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1AEA0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4EF2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708B5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5B453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C808" w14:textId="0DF15D2E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D9E0C" w14:textId="77777777" w:rsidR="00E836C3" w:rsidRPr="00E836C3" w:rsidRDefault="00E836C3" w:rsidP="00E836C3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E836C3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</w:tbl>
    <w:p w14:paraId="290491D9" w14:textId="77777777" w:rsidR="00E836C3" w:rsidRPr="003C2AA4" w:rsidRDefault="00E836C3" w:rsidP="00385C57">
      <w:pPr>
        <w:spacing w:before="120"/>
        <w:ind w:right="108"/>
        <w:jc w:val="both"/>
        <w:rPr>
          <w:rFonts w:ascii="Arial" w:eastAsia="Arial" w:hAnsi="Arial" w:cs="Arial"/>
          <w:color w:val="000000"/>
          <w:sz w:val="20"/>
        </w:rPr>
      </w:pPr>
    </w:p>
    <w:p w14:paraId="1FD2D117" w14:textId="72C5A5D6" w:rsidR="003C2AA4" w:rsidRDefault="003C2AA4" w:rsidP="00385C57">
      <w:pPr>
        <w:keepNext/>
        <w:spacing w:before="120"/>
        <w:ind w:left="113" w:right="108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03.1.54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Modernizace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institucí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trhu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jako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veřejné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soukromé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služby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zaměstnanosti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přispívání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k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adaptaci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potřeby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trhu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prostřednictvím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opatření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zlepšení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nadnárodní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mobility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pracovníků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programů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mobility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lepší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spolupráce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mezi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institucemi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příslušnými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zúčastněnými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stranami</w:t>
      </w:r>
      <w:proofErr w:type="spellEnd"/>
    </w:p>
    <w:tbl>
      <w:tblPr>
        <w:tblW w:w="15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1800"/>
        <w:gridCol w:w="849"/>
        <w:gridCol w:w="977"/>
        <w:gridCol w:w="895"/>
        <w:gridCol w:w="874"/>
        <w:gridCol w:w="874"/>
        <w:gridCol w:w="874"/>
        <w:gridCol w:w="874"/>
        <w:gridCol w:w="875"/>
        <w:gridCol w:w="875"/>
        <w:gridCol w:w="875"/>
        <w:gridCol w:w="874"/>
        <w:gridCol w:w="874"/>
        <w:gridCol w:w="874"/>
        <w:gridCol w:w="1004"/>
        <w:gridCol w:w="894"/>
      </w:tblGrid>
      <w:tr w:rsidR="00B65DBE" w:rsidRPr="00B65DBE" w14:paraId="73DF734F" w14:textId="77777777" w:rsidTr="00385C57">
        <w:trPr>
          <w:trHeight w:val="720"/>
          <w:tblHeader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7785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02B0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040D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4CEB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A8B4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D41D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386E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C50A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EB14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36A0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8413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B130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4EB6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7805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2A2B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9AAB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6EC9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</w:t>
            </w:r>
          </w:p>
        </w:tc>
      </w:tr>
      <w:tr w:rsidR="00B65DBE" w:rsidRPr="00B65DBE" w14:paraId="6864931E" w14:textId="77777777" w:rsidTr="00385C57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793B6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A8A40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6B0FC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0976D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E0F4F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E13F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051B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B4CF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</w:tr>
      <w:tr w:rsidR="00B65DBE" w:rsidRPr="00B65DBE" w14:paraId="5E12A4A1" w14:textId="77777777" w:rsidTr="00385C57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CDB9C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1D738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A80BF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9ED89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A8BEB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6867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18A1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BDF7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9824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866D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D252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7697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4DBD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254AB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6F93D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48030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E681EA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B65DBE" w:rsidRPr="00B65DBE" w14:paraId="1D53C563" w14:textId="77777777" w:rsidTr="00385C57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29E4A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F42A3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6C6B8A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65E95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73E9D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9E7A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7AFC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E55A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8E00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6554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1CF7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015A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BFF03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2F16D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4CC8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7EA8F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E1F4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</w:tr>
      <w:tr w:rsidR="00B65DBE" w:rsidRPr="00B65DBE" w14:paraId="7DC2B6DE" w14:textId="77777777" w:rsidTr="00385C57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81678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D993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31D064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46D10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8C56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9919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2A51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46ABF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02A4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2E09B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F42A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B9CF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16E7B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8287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4E27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FC15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8506F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</w:tr>
      <w:tr w:rsidR="00B65DBE" w:rsidRPr="00B65DBE" w14:paraId="1F2606B9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E6F4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0417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CA5C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FE56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0B02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3 099,000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1CAA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8AC1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E70A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58EE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85D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634,000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6533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1 314,000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30AB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588,000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009D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66FD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CA8B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AE7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2 536,000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E6BA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81,833</w:t>
            </w:r>
          </w:p>
        </w:tc>
      </w:tr>
      <w:tr w:rsidR="00B65DBE" w:rsidRPr="00B65DBE" w14:paraId="064D7B29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C9B2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83C7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4AE9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BDA4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2ECA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DA85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0247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3C3A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65A2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E4F4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45C6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93CF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5E63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DB54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F605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FE3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273,000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C127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26BE6523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A872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799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7BBC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C27D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1862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4433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4300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4926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25DC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70A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552,000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209C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1 184,000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E456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527,000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A458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A519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800D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517F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2 263,000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4383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3DEDF7CF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AB58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3A0C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C32A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F552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3A7D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BC78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2D57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347D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8ADC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F392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07E2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105,000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4C17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47,000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DB7A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B9D4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E2A5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8BF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204,000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4A72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81,600</w:t>
            </w:r>
          </w:p>
        </w:tc>
      </w:tr>
      <w:tr w:rsidR="00B65DBE" w:rsidRPr="00B65DBE" w14:paraId="4A7F8DFE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89C4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07F6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5497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F73E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D53E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9BF7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2CED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6463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18DC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9735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AE58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5A30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CE63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7AFA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B83C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FDE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95E9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259972A9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724C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A1E5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BA13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577A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B267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082C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6897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4DE1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9115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C041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45,000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6928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95,000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FC4D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E713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A75B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3D24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39A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182,000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C5EB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48D872A8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0867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80500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2C76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napsaných a zveřejněných analytických a strategických </w:t>
            </w: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lastRenderedPageBreak/>
              <w:t>dokumentů (vč. evaluačních)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9EF7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lastRenderedPageBreak/>
              <w:t>Dokumenty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4E26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F57E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BE66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2BAB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1A1E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DB15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9A2A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2,780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111F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19,430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C21C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7B2E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7B7F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A3DD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9EF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22,210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69B1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158,643</w:t>
            </w:r>
          </w:p>
        </w:tc>
      </w:tr>
      <w:tr w:rsidR="00B65DBE" w:rsidRPr="00B65DBE" w14:paraId="28E02E0E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384C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A8A4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7D5E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4FDE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CF5E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2BCA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BC6F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D582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AFF1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9278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EC19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5531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04FE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50DA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9B23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7773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58DD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16418C15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38F9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8C97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658E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DCBB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C387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F0E0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A633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BDBD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D91D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8FB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906F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D275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C21B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6E1F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6C0A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AA84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5A5A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1440268F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7B7E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80500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F9B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napsaných a zveřejněných analytických a strategických dokumentů (vč. evaluačních)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8FC1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Dokumenty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C547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2914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C6ED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424D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6089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3B94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DCB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0,220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C39D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1,570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3DE9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05AB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5205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62E6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F0D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1,790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B718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179,000</w:t>
            </w:r>
          </w:p>
        </w:tc>
      </w:tr>
      <w:tr w:rsidR="00B65DBE" w:rsidRPr="00B65DBE" w14:paraId="35C40620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40AD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10AF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D667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FBAF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38AB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E50B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C924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5181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A2A3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1224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C78B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F376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C619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910D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89F7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6B8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EB35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2A21F77D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BCAF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60C8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C0DC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910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E0F3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B728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45C1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DA2A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6D0F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BEE3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ECDA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494C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C5B9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2FD8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53B6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8E9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F558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</w:tbl>
    <w:p w14:paraId="2378026C" w14:textId="77777777" w:rsidR="00B65DBE" w:rsidRPr="003C2AA4" w:rsidRDefault="00B65DBE" w:rsidP="00385C57">
      <w:pPr>
        <w:spacing w:before="120"/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78347C1F" w14:textId="0D9DB885" w:rsidR="003C2AA4" w:rsidRDefault="003C2AA4" w:rsidP="00385C57">
      <w:pPr>
        <w:keepNext/>
        <w:spacing w:before="120"/>
        <w:ind w:left="113" w:right="108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03.2.60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Aktivní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začleňování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začleňování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s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ohledem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podporu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rovných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příležitostí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gramStart"/>
      <w:r w:rsidRPr="003C2AA4">
        <w:rPr>
          <w:rFonts w:ascii="Arial" w:eastAsia="Arial" w:hAnsi="Arial" w:cs="Arial"/>
          <w:color w:val="000000"/>
          <w:sz w:val="20"/>
        </w:rPr>
        <w:t>a</w:t>
      </w:r>
      <w:proofErr w:type="gram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aktivní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účast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zlepšení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zaměstnatelnosti</w:t>
      </w:r>
      <w:proofErr w:type="spellEnd"/>
    </w:p>
    <w:tbl>
      <w:tblPr>
        <w:tblW w:w="15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1798"/>
        <w:gridCol w:w="856"/>
        <w:gridCol w:w="977"/>
        <w:gridCol w:w="875"/>
        <w:gridCol w:w="874"/>
        <w:gridCol w:w="874"/>
        <w:gridCol w:w="874"/>
        <w:gridCol w:w="874"/>
        <w:gridCol w:w="874"/>
        <w:gridCol w:w="874"/>
        <w:gridCol w:w="874"/>
        <w:gridCol w:w="874"/>
        <w:gridCol w:w="932"/>
        <w:gridCol w:w="874"/>
        <w:gridCol w:w="1004"/>
        <w:gridCol w:w="874"/>
      </w:tblGrid>
      <w:tr w:rsidR="00B65DBE" w:rsidRPr="00B65DBE" w14:paraId="3856B65F" w14:textId="77777777" w:rsidTr="00385C57">
        <w:trPr>
          <w:trHeight w:val="900"/>
          <w:tblHeader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BAC0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3C17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1D72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80D2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D28B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F0FD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FFA3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E9F3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DEFC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431CF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7929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E794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F5FE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EE2D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1BF6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8B613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DC0B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</w:t>
            </w:r>
          </w:p>
        </w:tc>
      </w:tr>
      <w:tr w:rsidR="00B65DBE" w:rsidRPr="00B65DBE" w14:paraId="226F5BC3" w14:textId="77777777" w:rsidTr="00385C57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F3373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5B3EC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42300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F8EAB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0FD8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B01DB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2F1EB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7A98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</w:tr>
      <w:tr w:rsidR="00B65DBE" w:rsidRPr="00B65DBE" w14:paraId="3760C851" w14:textId="77777777" w:rsidTr="00385C57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018D7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5B124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49A564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ADC13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98A36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8142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92003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DEDC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6D6B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7D69D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11E6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909D3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AAF6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7F4C3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5975B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9C78F0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D88B32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B65DBE" w:rsidRPr="00B65DBE" w14:paraId="756767D1" w14:textId="77777777" w:rsidTr="00385C57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1AC63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F0717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6FCEE0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05931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A834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AB913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ABA8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3E3A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25B0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C27E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4115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A7F4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117D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B64A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1F9B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5DC8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9712B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</w:tr>
      <w:tr w:rsidR="00B65DBE" w:rsidRPr="00B65DBE" w14:paraId="77BE072E" w14:textId="77777777" w:rsidTr="00385C57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6BE08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4EB2E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AF3F57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DE1B8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9261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6F67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99F8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9BA4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C5DDB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9848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D42E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D2D7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58D3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6404F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DD05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DA76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C6E3D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</w:tr>
      <w:tr w:rsidR="00B65DBE" w:rsidRPr="00B65DBE" w14:paraId="2CFB0016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6549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10213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7050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sociálních podniků vzniklých díky podpoře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F33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Organizace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B4F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618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124,000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926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10D6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D52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239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16EE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C1A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AEC4E" w14:textId="1813DBAE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</w:t>
            </w:r>
            <w:r w:rsidR="00696889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</w:t>
            </w: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,575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39B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BD37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355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C0E5" w14:textId="2FB6094D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</w:t>
            </w:r>
            <w:r w:rsidR="00696889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</w:t>
            </w: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,575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ED0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56,915</w:t>
            </w:r>
          </w:p>
        </w:tc>
      </w:tr>
      <w:tr w:rsidR="00B65DBE" w:rsidRPr="00B65DBE" w14:paraId="403C0590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F294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F681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9891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CCA2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4776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6D6E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612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A05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DF4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C2A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2069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8FB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516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5AD1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F236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EA0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5222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4011E13E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458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DE1D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E163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6909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10E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472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B02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CCF1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0B0C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372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C45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A8F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870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46E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947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678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C53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662A2805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D09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10213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09B6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sociálních podniků vzniklých díky podpoře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806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Organizace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1CF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43F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A590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77B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0E4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4E53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AC9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1F9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C55B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0,430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180E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C2BC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8AB7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C2B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0,430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593F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3,071</w:t>
            </w:r>
          </w:p>
        </w:tc>
      </w:tr>
      <w:tr w:rsidR="00B65DBE" w:rsidRPr="00B65DBE" w14:paraId="26312A82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E37F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6952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5453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C804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314D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5FA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7FA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134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2ED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896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2C9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D12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69A0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702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8D2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6DE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3B7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01F54996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894B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F1CD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2E39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2C0A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5662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C31A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541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CE02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4A6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6D3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E9C9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B42F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21A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ADC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DAE7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A39D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A7CD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39EA9DE9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4B96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DAA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D33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E42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5895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74 731,000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6CC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D61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974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216,000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9E5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10 308,000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4584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11 219,000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6C6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14 111,000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E35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16 400,000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A3E2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09F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15FB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A32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52 254,000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024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69,923</w:t>
            </w:r>
          </w:p>
        </w:tc>
      </w:tr>
      <w:tr w:rsidR="00B65DBE" w:rsidRPr="00B65DBE" w14:paraId="6FD5A74D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C2F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D71D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486B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0026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8013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30A1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8261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B4B9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104,000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032B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4 711,000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027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4 569,000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9C92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5 729,000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C36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6 861,000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9DD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FCE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F27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4BFA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21 974,000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8508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0E13D92B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01C9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5FB8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EBA0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2F4B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9C8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7A9E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EB14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2E16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D2D1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5 597,000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9A6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6 650,000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9798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8 382,000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8FF4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9 539,000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ED3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AD13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A051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83A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30 280,000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01D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48336C89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EEE1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777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0310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85A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7F11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6 121,000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8091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2AC1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148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95A6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258,000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DEF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793,000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7BA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311,000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976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1 012,000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CC1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2A7F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249C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5471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2 374,000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F12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38,785</w:t>
            </w:r>
          </w:p>
        </w:tc>
      </w:tr>
      <w:tr w:rsidR="00B65DBE" w:rsidRPr="00B65DBE" w14:paraId="0B6BB01C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78CA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C989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5FD1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A61D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79DA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85DA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D698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5E06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F3F3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126,000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7F7D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445,000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DAE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127,000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6FF9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421,000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750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AF6C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8EA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2612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1 119,000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EFC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2AAC57A0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FD25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598A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EA70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A4EE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80F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B27C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2BEA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9356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2B2B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11D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348,000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31A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184,000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C6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591,000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07D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8D9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7C1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0A54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1 255,000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22C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0A53349E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656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67001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DBF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Kapacita podpořených služeb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15C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Místa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447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981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29 970,000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9FA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7A9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30A8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2 423,500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70FA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10 419,000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EE8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4 018,100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A23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6 066,000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5835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5 781,410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C1BE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69C4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D85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4FF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28 708,010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701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95,789</w:t>
            </w:r>
          </w:p>
        </w:tc>
      </w:tr>
      <w:tr w:rsidR="00B65DBE" w:rsidRPr="00B65DBE" w14:paraId="190910CD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65A7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8F1C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1214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5CE5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F3D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97D7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EEC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D3D6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87A5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DB9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E96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B4F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9E85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3EFD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931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F6E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282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50134EC7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6378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D129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E9E1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4C36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625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07D7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B09D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63AE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8A2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AC24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072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D8C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347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A7BB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9CD5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479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370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7AE3524B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017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lastRenderedPageBreak/>
              <w:t>67001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C53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Kapacita podpořených služeb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9A8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Místa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047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C282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3 293,000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8C7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5DBE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97D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17C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956,580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7E18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76,000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75F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207,800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9B7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1 230,600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A97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7C3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547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8D0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2 470,980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29C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75,037</w:t>
            </w:r>
          </w:p>
        </w:tc>
      </w:tr>
      <w:tr w:rsidR="00B65DBE" w:rsidRPr="00B65DBE" w14:paraId="6954F30F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9099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2F4B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24C1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D2E9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1782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C32F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BCE5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208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440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A168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F7CF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A82A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EF7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AC92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E9B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7BC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5B0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45DDEFA8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D664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9BE3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2E06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6BD0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DD26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FA6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D4A9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2792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131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88B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A34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39E6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C2E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6209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E267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623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F21B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7457113A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C91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67101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2EA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podpořených podpůrných institucí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4989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Organizace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474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480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418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DF1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C74E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CE1E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73E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E418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39F4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0,788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F6C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180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0DE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26D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0,788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EBF2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19,688</w:t>
            </w:r>
          </w:p>
        </w:tc>
      </w:tr>
      <w:tr w:rsidR="00B65DBE" w:rsidRPr="00B65DBE" w14:paraId="5F846463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CDFC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1729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5E58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2F11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D32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091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837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F48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C52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4CC7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501F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A446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79D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E79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AFFD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BF1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AE4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674E68C6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C0E7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2F52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35C1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BB6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2C24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DF6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F5D4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AFA6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4704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3EBC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C33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652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4D8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409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9713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9556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D0A3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593562D8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670F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67101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537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podpořených podpůrných institucí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762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Organizace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E7C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76F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766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791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D38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AA3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F71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52C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125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0,213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F44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715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8BF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E8A9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0,213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8356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21,250</w:t>
            </w:r>
          </w:p>
        </w:tc>
      </w:tr>
      <w:tr w:rsidR="00B65DBE" w:rsidRPr="00B65DBE" w14:paraId="671B48E9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DDBA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423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5B44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3185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A5D3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A7B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D4C8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EB1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F53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491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E87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C7AD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55A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054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AEC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689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95C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4A506BCF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90D7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5E9D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7C62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8933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6E4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F2A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245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0DB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157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DE6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6F86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38D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6985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FB0B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B47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A399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E8B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71A0179A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4B32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67300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8A1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účastníků, kterým bylo poskytnuto poradenství v oblasti sociálního podnikání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2A9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546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F7E5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56F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A09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BC2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306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5ED5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11,810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D6D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8,670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9A1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22,838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EABA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78E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69E6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3AD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43,318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851A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60,164</w:t>
            </w:r>
          </w:p>
        </w:tc>
      </w:tr>
      <w:tr w:rsidR="00B65DBE" w:rsidRPr="00B65DBE" w14:paraId="5EC3E9D6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5CC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2964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D483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9297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D9B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869D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62E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07A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28B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455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B5DD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CF51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4A09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2BF1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B7B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6E0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C84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55780D27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EB0C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17E3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EFD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82DB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0C0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9CC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D91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E37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B77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911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4B6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16F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E13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BD80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C24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D14A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679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1F156C4E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651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67300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BE79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účastníků, kterým bylo poskytnuto poradenství v oblasti sociálního podnikání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5E2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027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A6D1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288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867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E27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E70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72F6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3,190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1C5E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2,340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053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6,163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8C2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9D1F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B90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14CE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11,693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34B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146,163</w:t>
            </w:r>
          </w:p>
        </w:tc>
      </w:tr>
      <w:tr w:rsidR="00B65DBE" w:rsidRPr="00B65DBE" w14:paraId="6CFC28BE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8A56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568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79CF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E59D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902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428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EF2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22B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6192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A4D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A45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5A94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CD22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F51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17C8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D10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919B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4FD1C700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3E1C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8962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47B3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667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9E4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EC25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48F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399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23B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CC1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F9F8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9E7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7EDD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0F1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B07B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30F8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96E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2D6EB657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35D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67401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A06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Nové nebo inovované sociální služby týkající se bydlení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919D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Služby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09D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DBF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225,000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47C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B44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3E19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1BB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33,000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F499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687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666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26,000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E22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7AC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469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D2F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84,000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2BD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37,333</w:t>
            </w:r>
          </w:p>
        </w:tc>
      </w:tr>
      <w:tr w:rsidR="00B65DBE" w:rsidRPr="00B65DBE" w14:paraId="0CB05F16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5FC4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BED0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04EE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0B4D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64E4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6FAF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801B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DE1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ED1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09C8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1B2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933F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46A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F43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DEB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BCC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0AFA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4F9FBFA8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7D4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FB03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70AA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FE9F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0E4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B56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3E53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C9DC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CF93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16F5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A78C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A43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B84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4D4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72E1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073B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F44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6826E3DC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864C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67401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017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Nové nebo inovované sociální služby týkající se bydlení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8A7B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Služby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6339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66FE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3D1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4C0C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2E5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FD6E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3920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5FB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311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F58C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ED70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C6C4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3C5B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3EC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31F7457F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0614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0283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3E73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A71B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9448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FC1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C58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D083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F71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55D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6130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56E5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648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C85D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72BF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DCE8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4B2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49885B97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1F36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471B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608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22BC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2EE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79C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B3C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26D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5295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F3C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045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442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C37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D14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F305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656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355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5366123F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9BE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80500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FC3E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napsaných a zveřejněných analytických a strategických dokumentů (vč. evaluačních)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970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Dokumenty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F1D5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C5C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0890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C9E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456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D5D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9726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516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47,000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A58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54,000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D07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231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7DA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0D4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123,000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DFF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768,750</w:t>
            </w:r>
          </w:p>
        </w:tc>
      </w:tr>
      <w:tr w:rsidR="00B65DBE" w:rsidRPr="00B65DBE" w14:paraId="3A7C6FF5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6DCF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7E70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664E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9298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5B2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43CE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7F6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1543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3B2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27FC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57C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312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FCF8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785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210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122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616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4CC66BD2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F04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1D1A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5935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1708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7C12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507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E71E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5528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B351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0BAD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1A1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13A8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FD90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0A3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8E5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903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8EA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606847C5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437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80500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D0F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napsaných a zveřejněných analytických a strategických dokumentů (vč. evaluačních)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D41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Dokumenty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9AC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38E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D04D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61A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3252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2EC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473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D8A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2F5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A721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8E97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BB7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1D5B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7,400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AA1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370,000</w:t>
            </w:r>
          </w:p>
        </w:tc>
      </w:tr>
      <w:tr w:rsidR="00B65DBE" w:rsidRPr="00B65DBE" w14:paraId="5A7B70EE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6289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AC8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8B32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DCAC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94C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518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A8B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89C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5A4B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9E0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B0F5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8CC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D275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A793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FEC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F80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E9C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61A305FC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8464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D209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8BC1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499D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C4F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0FB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0290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3B1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1F7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651E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C2B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8CC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347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827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81B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81C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B694A" w14:textId="6FE5CE3E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</w:tbl>
    <w:p w14:paraId="76BC8793" w14:textId="77777777" w:rsidR="00B65DBE" w:rsidRPr="003C2AA4" w:rsidRDefault="00B65DBE" w:rsidP="00385C57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2D2CF23A" w14:textId="5E260AEC" w:rsidR="003C2AA4" w:rsidRDefault="003C2AA4" w:rsidP="00385C57">
      <w:pPr>
        <w:keepNext/>
        <w:spacing w:before="120"/>
        <w:ind w:left="113" w:right="108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lastRenderedPageBreak/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03.2.63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Zlepšování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přístupu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k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dostupným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udržitelným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vysoce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kvalitním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službám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zdravotnictví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sociálních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služeb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obecného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zájmu</w:t>
      </w:r>
      <w:proofErr w:type="spellEnd"/>
    </w:p>
    <w:tbl>
      <w:tblPr>
        <w:tblW w:w="15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1801"/>
        <w:gridCol w:w="850"/>
        <w:gridCol w:w="977"/>
        <w:gridCol w:w="876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1004"/>
        <w:gridCol w:w="874"/>
      </w:tblGrid>
      <w:tr w:rsidR="00B65DBE" w:rsidRPr="00B65DBE" w14:paraId="478F5EDB" w14:textId="77777777" w:rsidTr="00385C57">
        <w:trPr>
          <w:trHeight w:val="720"/>
          <w:tblHeader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B3A2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2E11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1A03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C6A0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C2E5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98D8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64A8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7085F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8F5BD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8033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1221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67C0B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16CD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857F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3172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C72D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E47A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</w:t>
            </w:r>
          </w:p>
        </w:tc>
      </w:tr>
      <w:tr w:rsidR="00B65DBE" w:rsidRPr="00B65DBE" w14:paraId="5C406BB6" w14:textId="77777777" w:rsidTr="00385C57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6D032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E09CB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2AA5B6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3FF6C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AB6F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8F3D3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EA8F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3DD6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</w:tr>
      <w:tr w:rsidR="00B65DBE" w:rsidRPr="00B65DBE" w14:paraId="7378D09D" w14:textId="77777777" w:rsidTr="00385C57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11C08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D1C7F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4B19D0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A2D10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F72E3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7518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F3A1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4C8A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31E1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532C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969B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9432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23FC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5A4D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2778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0FFCDC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647211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B65DBE" w:rsidRPr="00B65DBE" w14:paraId="6DD38D9F" w14:textId="77777777" w:rsidTr="00385C57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7FA16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2234A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0AD1E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E2C91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09A4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A98E3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81E2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A526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914A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9806B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03C1F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F546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5718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1CCF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0258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C55B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0B3ED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</w:tr>
      <w:tr w:rsidR="00B65DBE" w:rsidRPr="00B65DBE" w14:paraId="7BAF3BBF" w14:textId="77777777" w:rsidTr="00385C57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CF6C8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457C3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7860A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E224B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6906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EB4AF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65B63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CDF8D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8E97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1010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2178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C8A2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CCF4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90A8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66D5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D32DD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5321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</w:tr>
      <w:tr w:rsidR="00B65DBE" w:rsidRPr="00B65DBE" w14:paraId="2CB8B42D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12B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56100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A19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nových podpořených programů podpory zdraví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8FC2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Programy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E8B7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9DEA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55,000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696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F34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D9FE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B121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D62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542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E7E8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191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703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5991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DE5A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05EF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7254220B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4F8E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2D14C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3CB6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1DDF9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7DA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2D8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5A24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FB48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132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1DD7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FD3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398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21F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2F69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F45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A69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BC4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30708AA4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B04E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E88E3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A42AC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09A52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9DF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BE1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4CC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FD0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D39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D32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549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24D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527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5AFE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747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499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788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3EF4F056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386E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56100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1C4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nových podpořených programů podpory zdraví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FF5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Programy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E99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89F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A9AB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E06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2F16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3180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1C0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8484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881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C2B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434A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CC9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F2E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9942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67B45A0C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B4E31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79C18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12FE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79A0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6BC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C1AE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6AC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445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7338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603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775D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C55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827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92E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77DE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727B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8FC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44B0F8E4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F644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E6396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40C5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C93D3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47B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0242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7EE1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E73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C9F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461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DAB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98FF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50D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3F3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DA0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E149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959A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2B995F02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168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57101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E86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podpořených služeb uvedených ve Strategii reformy psychiatrické péče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631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Služby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FB25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870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87,000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A4F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3384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E8B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7788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85D3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E70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192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55,125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30C4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B2BA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77FE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F55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55,125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B19C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63,362</w:t>
            </w:r>
          </w:p>
        </w:tc>
      </w:tr>
      <w:tr w:rsidR="00B65DBE" w:rsidRPr="00B65DBE" w14:paraId="1E4406F4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E968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41D23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29AC7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CB3FE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658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C9B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93F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E35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4E9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E476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FB4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0AF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A6B9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120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3154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3CE8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28C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34BE4D01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B7C0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1298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1E60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140F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97E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12E0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2D8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1E3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7B23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FB8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E97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4A8F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D5B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7F2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E5A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95C7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D1EA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65DB4912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F2C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57101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9DCA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podpořených služeb uvedených ve Strategii reformy psychiatrické péče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4081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Služby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C82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549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41FE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E4D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C33B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DA4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CB7F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B771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4BC2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14,875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9F6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0DD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A6EE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966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14,875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9D4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87,500</w:t>
            </w:r>
          </w:p>
        </w:tc>
      </w:tr>
      <w:tr w:rsidR="00B65DBE" w:rsidRPr="00B65DBE" w14:paraId="58D2F130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F16E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6F3E5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B76AF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8E898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C73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9EE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162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185A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F77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843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0391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A7AD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7B4B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C12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B960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F9E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E2D0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4E726B57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7B916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5395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F679A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A6DA5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CBB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076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68D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D93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2BE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32F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6B4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31B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94B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431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89B6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BA6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DF8E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15FB28C2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CD60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9F5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57D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DCC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7F1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30 244,000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E72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8DB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89BB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875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599,000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A6E6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5 274,000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003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3 899,000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6BA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4 794,000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0E2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C20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BD0D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6D91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14 566,000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0D7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48,162</w:t>
            </w:r>
          </w:p>
        </w:tc>
      </w:tr>
      <w:tr w:rsidR="00B65DBE" w:rsidRPr="00B65DBE" w14:paraId="7DA3FC5F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7597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11076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5989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CA09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ADB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A8F7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7CD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5E49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EE7B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121,000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D460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722,000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46AD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821,000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45E7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950,000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93F0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36E5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D036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873A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2 614,000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A142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6B00462C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15D16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F62C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4CC6D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7493C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F35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7E1C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CE68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4D07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D3B2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478,000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C7D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4 552,000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9754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3 078,000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B78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3 844,000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9F6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3CE1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631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3F9D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11 952,000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4857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23C28E63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E51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AA5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E4C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BCAC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22F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5 861,000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422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219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AF7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329E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32,000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2E1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467,000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380B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445,000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E95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796,000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C6D1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F83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E79E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716F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1 740,000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D43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29,688</w:t>
            </w:r>
          </w:p>
        </w:tc>
      </w:tr>
      <w:tr w:rsidR="00B65DBE" w:rsidRPr="00B65DBE" w14:paraId="7B530B2F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DD333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2E19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4DCE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EA961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C5E2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4AC5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3C1C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E7A3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25D6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6FE3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3086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137,000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266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232,000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BB56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AF98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4547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172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464,000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7018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13279DEE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E10B2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695F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4E02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9135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6AC4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C96F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8FE0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5A96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0DF5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27,000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B6F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377,000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B071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308,000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732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564,000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F77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391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740E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0FEE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1 276,000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FE3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7B470F45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7E2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67001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EEC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Kapacita podpořených služeb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AC96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Místa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DD2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B52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4 741,000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45E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995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AB5A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7F56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145,340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F390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312,810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C9BA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154,490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B95F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2 175,025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88E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49F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C9A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89AC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2 787,665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5E53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58,799</w:t>
            </w:r>
          </w:p>
        </w:tc>
      </w:tr>
      <w:tr w:rsidR="00B65DBE" w:rsidRPr="00B65DBE" w14:paraId="7BB4DFA3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1D55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02F7A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465D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2BEB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70B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B89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70A1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C0BB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78F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CD97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E75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06C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35B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77C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677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7B17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02AC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4F72E776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472E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E8664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8764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CE5C6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E63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F3BF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B7C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B5A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5F0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1C9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70E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60F4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3F8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205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A4F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644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3D08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1F46E2ED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68AB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67001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430B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Kapacita podpořených služeb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036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Místa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146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DEB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959,000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63BD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2D45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E5A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ED54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861E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FB5D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75,500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401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209,175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8832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C819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E1C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A4E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299,675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C1B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31,249</w:t>
            </w:r>
          </w:p>
        </w:tc>
      </w:tr>
      <w:tr w:rsidR="00B65DBE" w:rsidRPr="00B65DBE" w14:paraId="3893D6EC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7C565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0A3DC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1997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98783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B84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884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FC0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9CC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DBBF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6F8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D56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8B4B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92BC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0D80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EFB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2C7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559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41B819CA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A8F28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6BFF6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30EEC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5072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072A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B6AC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172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E4DD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478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08F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0EBE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DB6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DA2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C0A6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756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DA62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BC1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0A66CB9D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420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69501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B289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funkčních podpůrných IT systémů pro sledování služeb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0BE8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IT systémy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6E0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AC2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408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8E3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056E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DF1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A40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AA3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E6D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2,788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488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759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D79E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538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5,788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7258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578,800</w:t>
            </w:r>
          </w:p>
        </w:tc>
      </w:tr>
      <w:tr w:rsidR="00B65DBE" w:rsidRPr="00B65DBE" w14:paraId="749B887E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9E024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CA392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FE90F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0B1AE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25D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BB5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A81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F1A2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3E2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C654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A85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8B64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880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496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F9B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BC0A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A214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2D87598B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D0329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31F5E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4062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CA81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1EE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560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3746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650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D6A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8953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430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905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374E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035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57A3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BC9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99F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0F19D56A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07E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69501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240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funkčních podpůrných IT systémů pro sledování služeb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9E4B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IT systémy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898A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4F36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B24E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052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11B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278F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678C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3A80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30B6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0,213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98B5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89E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136E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47A4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0,213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17A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7F1770F4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CF24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6DB5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A75B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A2119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C03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452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484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B893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9A8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6E9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2AC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2470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86A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31E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302D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09F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C36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2BAB13B7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552A5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47170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AB72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60AD0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AD45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C00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1FC3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5415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96AE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6B26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D45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F83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B51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170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BDF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673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1CF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7DF2E5BB" w14:textId="77777777" w:rsidTr="00B65DBE">
        <w:trPr>
          <w:trHeight w:val="233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2C5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80500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162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napsaných a zveřejněných analytických a strategických dokumentů (vč. evaluačních)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4BA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Dokumenty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C1B9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A5CD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632,000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BC2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534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46B2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10,240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C9A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76,080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38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371,000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326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347,260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CF51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414,208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D66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35D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2766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3C3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1 218,788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002A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192,846</w:t>
            </w:r>
          </w:p>
        </w:tc>
      </w:tr>
      <w:tr w:rsidR="00B65DBE" w:rsidRPr="00B65DBE" w14:paraId="75E62D38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643D0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87215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161B7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83B1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7DD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08C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BACA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C5D8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3D4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8EDE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C31A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BE7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827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42B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1C85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E90B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56D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22C2CE76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1BE5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D1144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03085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3955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5437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CE5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1DE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A89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9C5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E85E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10B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C9C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83B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5C6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891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662D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9F61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2DE6823B" w14:textId="77777777" w:rsidTr="00B65DBE">
        <w:trPr>
          <w:trHeight w:val="233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7535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80500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42B1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napsaných a zveřejněných analytických a strategických dokumentů (vč. evaluačních)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AA9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Dokumenty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EDE5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3936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128,000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9D4D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205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C8AF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2,760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AAE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8,930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64DF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29,780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8FC7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32,960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C92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43,183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B7C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7E3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03EB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058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117,613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9AE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91,885</w:t>
            </w:r>
          </w:p>
        </w:tc>
      </w:tr>
      <w:tr w:rsidR="00B65DBE" w:rsidRPr="00B65DBE" w14:paraId="78BDD24F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ED8C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6EAE0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7C9E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AA01C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22AB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AEF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A070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C693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3C5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1D6D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ABC4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046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B82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C15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5AB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AB3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7EA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63371175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A093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80B88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3417A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CC1E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93F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2FA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E6AC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C60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3A0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F0FB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910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8FD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02B9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4A0C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241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C881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24D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</w:tbl>
    <w:p w14:paraId="747DD6E0" w14:textId="77777777" w:rsidR="00B65DBE" w:rsidRPr="003C2AA4" w:rsidRDefault="00B65DBE" w:rsidP="005227F0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45CBEA14" w14:textId="3864FD1F" w:rsidR="003C2AA4" w:rsidRDefault="003C2AA4" w:rsidP="005227F0">
      <w:pPr>
        <w:keepNext/>
        <w:spacing w:before="120"/>
        <w:ind w:left="113" w:right="108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03.2.65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Strategie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komunitně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vedeného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místního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rozvoje</w:t>
      </w:r>
      <w:proofErr w:type="spellEnd"/>
    </w:p>
    <w:tbl>
      <w:tblPr>
        <w:tblW w:w="15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1801"/>
        <w:gridCol w:w="850"/>
        <w:gridCol w:w="977"/>
        <w:gridCol w:w="876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1004"/>
        <w:gridCol w:w="874"/>
      </w:tblGrid>
      <w:tr w:rsidR="00B65DBE" w:rsidRPr="00B65DBE" w14:paraId="66F9D2A2" w14:textId="77777777" w:rsidTr="005227F0">
        <w:trPr>
          <w:trHeight w:val="720"/>
          <w:tblHeader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95B9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B6D3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A0B7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7017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00A4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6E35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B63A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A031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5368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A13E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AD24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282BB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E009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9BE0D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CFC13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F286B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E373D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</w:t>
            </w:r>
          </w:p>
        </w:tc>
      </w:tr>
      <w:tr w:rsidR="00B65DBE" w:rsidRPr="00B65DBE" w14:paraId="1D6BF645" w14:textId="77777777" w:rsidTr="005227F0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288E4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A45DA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F6B0C9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8DAC6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DA9E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C0A2B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EC1C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CC4EF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</w:tr>
      <w:tr w:rsidR="00B65DBE" w:rsidRPr="00B65DBE" w14:paraId="0D07EDE1" w14:textId="77777777" w:rsidTr="005227F0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368D7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9EDA7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CEE893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D1F20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5FF2A7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DD5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32E9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F193F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836F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17A9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91A6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6743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59F4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B2D7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D336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A078E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0A649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B65DBE" w:rsidRPr="00B65DBE" w14:paraId="57B44260" w14:textId="77777777" w:rsidTr="005227F0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D7C6D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B111A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BF26F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03397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7E23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EA00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E78E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FE9A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3F2C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4A15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E6E8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32EC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633D3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F13F3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D132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418F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E306B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</w:tr>
      <w:tr w:rsidR="00B65DBE" w:rsidRPr="00B65DBE" w14:paraId="3373C3EB" w14:textId="77777777" w:rsidTr="005227F0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33DFC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DAF9C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6BCF3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BA8D7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935E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55A5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7DF1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6A91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267A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F01E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9CAE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99F5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19E0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81D7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FAE4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ED023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3947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</w:tr>
      <w:tr w:rsidR="00B65DBE" w:rsidRPr="00B65DBE" w14:paraId="1C84B094" w14:textId="77777777" w:rsidTr="00B65DBE">
        <w:trPr>
          <w:trHeight w:val="233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DFA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800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095B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3D9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1949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22 279,000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358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541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B9F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4C5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994,000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8875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6 503,000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046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10 012,000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055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12 862,000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5A23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CA8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E0F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8B08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30 371,000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A261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136,321</w:t>
            </w:r>
          </w:p>
        </w:tc>
      </w:tr>
      <w:tr w:rsidR="00B65DBE" w:rsidRPr="00B65DBE" w14:paraId="52F24D51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6DE4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A32B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B7958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F0451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768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AAD2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0722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9021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2DD3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249,000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4AC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1 578,000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563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2 419,000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FA6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3 289,000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48B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562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0C15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7EF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7 535,000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C69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53CB0F51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CEF7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ACC2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06783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EA87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29A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4197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206D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CE52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F155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745,000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186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4 925,000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E11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7 593,000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D7A3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9 573,000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9BA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42C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8EA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8C6B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22 836,000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9A5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2BF93B29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78A5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67001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055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Kapacita podpořených služeb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D83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Místa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937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169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882,000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C76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D74A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0703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E20D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E7B5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397,000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DE0D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1 189,000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63A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1 291,500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416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112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337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AFA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2 897,500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4A3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328,515</w:t>
            </w:r>
          </w:p>
        </w:tc>
      </w:tr>
      <w:tr w:rsidR="00B65DBE" w:rsidRPr="00B65DBE" w14:paraId="159F975D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F4E3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76D6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3D5D8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395AE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5AD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6947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7E9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9D13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B7EC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5C6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B99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12F2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955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81A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AA2F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B63A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BE4A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0D42361A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E833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7C597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81734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2FB84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DEC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4CE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36D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34B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437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9320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04C8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635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859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A2B8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DE1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340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7E82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572BCACD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48A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80500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0EC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napsaných a zveřejněných analytických a strategických dokumentů (vč. evaluačních)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1F04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Dokumenty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EE6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3B9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88,000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EE21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AA4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6484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FBE3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0DF2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BF2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140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611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24F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01E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BD6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24,000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BCA4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27,273</w:t>
            </w:r>
          </w:p>
        </w:tc>
      </w:tr>
      <w:tr w:rsidR="00B65DBE" w:rsidRPr="00B65DBE" w14:paraId="2BC224C4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0FFF7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C8BF7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66116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B62F8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0DB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DA7E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5B7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53C4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306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A2E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8976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72C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421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23C1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D57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2012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34DF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352F9BBA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9439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340F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00B4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0DDB4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1A12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6DF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EAD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2C7F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65F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96E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45A8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F11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EAEB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2744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DB8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6B7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682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</w:tbl>
    <w:p w14:paraId="154F4FAD" w14:textId="77777777" w:rsidR="00B65DBE" w:rsidRPr="003C2AA4" w:rsidRDefault="00B65DBE" w:rsidP="005227F0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62DACB0F" w14:textId="6B3728F5" w:rsidR="003C2AA4" w:rsidRDefault="003C2AA4" w:rsidP="005227F0">
      <w:pPr>
        <w:keepNext/>
        <w:spacing w:before="120"/>
        <w:ind w:left="113" w:right="108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lastRenderedPageBreak/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03.3.48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Přístup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k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osoby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hledající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neaktivní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osoby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dlouhodobě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nezaměstnaných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gramStart"/>
      <w:r w:rsidRPr="003C2AA4">
        <w:rPr>
          <w:rFonts w:ascii="Arial" w:eastAsia="Arial" w:hAnsi="Arial" w:cs="Arial"/>
          <w:color w:val="000000"/>
          <w:sz w:val="20"/>
        </w:rPr>
        <w:t>a</w:t>
      </w:r>
      <w:proofErr w:type="gram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osob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vzdálených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trhu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také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prostřednictvím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místních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iniciativ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podporu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zaměstnanosti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mobility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pracovníků</w:t>
      </w:r>
      <w:proofErr w:type="spellEnd"/>
    </w:p>
    <w:tbl>
      <w:tblPr>
        <w:tblW w:w="15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1800"/>
        <w:gridCol w:w="856"/>
        <w:gridCol w:w="975"/>
        <w:gridCol w:w="875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1004"/>
        <w:gridCol w:w="874"/>
      </w:tblGrid>
      <w:tr w:rsidR="00B65DBE" w:rsidRPr="00B65DBE" w14:paraId="286324EB" w14:textId="77777777" w:rsidTr="005227F0">
        <w:trPr>
          <w:trHeight w:val="720"/>
          <w:tblHeader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0B04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7348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7541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10A63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8354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FEEC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85C4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8DFA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96EB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9939D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0B0C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B55E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A756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7A48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F95FF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A585D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CC3DF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</w:t>
            </w:r>
          </w:p>
        </w:tc>
      </w:tr>
      <w:tr w:rsidR="00B65DBE" w:rsidRPr="00B65DBE" w14:paraId="4B43D428" w14:textId="77777777" w:rsidTr="005227F0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1C37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369CE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EFF8B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E4D10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F494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B53B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7069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4C5C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</w:tr>
      <w:tr w:rsidR="00B65DBE" w:rsidRPr="00B65DBE" w14:paraId="1C95ADAF" w14:textId="77777777" w:rsidTr="005227F0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EE837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F25C1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A81131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8417F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55D8F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3082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D55ED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64C0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0583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58A2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2C9C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37A3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435D3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19FB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8B8F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C7B34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2F3875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B65DBE" w:rsidRPr="00B65DBE" w14:paraId="2460A0F4" w14:textId="77777777" w:rsidTr="005227F0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4C97F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2EC72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5AD0D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CAB2F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FED4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EE0B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0769F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381F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C954D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87EE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8DB7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7B6D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D93A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5F65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903F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9B45B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8E5B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</w:tr>
      <w:tr w:rsidR="00B65DBE" w:rsidRPr="00B65DBE" w14:paraId="4028C974" w14:textId="77777777" w:rsidTr="005227F0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6877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35D13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064C17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CBF2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9E89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CD55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1B82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1D36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81B9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65AE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9FF8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B921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045D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4EA0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2F7F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FAE73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4450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</w:tr>
      <w:tr w:rsidR="00B65DBE" w:rsidRPr="00B65DBE" w14:paraId="456DFA1D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2B8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93D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943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FE8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2BD1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860,000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CB23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D847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47E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83,000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789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641,000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7B1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374,000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E343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353,000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D65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189,000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138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191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EC5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F7CA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1 640,000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EE61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190,698</w:t>
            </w:r>
          </w:p>
        </w:tc>
      </w:tr>
      <w:tr w:rsidR="00B65DBE" w:rsidRPr="00B65DBE" w14:paraId="6E42D294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210AB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5FD8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D04F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B3F2B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3037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7B8E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E42B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393B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43,000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7D1B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253,000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43BD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82,000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82D9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159,000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256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82,000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67E9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2E9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C43B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F0D7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619,000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542D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40373284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955DB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3A241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87F0B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B165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E54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A63A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E161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19BE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71EA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388,000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9A7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506F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194,000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2B3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107,000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F74E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0B5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529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CF96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1 021,000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544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46396F8B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C74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842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E9CD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3026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FE24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115,000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9058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D5F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C26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2F0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83,000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512A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53,000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A647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47,000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D1F7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26,000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D0A3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049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17C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E73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A123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191,304</w:t>
            </w:r>
          </w:p>
        </w:tc>
      </w:tr>
      <w:tr w:rsidR="00B65DBE" w:rsidRPr="00B65DBE" w14:paraId="33117494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8FDB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B181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93CA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8688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F9E3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4CE1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4023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6672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0153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32,000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B4D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8C8D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C78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4CF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519A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64D3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567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83,000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A7E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57FC5583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2310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0EA1A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5D00B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0BC3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D7C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0F8C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445A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0F85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36E4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A89B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D98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B68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B4D5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B23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C21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E67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137,000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46C5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05352B13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9722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67101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E43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podpořených podpůrných institucí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848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Organizace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E16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2BBE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63F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6DD2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F21B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E6A8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1,720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F4E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AB7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0,690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FB1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7,222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F7F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777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1A1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1ED3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10,662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65E8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1 066,200</w:t>
            </w:r>
          </w:p>
        </w:tc>
      </w:tr>
      <w:tr w:rsidR="00B65DBE" w:rsidRPr="00B65DBE" w14:paraId="5A8B1573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C23D0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D5B6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7D73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28CC5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4AF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D07B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392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2C3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351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778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CE3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FC8C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62D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7FAC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2C8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5CD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83CA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6122AD57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C2CD9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57155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B915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46AF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73DF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1498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AD1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049C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A81B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85C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BE88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4569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A6A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958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4AF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663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F61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3123D3FD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CC6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67101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E778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podpořených podpůrných institucí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C71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Organizace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B50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377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AD7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5A2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E0FF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7699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0,230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AD78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0,140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CF5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695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0,968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3C2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35D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EC0F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CA1B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1,428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8E6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11118020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865F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C21B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65A49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69447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3BDB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78A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DBB5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7CB9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A76C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E9E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609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A13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16A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67D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0BFC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084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A2B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12210BDC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D0FF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A1D0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081BB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B04B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52F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8060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F48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11C3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51C4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0B5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ED4E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9B8A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63E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ED6E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666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B13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6F5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23501EF1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0A87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69301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B201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experimentálně či kvazi-experimentálně ověřených nových nástrojů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AE3C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Nástroje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1A5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966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DD1D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083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C11D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87C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69DE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0,690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3B09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7,220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0B6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8,941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CAE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2FC1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E640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968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16,851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0E1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120,364</w:t>
            </w:r>
          </w:p>
        </w:tc>
      </w:tr>
      <w:tr w:rsidR="00B65DBE" w:rsidRPr="00B65DBE" w14:paraId="6738F445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FC41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D182B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90655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8CCA1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CE7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6E1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830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B9F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4528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00E4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02A2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35B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8AE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9FA2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CC9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C751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7C7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1E4703FA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FD6B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C96D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3EC6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E1290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A8F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4B58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569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729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0F57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355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2E2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F07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14A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8F0D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203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D2CD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EBAF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1B466430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3F6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69301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F58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experimentálně či kvazi-experimentálně ověřených nových nástrojů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964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Nástroje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0D0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298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7AFB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64C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4199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844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6D4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B51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0,970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7EE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1,199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5E6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54D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A7C6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302B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2,259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AE52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112,950</w:t>
            </w:r>
          </w:p>
        </w:tc>
      </w:tr>
      <w:tr w:rsidR="00B65DBE" w:rsidRPr="00B65DBE" w14:paraId="162982E6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E368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FE3ED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CC24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4E16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D3B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EC10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60E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F6E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8C65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E51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6A86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7281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09A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FDB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629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1560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D2B7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1597F2A3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F5F0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DBFE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F8B0E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7648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B4B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974E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59A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E53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83EA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838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82A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1C2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1D5F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A0C2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AFB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171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ABF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38D0B2D7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160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80500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D067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napsaných a zveřejněných analytických a strategických dokumentů (vč. evaluačních)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D145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Dokumenty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132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851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24,000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CBF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520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33F6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2,650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B44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5,890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AC2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18,760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197F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35,050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5D8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34,390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407D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B05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3401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929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96,740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80D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403,083</w:t>
            </w:r>
          </w:p>
        </w:tc>
      </w:tr>
      <w:tr w:rsidR="00B65DBE" w:rsidRPr="00B65DBE" w14:paraId="5117118C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9A9D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A47AE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0B26A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D622B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DB43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7B2F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99C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3E4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4BF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D12B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298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B316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4B0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7EB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581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4E7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8F83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7C2BF34B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9113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606E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4A8D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ED5F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461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8658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CDA3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63D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E421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14D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731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FE2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34F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5EF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F9E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FA6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BC89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149795E2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704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80500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DC46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napsaných a zveřejněných analytických a strategických dokumentů (vč. evaluačních)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3ED5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Dokumenty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371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207B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F686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403B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053D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0,360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CFAF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5388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2,300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6D94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4,690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50A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4,610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6C1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416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783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C7B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12,970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D3B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432,333</w:t>
            </w:r>
          </w:p>
        </w:tc>
      </w:tr>
      <w:tr w:rsidR="00B65DBE" w:rsidRPr="00B65DBE" w14:paraId="3896E6BC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DAB6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84B5D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41519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3450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E21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E10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DA9E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AA6E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2C6E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5B96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584E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82A0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D49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A01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E249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D877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2FAA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1CA74AEA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E7CC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4FCB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0A57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8B91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1B90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AC7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D0FA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38A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BF6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75E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75A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9E7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3A8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648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3EC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A268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5AE2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</w:tbl>
    <w:p w14:paraId="3E2B2C40" w14:textId="77777777" w:rsidR="00B65DBE" w:rsidRPr="003C2AA4" w:rsidRDefault="00B65DBE" w:rsidP="005227F0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4ABDD617" w14:textId="0C1B492F" w:rsidR="003C2AA4" w:rsidRDefault="003C2AA4" w:rsidP="005227F0">
      <w:pPr>
        <w:keepNext/>
        <w:spacing w:before="120"/>
        <w:ind w:left="113" w:right="108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lastRenderedPageBreak/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03.3.60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Aktivní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začleňování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včetně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začleňování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s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ohledem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podporu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rovných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příležitostí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gramStart"/>
      <w:r w:rsidRPr="003C2AA4">
        <w:rPr>
          <w:rFonts w:ascii="Arial" w:eastAsia="Arial" w:hAnsi="Arial" w:cs="Arial"/>
          <w:color w:val="000000"/>
          <w:sz w:val="20"/>
        </w:rPr>
        <w:t>a</w:t>
      </w:r>
      <w:proofErr w:type="gram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aktivní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účast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zlepšení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zaměstnatelnosti</w:t>
      </w:r>
      <w:proofErr w:type="spellEnd"/>
    </w:p>
    <w:tbl>
      <w:tblPr>
        <w:tblW w:w="15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1800"/>
        <w:gridCol w:w="856"/>
        <w:gridCol w:w="975"/>
        <w:gridCol w:w="875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1004"/>
        <w:gridCol w:w="874"/>
      </w:tblGrid>
      <w:tr w:rsidR="00B65DBE" w:rsidRPr="00B65DBE" w14:paraId="42F138C5" w14:textId="77777777" w:rsidTr="005227F0">
        <w:trPr>
          <w:trHeight w:val="720"/>
          <w:tblHeader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1E81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09AD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0C23B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83E0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F8DC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E9D8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D16B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DFEF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B2D4F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618E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60A4B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5B7D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974DD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5150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3B59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9F66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E04F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</w:t>
            </w:r>
          </w:p>
        </w:tc>
      </w:tr>
      <w:tr w:rsidR="00B65DBE" w:rsidRPr="00B65DBE" w14:paraId="6B8931D8" w14:textId="77777777" w:rsidTr="005227F0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BAA85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978B3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483055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32DC1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F2F2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02C7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636C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06BED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</w:tr>
      <w:tr w:rsidR="00B65DBE" w:rsidRPr="00B65DBE" w14:paraId="6895D0A3" w14:textId="77777777" w:rsidTr="005227F0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A2801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D5DA4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2E4E05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3EFF5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95130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C675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56AB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AEC5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93F2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8F04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661E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5D44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D4B9B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A72C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1B3F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25172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AB2ACD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B65DBE" w:rsidRPr="00B65DBE" w14:paraId="34B5E20D" w14:textId="77777777" w:rsidTr="005227F0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1F912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D0B0B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4D873B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99B01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C548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3666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B7F0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485E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1093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C56C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A068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95B0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5402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A1B1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EFB4F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BBC0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9001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</w:tr>
      <w:tr w:rsidR="00B65DBE" w:rsidRPr="00B65DBE" w14:paraId="3A70EA1E" w14:textId="77777777" w:rsidTr="005227F0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DE942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A6F54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EDC800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E83CA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2A36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3FAD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AE22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28FB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F428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73A7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A946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C6E5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2C70B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AC20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12BA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5761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0664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</w:tr>
      <w:tr w:rsidR="00B65DBE" w:rsidRPr="00B65DBE" w14:paraId="60A09BD2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2547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E613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3957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584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C30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970,000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CDD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967B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D345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E64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178,000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4C30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310,000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AB4F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379,000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38D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226,000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24F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D1D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305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A65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1 093,000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3F8E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112,680</w:t>
            </w:r>
          </w:p>
        </w:tc>
      </w:tr>
      <w:tr w:rsidR="00B65DBE" w:rsidRPr="00B65DBE" w14:paraId="01EAC684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6A25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0E3E9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40B0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A82C7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F978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58B0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496F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F62E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14EF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617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77,000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246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181,000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DEF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99,000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13EC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8BE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B91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8C9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407,000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192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6275623E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CE706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BAC69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2191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68D5E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DD4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ED46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6C8A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BD38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FCD3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128,000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0C6F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233,000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EDC9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198,000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21A7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127,000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761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E85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E38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023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686,000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BBC5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5A3CDB67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E26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694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A24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4CF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CC3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312F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A38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CD4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B095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24,000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F01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41,000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D05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51,000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6AC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13D1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603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F52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C899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146,000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846B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112,308</w:t>
            </w:r>
          </w:p>
        </w:tc>
      </w:tr>
      <w:tr w:rsidR="00B65DBE" w:rsidRPr="00B65DBE" w14:paraId="3286BF83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B9D5D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E31C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D8D65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BE2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52B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BA53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F444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AD17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3EB7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6D6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AF7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24,000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0D9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89EF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260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B7CA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A6B9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54,000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2D9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051A6674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6DC20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B984A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2A2C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CAA6D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996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D556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1CE1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C56B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7AF2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8459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1749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27,000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7F1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1DAE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02C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2F8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764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4D4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43D6693B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127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67101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F3B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podpořených podpůrných institucí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70F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Organizace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49F4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643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950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FBB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5A3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E315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1,940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DC3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1,160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5B1A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0,780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D34E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8,148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391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351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5B33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0D5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12,028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6E1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601,400</w:t>
            </w:r>
          </w:p>
        </w:tc>
      </w:tr>
      <w:tr w:rsidR="00B65DBE" w:rsidRPr="00B65DBE" w14:paraId="7D9F9605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FE67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88F12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8D03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8C6C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E1F8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2F9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F67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428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7AC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A0B8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B8E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63A0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D68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30D8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FAE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94F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413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54F2C03A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4B431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5A8EC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23F05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C6F13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1E2F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CF8E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2B6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B2A8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BC51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4F8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9137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584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B30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FCF9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C478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ADD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893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7A0A1C63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4D7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67101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59E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podpořených podpůrných institucí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B731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Organizace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B610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6D07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4D8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32E4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30E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FE1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0,260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68A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0,160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E17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0,100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18B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1,092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1963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B53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EFAD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ED7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1,612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5C24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161,200</w:t>
            </w:r>
          </w:p>
        </w:tc>
      </w:tr>
      <w:tr w:rsidR="00B65DBE" w:rsidRPr="00B65DBE" w14:paraId="24A615C4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F00DE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5348F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23F08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CFEE2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DFA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E35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DE1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EFD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F7C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4694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8B2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33B0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604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E94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7F07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AF4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99B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60A5F4A9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DC5A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B4CCD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235C4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6DEA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EA5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CEA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195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4BA3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9045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812B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98A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11A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B6E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326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D70A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6E12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4B9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3DD66E63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7ED8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69301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14B9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experimentálně či kvazi-experimentálně ověřených nových nástrojů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7BA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Nástroje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D9E6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3462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842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F17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B305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2A9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1749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3,320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CCF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7,370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12E5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10,088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ACCB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5D7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03F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CCAC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20,778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5EF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138,520</w:t>
            </w:r>
          </w:p>
        </w:tc>
      </w:tr>
      <w:tr w:rsidR="00B65DBE" w:rsidRPr="00B65DBE" w14:paraId="645B190E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55AB3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95983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C99B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A2F74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6005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F7D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FF4C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DB30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293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2CD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8631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3BC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9ED8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AE18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12A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4532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F73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3E65236C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DD20E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315B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A47C8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ADEC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481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5F4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51D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E63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A33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AC59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AB2F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167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7671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A961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43F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797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65F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05AD51A5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C1A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69301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C7D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experimentálně či kvazi-experimentálně ověřených nových nástrojů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9127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Nástroje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7683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6DF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37A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3FD5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AFB5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722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2BE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0,440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E68C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0,990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BAC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1,352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A8DF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5801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FAB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4556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2,782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43D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139,100</w:t>
            </w:r>
          </w:p>
        </w:tc>
      </w:tr>
      <w:tr w:rsidR="00B65DBE" w:rsidRPr="00B65DBE" w14:paraId="633C197C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21E5C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79F8E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DE94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AB68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8D2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77D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642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CC99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BAD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6551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B1D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3DB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A1B1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7FD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A914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140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67A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4CE549FB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A886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EE56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2828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86F33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CA2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4708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62A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936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1A0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6F1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982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6051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F7C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8795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FBB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886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756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086BCA2C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3F52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80500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CFC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napsaných a zveřejněných analytických a strategických dokumentů (vč. evaluačních)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CDA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Dokumenty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B051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13A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27,000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4A32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769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8EF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BEC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23,970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77D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57,550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B5EB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29,070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E190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50,263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0D5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4913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48C9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1E54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160,853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C02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595,752</w:t>
            </w:r>
          </w:p>
        </w:tc>
      </w:tr>
      <w:tr w:rsidR="00B65DBE" w:rsidRPr="00B65DBE" w14:paraId="71DC4B42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37AA1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4FF5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53F7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9FB5C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8A8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7505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BB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BCD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BE0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AB2A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271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FA8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620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C31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4E2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D68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21F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257FFFA1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40223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6D0F3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ED812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809CA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39D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978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9B8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FAA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229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A0F5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B16F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729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3CF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A03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EDF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82A9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5F6F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0E0D9BAD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892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80500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33F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napsaných a zveřejněných analytických a strategických dokumentů (vč. evaluačních)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D33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Dokumenty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A7B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3E0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FDF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ABBE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4CF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11EA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3,430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2AF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4,740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C76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6,650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ADE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6,737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473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2AC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A19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CA7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21,557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077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538,925</w:t>
            </w:r>
          </w:p>
        </w:tc>
      </w:tr>
      <w:tr w:rsidR="00B65DBE" w:rsidRPr="00B65DBE" w14:paraId="346B4F65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19E7A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D9E20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C08B3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8CB9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26B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3A4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97C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5D6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033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9FB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DD1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FB2F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574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D74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415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2AD4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7FD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36A3C057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1ABF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DCC4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2EBE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0DF9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D2E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D344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F55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F6A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15A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134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C82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C0C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78D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6D00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DEF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22AC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1292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</w:tbl>
    <w:p w14:paraId="0DD3559C" w14:textId="77777777" w:rsidR="00B65DBE" w:rsidRPr="003C2AA4" w:rsidRDefault="00B65DBE" w:rsidP="005227F0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631519BD" w14:textId="22F629B7" w:rsidR="003C2AA4" w:rsidRDefault="003C2AA4" w:rsidP="005227F0">
      <w:pPr>
        <w:keepNext/>
        <w:spacing w:before="120"/>
        <w:ind w:left="113" w:right="108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lastRenderedPageBreak/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03.3.74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do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institucionální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kapacity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gramStart"/>
      <w:r w:rsidRPr="003C2AA4">
        <w:rPr>
          <w:rFonts w:ascii="Arial" w:eastAsia="Arial" w:hAnsi="Arial" w:cs="Arial"/>
          <w:color w:val="000000"/>
          <w:sz w:val="20"/>
        </w:rPr>
        <w:t>a</w:t>
      </w:r>
      <w:proofErr w:type="gram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efektivnosti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veřejné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správy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veřejných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služeb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celostátní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regionální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místní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úrovni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za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účelem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reforem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zlepšování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úpravy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řádné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správy</w:t>
      </w:r>
      <w:proofErr w:type="spellEnd"/>
    </w:p>
    <w:tbl>
      <w:tblPr>
        <w:tblW w:w="15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1800"/>
        <w:gridCol w:w="856"/>
        <w:gridCol w:w="976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1004"/>
        <w:gridCol w:w="874"/>
      </w:tblGrid>
      <w:tr w:rsidR="00B65DBE" w:rsidRPr="00B65DBE" w14:paraId="18E76571" w14:textId="77777777" w:rsidTr="005227F0">
        <w:trPr>
          <w:trHeight w:val="720"/>
          <w:tblHeader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1A86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6B60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254B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86AA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FC29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9BAF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60C2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C915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00B9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9BC6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CC03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7A653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4808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4056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0F18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E941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4449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</w:t>
            </w:r>
          </w:p>
        </w:tc>
      </w:tr>
      <w:tr w:rsidR="00B65DBE" w:rsidRPr="00B65DBE" w14:paraId="5C723FCA" w14:textId="77777777" w:rsidTr="005227F0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B4FB6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D9A50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35B472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86944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B185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0A143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745E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1A27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</w:tr>
      <w:tr w:rsidR="00B65DBE" w:rsidRPr="00B65DBE" w14:paraId="1136097D" w14:textId="77777777" w:rsidTr="005227F0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607B2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03F1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3E0AF1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6A9F2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22A66C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73A4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4773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F1BC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9791D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7FC8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F37E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FED0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4550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D8A5D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1CF73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A05B6C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0269B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B65DBE" w:rsidRPr="00B65DBE" w14:paraId="185A6998" w14:textId="77777777" w:rsidTr="005227F0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6B994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A534F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AD0CC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8E671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D701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10F0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B152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7522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8A6D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4A6A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9F86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BA04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065E3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181B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C6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3C8E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F436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</w:tr>
      <w:tr w:rsidR="00B65DBE" w:rsidRPr="00B65DBE" w14:paraId="2C1E1EDC" w14:textId="77777777" w:rsidTr="005227F0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19A26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38AE7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84BDBA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F3B25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CEB9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697C3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8C52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FE3D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4D9A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E524D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8392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462B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B8AA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3EF4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F6E3B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4957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5D8E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</w:tr>
      <w:tr w:rsidR="00B65DBE" w:rsidRPr="00B65DBE" w14:paraId="208C1050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B6B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475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018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C79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02B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374,000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59FD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1E82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F87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4CE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9A83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49,000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E4B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138,000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B92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82,000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27B4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A99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BCC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323B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284,000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3D0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75,936</w:t>
            </w:r>
          </w:p>
        </w:tc>
      </w:tr>
      <w:tr w:rsidR="00B65DBE" w:rsidRPr="00B65DBE" w14:paraId="36D3F07E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A98D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555E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D5FC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B10FF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58E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FA7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EE7C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29D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6E1B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D21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1A79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6AFE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35,000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3AB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336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F33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6833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123,000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5712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75DADDF2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BDD22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3363A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83D17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7B87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9F3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4259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14C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D03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B73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2609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33,000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16A9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BB0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47,000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41D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00E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8FE1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9174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E742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376067F8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8EB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BE6D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42F2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1017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1410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51,000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7FEA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5D4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827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856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154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7934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A952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93BD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307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5607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365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38,000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7568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74,510</w:t>
            </w:r>
          </w:p>
        </w:tc>
      </w:tr>
      <w:tr w:rsidR="00B65DBE" w:rsidRPr="00B65DBE" w14:paraId="27D80E59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15B8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119F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6EF7D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6F9C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245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65B7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EEF5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CF0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DAA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A28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9E5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10C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4DD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AC3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7A14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F39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7B6A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2AC34699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B3DB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B064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DC63C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EC938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53BE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8B34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D11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2EB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96F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767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8D3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956D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096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328A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B7B0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14F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BFF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20A05238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183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67101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345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podpořených podpůrných institucí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E95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Organizace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77A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E45F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ECC8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236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DD2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9B86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0,970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E05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0,230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62A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0,300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C2E6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3,148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C224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760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E23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C1C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4,648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B84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232,400</w:t>
            </w:r>
          </w:p>
        </w:tc>
      </w:tr>
      <w:tr w:rsidR="00B65DBE" w:rsidRPr="00B65DBE" w14:paraId="3D7BE298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EE59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39C07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9A934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15ED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399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4DB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3D7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47C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DB6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37F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FA24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14E9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E32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E84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993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947D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AA7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68B16105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B0C2A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7531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AA459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3D3F5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073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28B7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C4C5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5FD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BA7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3F0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5E9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5E8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B96A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499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950E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0EF0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FB6B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64C57E35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F53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67101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387E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podpořených podpůrných institucí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2E25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Organizace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3F6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180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BAA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BC9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ADF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FD1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0,100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DD3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0,060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E2EE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0,040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99F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0,422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5BC2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03F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A04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883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0,622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069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0B52A2F5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7AFA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6AE29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84F41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95A3D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89B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BF3F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42D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1EC8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84A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E34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5BD8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58C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A73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7ED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DF7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A5D6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F267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6BD27E5C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4245A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7F24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6BED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246CF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FDC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7DD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395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7EF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CB2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A56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2AC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3E88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C9B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699D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D2E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C32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E51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39E2F5A0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690A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69301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FD0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experimentálně či kvazi-experimentálně ověřených nových nástrojů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1BD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Nástroje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D67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07B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0EC3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D40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F6A7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C00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DA7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0,600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4956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2,850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403D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3,898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C87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442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C99B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932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7,348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870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122,467</w:t>
            </w:r>
          </w:p>
        </w:tc>
      </w:tr>
      <w:tr w:rsidR="00B65DBE" w:rsidRPr="00B65DBE" w14:paraId="716E8B90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5C0E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57C1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A5431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C661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167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76B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5AF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9D74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89F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CE9F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CB7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A8D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CE9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92C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3DC5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062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D7BA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2A931098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D0CD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2AC4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6842F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DEAF1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D9C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360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7889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941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662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F51A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CE2F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CE3E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95D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53A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40F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294D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56DD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72EBAF64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61F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69301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581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experimentálně či kvazi-experimentálně ověřených nových nástrojů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D40A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Nástroje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302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48BC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31BD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236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22D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B9E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942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0,400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8A9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0,060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EBF0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0,522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68F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55E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0D2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2A4B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0,982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800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98,200</w:t>
            </w:r>
          </w:p>
        </w:tc>
      </w:tr>
      <w:tr w:rsidR="00B65DBE" w:rsidRPr="00B65DBE" w14:paraId="35B156A2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B4778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5B4F8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7298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0724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C4ED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EB3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19E0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7845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369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77C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CCC2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DD7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D38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0016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326C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C5D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332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78BC3B04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5666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4690A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282DA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C81D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E51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D67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3EC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E66E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DF1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9AF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E55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A165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2DF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7800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80BC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791D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2E8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021DCCA1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0A2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80500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F643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napsaných a zveřejněných analytických a strategických dokumentů (vč. evaluačních)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867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Dokumenty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54D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1B7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6A0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A6A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FFDC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970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0,320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0DE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9,270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7A3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14,990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0F3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14,991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718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1A87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169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D43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39,571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923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359,736</w:t>
            </w:r>
          </w:p>
        </w:tc>
      </w:tr>
      <w:tr w:rsidR="00B65DBE" w:rsidRPr="00B65DBE" w14:paraId="615CF553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FFA0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6D71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5D52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DF56E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504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944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6C3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25D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A67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D24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228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969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2475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714D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663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BA8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8742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32888A21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C665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EF4B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FEE6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197C9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CBB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4F0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B36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0432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DE26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4C3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0E4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D50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C88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C73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2A9E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C93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B7F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186A7129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7DB5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80500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AFA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napsaných a zveřejněných analytických a strategických dokumentů (vč. evaluačních)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FA15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Dokumenty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D1EA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E0FA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ABCC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7F81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5DBE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3152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0,320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1F6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0,960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1E49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B992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013C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3E7F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63EA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68C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5,309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A50C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530,900</w:t>
            </w:r>
          </w:p>
        </w:tc>
      </w:tr>
      <w:tr w:rsidR="00B65DBE" w:rsidRPr="00B65DBE" w14:paraId="07AB5EC6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3FD9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3B56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73622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91FF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B867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17CE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0D02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E512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BBE4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685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35E9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0F0D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553F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2B9A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8A80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4AD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B17C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5AB21E83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5F779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CD03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DF7A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22716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5249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9296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5C32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DC47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682E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012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A6E4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5C6C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88FF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813B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8CED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B78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5142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</w:tbl>
    <w:p w14:paraId="58AB1D28" w14:textId="77777777" w:rsidR="00B65DBE" w:rsidRPr="003C2AA4" w:rsidRDefault="00B65DBE" w:rsidP="005227F0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3940F56C" w14:textId="3DA10AC8" w:rsidR="003C2AA4" w:rsidRDefault="003C2AA4" w:rsidP="005227F0">
      <w:pPr>
        <w:keepNext/>
        <w:spacing w:before="120"/>
        <w:ind w:left="113" w:right="108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lastRenderedPageBreak/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03.4.74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Investice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do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institucionální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kapacity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gramStart"/>
      <w:r w:rsidRPr="003C2AA4">
        <w:rPr>
          <w:rFonts w:ascii="Arial" w:eastAsia="Arial" w:hAnsi="Arial" w:cs="Arial"/>
          <w:color w:val="000000"/>
          <w:sz w:val="20"/>
        </w:rPr>
        <w:t>a</w:t>
      </w:r>
      <w:proofErr w:type="gram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efektivnosti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veřejné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správy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veřejných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služeb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celostátní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regionální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místní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úrovni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za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účelem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reforem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zlepšování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právní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úpravy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řádné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správy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>.</w:t>
      </w:r>
    </w:p>
    <w:tbl>
      <w:tblPr>
        <w:tblW w:w="15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1880"/>
        <w:gridCol w:w="849"/>
        <w:gridCol w:w="977"/>
        <w:gridCol w:w="973"/>
        <w:gridCol w:w="874"/>
        <w:gridCol w:w="874"/>
        <w:gridCol w:w="874"/>
        <w:gridCol w:w="875"/>
        <w:gridCol w:w="875"/>
        <w:gridCol w:w="875"/>
        <w:gridCol w:w="875"/>
        <w:gridCol w:w="874"/>
        <w:gridCol w:w="874"/>
        <w:gridCol w:w="874"/>
        <w:gridCol w:w="1004"/>
        <w:gridCol w:w="875"/>
      </w:tblGrid>
      <w:tr w:rsidR="00B65DBE" w:rsidRPr="00B65DBE" w14:paraId="4599D3F0" w14:textId="77777777" w:rsidTr="005227F0">
        <w:trPr>
          <w:trHeight w:val="900"/>
          <w:tblHeader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739B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E25E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0010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35C2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3277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D341B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4B4A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3DB2F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C9CD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9231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329E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B5DF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04E2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3196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1E86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D471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CA2A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</w:t>
            </w:r>
          </w:p>
        </w:tc>
      </w:tr>
      <w:tr w:rsidR="00B65DBE" w:rsidRPr="00B65DBE" w14:paraId="3AA709AF" w14:textId="77777777" w:rsidTr="005227F0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47927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9446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D29BB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6BEC7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1BBF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4231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2B353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630B3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</w:tr>
      <w:tr w:rsidR="00B65DBE" w:rsidRPr="00B65DBE" w14:paraId="56DFE849" w14:textId="77777777" w:rsidTr="005227F0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B636E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2392B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A80806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8D379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E5CE8D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1F25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A6B2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D09C3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C633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6740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DAB3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E878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1D3C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5762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32E6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E81D01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AD854E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B65DBE" w:rsidRPr="00B65DBE" w14:paraId="17A60707" w14:textId="77777777" w:rsidTr="005227F0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F2889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2FED1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9652BE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1336A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E550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0E07B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0C0F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7044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B845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FC23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A609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86BED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1529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A4F7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81FB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576E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EC05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</w:tr>
      <w:tr w:rsidR="00B65DBE" w:rsidRPr="00B65DBE" w14:paraId="40E35046" w14:textId="77777777" w:rsidTr="005227F0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85236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6C412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3CDA4D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FAE2A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9543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02BA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77A9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5B87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1572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99BC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92F7B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F388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891BF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C2C2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6668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80FC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20AC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</w:tr>
      <w:tr w:rsidR="00B65DBE" w:rsidRPr="00B65DBE" w14:paraId="76ECE95C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762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19A0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E35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8602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355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19 977,000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18E7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641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9FA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50B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262,000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58E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2 627,000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6522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5 615,000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CA3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2 295,000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D236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45C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178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F0D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10 799,000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0FA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54,057</w:t>
            </w:r>
          </w:p>
        </w:tc>
      </w:tr>
      <w:tr w:rsidR="00B65DBE" w:rsidRPr="00B65DBE" w14:paraId="2BF64042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1713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225D6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66C27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00F7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7BA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BC38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94C3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EA87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18AB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4BC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995,000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C31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2 863,000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04E1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819,000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062F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16F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B46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50B7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4 777,000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CC1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110E1855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BFCE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F28E2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42C4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63B64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84E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E489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49FC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3638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ED72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2FE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1 632,000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7ECB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2 752,000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FFD4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1 476,000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180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CE3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D4D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07E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6 022,000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2EC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1B92C2A7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236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3454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51E8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701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5378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2 006,000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4F5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AF3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B44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83BA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D3F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296,000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21B3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42A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195,000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3FB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9CA1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84D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CD3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1 142,000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E87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56,929</w:t>
            </w:r>
          </w:p>
        </w:tc>
      </w:tr>
      <w:tr w:rsidR="00B65DBE" w:rsidRPr="00B65DBE" w14:paraId="6CDBB4BE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23FD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97ACF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D255D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507F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017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82CA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6481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8FF4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583C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E673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95,000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A08E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B66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551A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A1FC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D4C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10A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381,000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337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64B165C5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1C18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593BA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52E5B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45C9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4AB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C7FB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B4CA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90BC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561A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F27E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A3DD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420,000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2CC5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127,000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6667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5F84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2070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0FA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761,000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57D3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7255D68E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18A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68000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693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institucí podpořených za účelem zavedení opatření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B68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instituce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343F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2163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615,000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A44F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5B36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FEB8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1,770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737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99,180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5DA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65,810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4C5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251,270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B2A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238,160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377E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C8EF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5B21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CCDD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656,190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0D5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106,698</w:t>
            </w:r>
          </w:p>
        </w:tc>
      </w:tr>
      <w:tr w:rsidR="00B65DBE" w:rsidRPr="00B65DBE" w14:paraId="59A7FBB2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1508A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F93A2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386A9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5F0CB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74E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EF4B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FF36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13E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826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4C9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112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C5E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C2CB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8E1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332B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58B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1543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7D623F45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FCD5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4FE6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0D56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72F9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9EB5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6D5A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42F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AD8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F364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8BD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EBFB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D14E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20A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C9ED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F88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F2A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304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3BDAD68B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3E7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68000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339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institucí podpořených za účelem zavedení opatření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E47C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instituce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3C3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10E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0D0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C148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CD3E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0,230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936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9,820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60C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6,190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F50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8,730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10F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5,840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BC47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242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D310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8D8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30,810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42FC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48,905</w:t>
            </w:r>
          </w:p>
        </w:tc>
      </w:tr>
      <w:tr w:rsidR="00B65DBE" w:rsidRPr="00B65DBE" w14:paraId="18E9FBA0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561C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4A32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3C7D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A55CB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BBE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8EC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0A6D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5C4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E51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8B8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C02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C43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944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521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5F4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A98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7350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39DBC8B6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6F7C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3D42A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39A1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B943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1CFC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0DC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965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A260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D0B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9A7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46E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1430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4AE0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C1A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3CFF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AAA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478D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725F8527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BF5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68001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428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institucí podpořených za účelem zavedení opatření v oblasti řízení kvality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DBD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instituce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841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614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F09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4D6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815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0E4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D0B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8,050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7EFE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33,300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B337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CE5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D53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D25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C15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51,350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5AB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177,069</w:t>
            </w:r>
          </w:p>
        </w:tc>
      </w:tr>
      <w:tr w:rsidR="00B65DBE" w:rsidRPr="00B65DBE" w14:paraId="7E70825A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41A6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F50D2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05513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0903C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5CA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6980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3668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8AB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4168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16C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3B30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BCC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344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3A2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9FC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371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61DC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0BAEBEA4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59F9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086F7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8517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4A0F0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86B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FE80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554A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E152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AFF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CB2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804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6AE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BEB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652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052C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3517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9012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1CDCE437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624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68001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A5F2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institucí podpořených za účelem zavedení opatření v oblasti řízení kvality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171E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instituce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564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5EE8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89A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1A1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CE9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B36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FDC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2,950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1A3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2,700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255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5C6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1D7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BCA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9CB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5,650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BD73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188,333</w:t>
            </w:r>
          </w:p>
        </w:tc>
      </w:tr>
      <w:tr w:rsidR="00B65DBE" w:rsidRPr="00B65DBE" w14:paraId="5EC03821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BD1D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1D35D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736B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A305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661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CDE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3A2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0EF5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C7A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D013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5B4E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A457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5CA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F5E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2247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ED3B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DA49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279F4523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362CD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23E2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F7D53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B271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CF0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2D1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BA5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027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34B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8639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346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5B3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458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2A2F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A8E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80D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D6B6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2975AA50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11F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68002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86F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institucí podpořených za účelem zavedení </w:t>
            </w:r>
            <w:proofErr w:type="gramStart"/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opatření  v</w:t>
            </w:r>
            <w:proofErr w:type="gramEnd"/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oblasti strategického a projektového řízení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CB7C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instituce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44B8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5C7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301,000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41C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705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F18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ABA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24,880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020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51,820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AB8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173,750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4343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232,700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4700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AD06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DB2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D213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483,150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387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160,515</w:t>
            </w:r>
          </w:p>
        </w:tc>
      </w:tr>
      <w:tr w:rsidR="00B65DBE" w:rsidRPr="00B65DBE" w14:paraId="5FB77795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37DC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CD166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168D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F46B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888B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8AB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FA6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9B75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6C9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54A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622B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D27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C44F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B01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A04D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9018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715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0D2D7BD7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387B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294EB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BEA6C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107B9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B67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6A5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67A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AE1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D61B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A339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8CC2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519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FA84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96B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F22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4C69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3AB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2D31C90D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962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68002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7F6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Počet institucí podpořených za účelem zavedení </w:t>
            </w:r>
            <w:proofErr w:type="gramStart"/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opatření  v</w:t>
            </w:r>
            <w:proofErr w:type="gramEnd"/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 oblasti strategického a projektového řízení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855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instituce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2C8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6D29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9117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E7A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7FC5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77DC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0,120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FB2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3,180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D3DF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7,250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1AE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2,300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03D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DC2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A422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862F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12,850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F87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42,833</w:t>
            </w:r>
          </w:p>
        </w:tc>
      </w:tr>
      <w:tr w:rsidR="00B65DBE" w:rsidRPr="00B65DBE" w14:paraId="734AC69D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AB1F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9609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A516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209A4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B7DC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B31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FA6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301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3A0B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AB4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06C4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5FE2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4511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FCA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3907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24B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E01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2C65DF2A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B2581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EA494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A7B0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1F22B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2EE5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5A1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0D11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349C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26E6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0D3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952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072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454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32F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D72E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3E4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A16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12D863E8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1EC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68003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DA8C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institucí podpořených za účelem zavedení opatření v oblasti procesního modelování agend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331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instituce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0B2F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DC85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07B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2F8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6C1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A51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61FD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AB8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5DF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AE1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99D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8E0F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65B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966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2973CA0B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D6C2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AA3EA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33430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EFE7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16E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FA4A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D43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2BC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375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251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0D0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08E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8E3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710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C5C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E427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E3C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70AF371D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1ADAC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86C9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9FA2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7F61B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B3B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F9EE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679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3F3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8FB2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553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A32D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C3DD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1B2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A4A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17C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BD10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EC4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26060007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2380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lastRenderedPageBreak/>
              <w:t>68003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BB4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institucí podpořených za účelem zavedení opatření v oblasti procesního modelování agend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BA99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instituce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6052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C0A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6B1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0F3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054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126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7C9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DB85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F69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F62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A38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A9A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A6C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760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4C60B37A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BCE5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6758C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602E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6ABA6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C54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50C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363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A7D2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F32F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29DE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340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0EA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B38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704C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6CD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F68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858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2733AC19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D234B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C87A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2CD63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2350B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D6D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D57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453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0124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ABEF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871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4F8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91F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57E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5860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380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2AD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5C92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41C30E4D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E126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68004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B7C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institucí podpořených za účelem zavedení opatření v oblasti moderního řízení lidských zdrojů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25E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instituce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5D5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1BCD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156,000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C0A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4E0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C16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87B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D83C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116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50A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41,680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BAA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E00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D39D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2B1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66,680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2109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42,744</w:t>
            </w:r>
          </w:p>
        </w:tc>
      </w:tr>
      <w:tr w:rsidR="00B65DBE" w:rsidRPr="00B65DBE" w14:paraId="5319610C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08889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C38C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A3DB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AEB47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E971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475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A35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B04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B566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BFB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655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F55C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DD6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727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3CB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CCC9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7DD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6B77331C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CFA6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0051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A0D10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7FA28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FC9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92E1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AA84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CB1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837B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E81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589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20E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3F58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0540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46BA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2E11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175F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3A600EB6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0A3B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68004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AF1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institucí podpořených za účelem zavedení opatření v oblasti moderního řízení lidských zdrojů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2E9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instituce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23A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C4D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50A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D81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670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8849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35C0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B48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0E1D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5,320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729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D12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9141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4912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7,320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FE2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48,800</w:t>
            </w:r>
          </w:p>
        </w:tc>
      </w:tr>
      <w:tr w:rsidR="00B65DBE" w:rsidRPr="00B65DBE" w14:paraId="2A8B8C3B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212F3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1D155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C7911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57F2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378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D4F5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AF2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D45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4F1F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3F9C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5D9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789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2B0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184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8E9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602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FF0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0F8B6314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F815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627CA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5623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5DDB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0B4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788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C56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F47A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AAD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8D0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76E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535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0F8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DA3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8A6A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D28A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A6E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1F424115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BF7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80500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4A3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napsaných a zveřejněných analytických a strategických dokumentů (vč. evaluačních)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50D5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Dokumenty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D71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4DF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684,000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2C8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7C5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401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9,670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DD50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63,020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2E2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193,680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97D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653,000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E8DA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618,525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9C2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D805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EF4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ACD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1 537,895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7833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224,838</w:t>
            </w:r>
          </w:p>
        </w:tc>
      </w:tr>
      <w:tr w:rsidR="00B65DBE" w:rsidRPr="00B65DBE" w14:paraId="76E2F71E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7838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D445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3418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F4B66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72EC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E84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DC8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1BD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813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C011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358C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A5D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74F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A4A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6B01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AA3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897C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4DAD2F3D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F2D9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4BEB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549A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63C1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1F3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81E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525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A6C4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916B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86CE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A34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879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8EA3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F61C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08E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583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143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332427C5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05EA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80500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91D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napsaných a zveřejněných analytických a strategických dokumentů (vč. evaluačních)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3AE0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Dokumenty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329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AD1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66,000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03E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7A4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03A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1,300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EB8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2,600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42A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11,740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11D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33,000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F058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31,475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4BEA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2CAA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48B1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837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80,115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92A9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121,386</w:t>
            </w:r>
          </w:p>
        </w:tc>
      </w:tr>
      <w:tr w:rsidR="00B65DBE" w:rsidRPr="00B65DBE" w14:paraId="2C588DAD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16718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0E346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CACD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7F2C50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D71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FB25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D91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5D7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D8AF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7B9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597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970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946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7321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891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C8D3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809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0E4A101D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3FEC8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60F5B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F5A0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EE862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7EE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02E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D8E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8A8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45D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33E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387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8869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4D0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018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233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8849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802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</w:tbl>
    <w:p w14:paraId="66276788" w14:textId="77777777" w:rsidR="00B65DBE" w:rsidRPr="003C2AA4" w:rsidRDefault="00B65DBE" w:rsidP="005227F0">
      <w:pPr>
        <w:ind w:left="113" w:right="108"/>
        <w:jc w:val="both"/>
        <w:rPr>
          <w:rFonts w:ascii="Arial" w:eastAsia="Arial" w:hAnsi="Arial" w:cs="Arial"/>
          <w:color w:val="000000"/>
          <w:sz w:val="20"/>
        </w:rPr>
      </w:pPr>
    </w:p>
    <w:p w14:paraId="3C57BF26" w14:textId="77777777" w:rsidR="003C2AA4" w:rsidRPr="003C2AA4" w:rsidRDefault="003C2AA4" w:rsidP="005227F0">
      <w:pPr>
        <w:keepNext/>
        <w:spacing w:before="120"/>
        <w:ind w:left="113" w:right="108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color w:val="000000"/>
          <w:sz w:val="20"/>
        </w:rPr>
        <w:t>Investiční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priorita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: 03.5.125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Technická</w:t>
      </w:r>
      <w:proofErr w:type="spellEnd"/>
      <w:r w:rsidRPr="003C2AA4"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20"/>
        </w:rPr>
        <w:t>pomoc</w:t>
      </w:r>
      <w:proofErr w:type="spellEnd"/>
    </w:p>
    <w:tbl>
      <w:tblPr>
        <w:tblW w:w="15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1803"/>
        <w:gridCol w:w="849"/>
        <w:gridCol w:w="977"/>
        <w:gridCol w:w="895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1004"/>
        <w:gridCol w:w="874"/>
      </w:tblGrid>
      <w:tr w:rsidR="00B65DBE" w:rsidRPr="00B65DBE" w14:paraId="6926A4D7" w14:textId="77777777" w:rsidTr="005227F0">
        <w:trPr>
          <w:trHeight w:val="900"/>
          <w:tblHeader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B909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707C3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Indikátor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196EF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8398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 (je-li relevantní)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3965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B0DC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B548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73182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3405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803AD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1D4E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229B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826D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76851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9AD3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6DCE3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 (vypočítána automaticky)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4DC5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Míra splnění</w:t>
            </w:r>
          </w:p>
        </w:tc>
      </w:tr>
      <w:tr w:rsidR="00B65DBE" w:rsidRPr="00B65DBE" w14:paraId="4E09F0AD" w14:textId="77777777" w:rsidTr="005227F0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EA9C5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39FFE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D9A4E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83AB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90F2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7822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88EA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53B8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</w:tr>
      <w:tr w:rsidR="00B65DBE" w:rsidRPr="00B65DBE" w14:paraId="18AE0FA3" w14:textId="77777777" w:rsidTr="005227F0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30B11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C6C6E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8AF79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83EE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22C89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34CE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9F83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2FABD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A126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1E3C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BE64B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E8A0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25D5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4169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48BD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C53B75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869925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B65DBE" w:rsidRPr="00B65DBE" w14:paraId="132107DC" w14:textId="77777777" w:rsidTr="005227F0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AA8F8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11A3F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8A8CC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5FA4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205F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CE54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5708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B7FD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3C11B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4018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B4DEB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8FADA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C45C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EA3B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A651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4E82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A7D2D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</w:tr>
      <w:tr w:rsidR="00B65DBE" w:rsidRPr="00B65DBE" w14:paraId="71BD2A37" w14:textId="77777777" w:rsidTr="005227F0">
        <w:trPr>
          <w:trHeight w:val="24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73499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9BBD4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7A3BB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13678" w14:textId="77777777" w:rsidR="00B65DBE" w:rsidRPr="00B65DBE" w:rsidRDefault="00B65DBE" w:rsidP="00B65DBE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364E5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29417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7E33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56D6F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3FFB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6A2EB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4E02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6DB6E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CE07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BA5A6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E8D2C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AAFD8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8C9A9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</w:tr>
      <w:tr w:rsidR="00B65DBE" w:rsidRPr="00B65DBE" w14:paraId="00EED7C4" w14:textId="77777777" w:rsidTr="00B65DBE">
        <w:trPr>
          <w:trHeight w:val="24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6750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07C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70F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E68E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NR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ABF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700,000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3803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BB7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676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6AEB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549,000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9633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86,000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032C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64,000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921E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403,000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C54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F70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AB74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5589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1 102,000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44C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157,429</w:t>
            </w:r>
          </w:p>
        </w:tc>
      </w:tr>
      <w:tr w:rsidR="00B65DBE" w:rsidRPr="00B65DBE" w14:paraId="6045608F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D8356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5509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7086B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EC211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8C0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EE17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CE59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12E7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F9BA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143,000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90D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57E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123E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87,000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B08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3A2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E7D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549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258,000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A42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484A5BC5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644B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D6D02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B964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C0C0E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ACF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D4EA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F80B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8AAF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2B29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406,000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96EC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66,000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4C5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56,000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781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316,000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856D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1DF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7ED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9224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844,000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F23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</w:tr>
      <w:tr w:rsidR="00B65DBE" w:rsidRPr="00B65DBE" w14:paraId="2FA9C3F0" w14:textId="77777777" w:rsidTr="00B65DBE">
        <w:trPr>
          <w:trHeight w:val="233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7BB4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lastRenderedPageBreak/>
              <w:t>80500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9689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napsaných a zveřejněných analytických a strategických dokumentů (vč. evaluačních)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0E00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Dokumenty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749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NR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C5B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5AD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AD6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4D99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F33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A572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E170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748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DAC2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2BAA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F41A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8B3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BE3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100,000</w:t>
            </w:r>
          </w:p>
        </w:tc>
      </w:tr>
      <w:tr w:rsidR="00B65DBE" w:rsidRPr="00B65DBE" w14:paraId="18CCD0FE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CE943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A085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BF723C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8E464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13D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121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485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A2A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A11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6AB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BE0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3B6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AEB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7E1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E6A9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9B2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72B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2D7678EB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A531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D1DF9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7B559D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900C8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5C2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239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6749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37D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F5BF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094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835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C5E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D6D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4624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2C0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505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375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612011FD" w14:textId="77777777" w:rsidTr="00B65DBE">
        <w:trPr>
          <w:trHeight w:val="233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99C53" w14:textId="77777777" w:rsidR="00B65DBE" w:rsidRPr="00B65DBE" w:rsidRDefault="00B65DBE" w:rsidP="00B65DBE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82000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E48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uskutečněných školení, seminářů, workshopů a konferencí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2114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Aktivity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BD6C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NR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B7A51" w14:textId="212B0E09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</w:t>
            </w:r>
            <w:r w:rsidR="001C0A6D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</w:t>
            </w: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5017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D53F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8A1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53,000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5A2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95,000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2A24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82,000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327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43,000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4F3BF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AB2B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8715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112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B43C1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282,000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2D5C" w14:textId="4FEF10DC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</w:t>
            </w:r>
            <w:r w:rsidR="009F13C1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00,7</w:t>
            </w:r>
          </w:p>
        </w:tc>
      </w:tr>
      <w:tr w:rsidR="00B65DBE" w:rsidRPr="00B65DBE" w14:paraId="0FCC2269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5F0282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F008C6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D5BB7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042F6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7DE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C796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6F9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43EE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2EB4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82F1A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3B00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674C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8852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325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DE3A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3CE5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DADD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B65DBE" w:rsidRPr="00B65DBE" w14:paraId="6F9B9739" w14:textId="77777777" w:rsidTr="00B65DBE">
        <w:trPr>
          <w:trHeight w:val="24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0CC9F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6A543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BEC958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3EEBD1" w14:textId="77777777" w:rsidR="00B65DBE" w:rsidRPr="00B65DBE" w:rsidRDefault="00B65DBE" w:rsidP="00B65DBE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9894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D575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0EEF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CD7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58134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8C39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228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2606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8B8A3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3D08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1FA1B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9902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98E0" w14:textId="77777777" w:rsidR="00B65DBE" w:rsidRPr="00B65DBE" w:rsidRDefault="00B65DBE" w:rsidP="00B65DBE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B65DBE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</w:tbl>
    <w:p w14:paraId="1D816114" w14:textId="77777777" w:rsidR="003C2AA4" w:rsidRPr="003C2AA4" w:rsidRDefault="003C2AA4" w:rsidP="003C2AA4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0775FB82" w14:textId="77777777" w:rsidR="003C2AA4" w:rsidRPr="003C2AA4" w:rsidRDefault="003C2AA4" w:rsidP="003C2AA4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543E6964" w14:textId="77777777" w:rsidR="003C2AA4" w:rsidRPr="003C2AA4" w:rsidRDefault="003C2AA4" w:rsidP="003C2AA4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>----------------------------------------------------</w:t>
      </w:r>
    </w:p>
    <w:p w14:paraId="795DFFE2" w14:textId="034D46B4" w:rsidR="003C2AA4" w:rsidRDefault="003C2AA4" w:rsidP="003C2AA4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 xml:space="preserve">9 -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Strukturované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údaje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požadované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zprávu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o YEI,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která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má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být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předložena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dubnu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2015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souladu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s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čl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19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odst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3 a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přílohou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II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nařízení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(EU) č. 1304/2013.</w:t>
      </w:r>
    </w:p>
    <w:p w14:paraId="469E24E8" w14:textId="069FA568" w:rsidR="00CE70C5" w:rsidRDefault="00CE70C5" w:rsidP="003C2AA4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</w:rPr>
      </w:pPr>
    </w:p>
    <w:p w14:paraId="359947D2" w14:textId="5465103D" w:rsidR="00CE70C5" w:rsidRDefault="00CE70C5" w:rsidP="003C2AA4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</w:rPr>
      </w:pPr>
    </w:p>
    <w:p w14:paraId="442CE2E7" w14:textId="0909A398" w:rsidR="00CE70C5" w:rsidRDefault="00CE70C5" w:rsidP="003C2AA4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</w:rPr>
      </w:pPr>
    </w:p>
    <w:p w14:paraId="51D5B25E" w14:textId="0E28AA2D" w:rsidR="00CE70C5" w:rsidRDefault="00CE70C5" w:rsidP="003C2AA4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</w:rPr>
      </w:pPr>
    </w:p>
    <w:p w14:paraId="491534A6" w14:textId="4D9195E7" w:rsidR="00CE70C5" w:rsidRDefault="00CE70C5" w:rsidP="003C2AA4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</w:rPr>
      </w:pPr>
    </w:p>
    <w:p w14:paraId="65309156" w14:textId="782A2E9D" w:rsidR="00CE70C5" w:rsidRDefault="00CE70C5" w:rsidP="003C2AA4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</w:rPr>
      </w:pPr>
    </w:p>
    <w:p w14:paraId="054B3706" w14:textId="318A8991" w:rsidR="00E0096B" w:rsidRDefault="00E0096B" w:rsidP="003C2AA4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</w:rPr>
      </w:pPr>
    </w:p>
    <w:p w14:paraId="2ACC55D8" w14:textId="7C0614F5" w:rsidR="00E0096B" w:rsidRDefault="00E0096B" w:rsidP="003C2AA4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</w:rPr>
      </w:pPr>
    </w:p>
    <w:p w14:paraId="105F04E0" w14:textId="284AC13F" w:rsidR="00E0096B" w:rsidRDefault="00E0096B" w:rsidP="003C2AA4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</w:rPr>
      </w:pPr>
    </w:p>
    <w:p w14:paraId="56E44662" w14:textId="0E6CF5CC" w:rsidR="00E0096B" w:rsidRDefault="00E0096B" w:rsidP="003C2AA4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</w:rPr>
      </w:pPr>
    </w:p>
    <w:p w14:paraId="051E3E92" w14:textId="74532800" w:rsidR="00E0096B" w:rsidRDefault="00E0096B" w:rsidP="003C2AA4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</w:rPr>
      </w:pPr>
    </w:p>
    <w:p w14:paraId="35327459" w14:textId="6BA646FB" w:rsidR="00E0096B" w:rsidRDefault="00E0096B" w:rsidP="003C2AA4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</w:rPr>
      </w:pPr>
    </w:p>
    <w:p w14:paraId="64FE046A" w14:textId="7FFC52CF" w:rsidR="00E0096B" w:rsidRDefault="00E0096B" w:rsidP="003C2AA4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</w:rPr>
      </w:pPr>
    </w:p>
    <w:p w14:paraId="0E01DC84" w14:textId="77777777" w:rsidR="00E0096B" w:rsidRDefault="00E0096B" w:rsidP="003C2AA4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</w:rPr>
      </w:pPr>
    </w:p>
    <w:p w14:paraId="4746C405" w14:textId="77777777" w:rsidR="00CE70C5" w:rsidRPr="00CE70C5" w:rsidRDefault="00CE70C5" w:rsidP="003C2AA4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</w:rPr>
      </w:pPr>
    </w:p>
    <w:p w14:paraId="262E8A26" w14:textId="77777777" w:rsidR="003C2AA4" w:rsidRPr="003C2AA4" w:rsidRDefault="003C2AA4" w:rsidP="001844FB">
      <w:pPr>
        <w:pStyle w:val="Nadpis2"/>
      </w:pPr>
      <w:proofErr w:type="spellStart"/>
      <w:r w:rsidRPr="003C2AA4">
        <w:lastRenderedPageBreak/>
        <w:t>Milníky</w:t>
      </w:r>
      <w:proofErr w:type="spellEnd"/>
      <w:r w:rsidRPr="003C2AA4">
        <w:t xml:space="preserve"> a </w:t>
      </w:r>
      <w:proofErr w:type="spellStart"/>
      <w:r w:rsidRPr="003C2AA4">
        <w:t>cíle</w:t>
      </w:r>
      <w:proofErr w:type="spellEnd"/>
      <w:r w:rsidRPr="003C2AA4">
        <w:t xml:space="preserve"> </w:t>
      </w:r>
      <w:proofErr w:type="spellStart"/>
      <w:r w:rsidRPr="003C2AA4">
        <w:t>stanovené</w:t>
      </w:r>
      <w:proofErr w:type="spellEnd"/>
      <w:r w:rsidRPr="003C2AA4">
        <w:t xml:space="preserve"> </w:t>
      </w:r>
      <w:proofErr w:type="spellStart"/>
      <w:r w:rsidRPr="003C2AA4">
        <w:t>ve</w:t>
      </w:r>
      <w:proofErr w:type="spellEnd"/>
      <w:r w:rsidRPr="003C2AA4">
        <w:t xml:space="preserve"> </w:t>
      </w:r>
      <w:proofErr w:type="spellStart"/>
      <w:r w:rsidRPr="003C2AA4">
        <w:t>výkonnostním</w:t>
      </w:r>
      <w:proofErr w:type="spellEnd"/>
      <w:r w:rsidRPr="003C2AA4">
        <w:t xml:space="preserve"> </w:t>
      </w:r>
      <w:proofErr w:type="spellStart"/>
      <w:r w:rsidRPr="003C2AA4">
        <w:t>rámci</w:t>
      </w:r>
      <w:proofErr w:type="spellEnd"/>
      <w:r w:rsidRPr="003C2AA4">
        <w:t xml:space="preserve"> (</w:t>
      </w:r>
      <w:proofErr w:type="spellStart"/>
      <w:r w:rsidRPr="003C2AA4">
        <w:t>čl</w:t>
      </w:r>
      <w:proofErr w:type="spellEnd"/>
      <w:r w:rsidRPr="003C2AA4">
        <w:t xml:space="preserve">. 50 </w:t>
      </w:r>
      <w:proofErr w:type="spellStart"/>
      <w:r w:rsidRPr="003C2AA4">
        <w:t>odst</w:t>
      </w:r>
      <w:proofErr w:type="spellEnd"/>
      <w:r w:rsidRPr="003C2AA4">
        <w:t xml:space="preserve">. 2 </w:t>
      </w:r>
      <w:proofErr w:type="spellStart"/>
      <w:r w:rsidRPr="003C2AA4">
        <w:t>nařízení</w:t>
      </w:r>
      <w:proofErr w:type="spellEnd"/>
      <w:r w:rsidRPr="003C2AA4">
        <w:t xml:space="preserve"> (EU) č. 1303/2013) – </w:t>
      </w:r>
      <w:proofErr w:type="spellStart"/>
      <w:r w:rsidRPr="003C2AA4">
        <w:t>předloženo</w:t>
      </w:r>
      <w:proofErr w:type="spellEnd"/>
      <w:r w:rsidRPr="003C2AA4">
        <w:t xml:space="preserve"> </w:t>
      </w:r>
      <w:proofErr w:type="spellStart"/>
      <w:r w:rsidRPr="003C2AA4">
        <w:t>ve</w:t>
      </w:r>
      <w:proofErr w:type="spellEnd"/>
      <w:r w:rsidRPr="003C2AA4">
        <w:t xml:space="preserve"> </w:t>
      </w:r>
      <w:proofErr w:type="spellStart"/>
      <w:r w:rsidRPr="003C2AA4">
        <w:t>výročních</w:t>
      </w:r>
      <w:proofErr w:type="spellEnd"/>
      <w:r w:rsidRPr="003C2AA4">
        <w:t xml:space="preserve"> </w:t>
      </w:r>
      <w:proofErr w:type="spellStart"/>
      <w:r w:rsidRPr="003C2AA4">
        <w:t>zprávách</w:t>
      </w:r>
      <w:proofErr w:type="spellEnd"/>
      <w:r w:rsidRPr="003C2AA4">
        <w:t xml:space="preserve"> o </w:t>
      </w:r>
      <w:proofErr w:type="spellStart"/>
      <w:r w:rsidRPr="003C2AA4">
        <w:t>implementaci</w:t>
      </w:r>
      <w:proofErr w:type="spellEnd"/>
      <w:r w:rsidRPr="003C2AA4">
        <w:t xml:space="preserve"> od </w:t>
      </w:r>
      <w:proofErr w:type="spellStart"/>
      <w:r w:rsidRPr="003C2AA4">
        <w:t>roku</w:t>
      </w:r>
      <w:proofErr w:type="spellEnd"/>
      <w:r w:rsidRPr="003C2AA4">
        <w:t xml:space="preserve"> 2017</w:t>
      </w:r>
    </w:p>
    <w:p w14:paraId="79785815" w14:textId="00DAC352" w:rsidR="003C2AA4" w:rsidRPr="003C2AA4" w:rsidRDefault="00495069" w:rsidP="00CE70C5">
      <w:pPr>
        <w:ind w:left="115" w:right="812"/>
        <w:jc w:val="both"/>
        <w:rPr>
          <w:rFonts w:ascii="Arial" w:eastAsia="Arial" w:hAnsi="Arial" w:cs="Arial"/>
          <w:color w:val="000000"/>
          <w:sz w:val="20"/>
        </w:rPr>
      </w:pPr>
      <w:proofErr w:type="spellStart"/>
      <w:r>
        <w:rPr>
          <w:rFonts w:ascii="Arial" w:eastAsia="Arial" w:hAnsi="Arial" w:cs="Arial"/>
          <w:color w:val="000000"/>
          <w:sz w:val="20"/>
        </w:rPr>
        <w:t>Poskytnutí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údajů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o </w:t>
      </w:r>
      <w:proofErr w:type="spellStart"/>
      <w:r>
        <w:rPr>
          <w:rFonts w:ascii="Arial" w:eastAsia="Arial" w:hAnsi="Arial" w:cs="Arial"/>
          <w:color w:val="000000"/>
          <w:sz w:val="20"/>
        </w:rPr>
        <w:t>finančních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ukazatelích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</w:rPr>
        <w:t>klíčových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prováděcích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krocích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</w:rPr>
        <w:t>indikátorech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výstupů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20"/>
        </w:rPr>
        <w:t>výsledků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jako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milníků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20"/>
        </w:rPr>
        <w:t>cílů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pro </w:t>
      </w:r>
      <w:proofErr w:type="spellStart"/>
      <w:r>
        <w:rPr>
          <w:rFonts w:ascii="Arial" w:eastAsia="Arial" w:hAnsi="Arial" w:cs="Arial"/>
          <w:color w:val="000000"/>
          <w:sz w:val="20"/>
        </w:rPr>
        <w:t>výkonnostní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rámec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(</w:t>
      </w:r>
      <w:proofErr w:type="spellStart"/>
      <w:r>
        <w:rPr>
          <w:rFonts w:ascii="Arial" w:eastAsia="Arial" w:hAnsi="Arial" w:cs="Arial"/>
          <w:color w:val="000000"/>
          <w:sz w:val="20"/>
        </w:rPr>
        <w:t>počínaje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zprávami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</w:rPr>
        <w:t>které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mají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být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předloženy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v </w:t>
      </w:r>
      <w:proofErr w:type="spellStart"/>
      <w:r>
        <w:rPr>
          <w:rFonts w:ascii="Arial" w:eastAsia="Arial" w:hAnsi="Arial" w:cs="Arial"/>
          <w:color w:val="000000"/>
          <w:sz w:val="20"/>
        </w:rPr>
        <w:t>roce</w:t>
      </w:r>
      <w:proofErr w:type="spellEnd"/>
      <w:r>
        <w:rPr>
          <w:rFonts w:ascii="Arial" w:eastAsia="Arial" w:hAnsi="Arial" w:cs="Arial"/>
          <w:color w:val="000000"/>
          <w:sz w:val="20"/>
        </w:rPr>
        <w:t> 2017).</w:t>
      </w:r>
    </w:p>
    <w:p w14:paraId="18D813F2" w14:textId="266302FA" w:rsidR="003C2AA4" w:rsidRDefault="003C2AA4" w:rsidP="003C2AA4">
      <w:pPr>
        <w:keepNext/>
        <w:tabs>
          <w:tab w:val="left" w:pos="1675"/>
        </w:tabs>
        <w:ind w:left="115" w:right="106"/>
        <w:rPr>
          <w:rFonts w:ascii="Arial" w:eastAsia="Arial" w:hAnsi="Arial" w:cs="Arial"/>
          <w:b/>
          <w:bCs/>
          <w:i/>
          <w:iCs/>
          <w:color w:val="000000"/>
          <w:sz w:val="20"/>
        </w:rPr>
      </w:pP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Tabulka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5: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Informace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o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milnících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a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cílech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stanovených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ve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výkonnostním</w:t>
      </w:r>
      <w:proofErr w:type="spellEnd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 w:rsidRPr="003C2AA4">
        <w:rPr>
          <w:rFonts w:ascii="Arial" w:eastAsia="Arial" w:hAnsi="Arial" w:cs="Arial"/>
          <w:b/>
          <w:bCs/>
          <w:i/>
          <w:iCs/>
          <w:color w:val="000000"/>
          <w:sz w:val="20"/>
        </w:rPr>
        <w:t>rámci</w:t>
      </w:r>
      <w:proofErr w:type="spellEnd"/>
    </w:p>
    <w:tbl>
      <w:tblPr>
        <w:tblW w:w="159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8"/>
        <w:gridCol w:w="782"/>
        <w:gridCol w:w="710"/>
        <w:gridCol w:w="1066"/>
        <w:gridCol w:w="763"/>
        <w:gridCol w:w="679"/>
        <w:gridCol w:w="934"/>
        <w:gridCol w:w="919"/>
        <w:gridCol w:w="919"/>
        <w:gridCol w:w="8"/>
        <w:gridCol w:w="631"/>
        <w:gridCol w:w="639"/>
        <w:gridCol w:w="841"/>
        <w:gridCol w:w="820"/>
        <w:gridCol w:w="799"/>
        <w:gridCol w:w="892"/>
        <w:gridCol w:w="789"/>
        <w:gridCol w:w="736"/>
        <w:gridCol w:w="736"/>
        <w:gridCol w:w="738"/>
        <w:gridCol w:w="833"/>
        <w:gridCol w:w="8"/>
      </w:tblGrid>
      <w:tr w:rsidR="005D05D6" w:rsidRPr="005D05D6" w14:paraId="402E1228" w14:textId="77777777" w:rsidTr="00CC637D">
        <w:trPr>
          <w:trHeight w:val="327"/>
          <w:tblHeader/>
        </w:trPr>
        <w:tc>
          <w:tcPr>
            <w:tcW w:w="72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99A789B" w14:textId="77777777" w:rsidR="005D05D6" w:rsidRPr="005D05D6" w:rsidRDefault="005D05D6" w:rsidP="005D05D6">
            <w:pPr>
              <w:jc w:val="center"/>
              <w:rPr>
                <w:rFonts w:ascii="Calibri" w:eastAsia="Times New Roman" w:hAnsi="Calibri" w:cs="Calibri"/>
                <w:color w:val="000000"/>
                <w:lang w:val="cs-CZ" w:eastAsia="cs-CZ"/>
              </w:rPr>
            </w:pPr>
            <w:r w:rsidRPr="005D05D6">
              <w:rPr>
                <w:rFonts w:ascii="Calibri" w:eastAsia="Times New Roman" w:hAnsi="Calibri" w:cs="Calibri"/>
                <w:color w:val="000000"/>
                <w:lang w:val="cs-CZ" w:eastAsia="cs-CZ"/>
              </w:rPr>
              <w:t> </w:t>
            </w:r>
          </w:p>
        </w:tc>
        <w:tc>
          <w:tcPr>
            <w:tcW w:w="871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611B3DE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Dosažená hodnota *</w:t>
            </w:r>
          </w:p>
        </w:tc>
      </w:tr>
      <w:tr w:rsidR="005D05D6" w:rsidRPr="005D05D6" w14:paraId="09681705" w14:textId="77777777" w:rsidTr="00CC637D">
        <w:trPr>
          <w:gridAfter w:val="1"/>
          <w:wAfter w:w="9" w:type="dxa"/>
          <w:trHeight w:val="327"/>
          <w:tblHeader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B5F73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Prioritní osa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098D3B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Druh ukazatele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7BCABB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ID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1D278D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Ukazatel nebo klíčový prováděcí krok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8307DD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Měrná jednotka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D19999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Fond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FE8D92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Kategorie regionu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8A1824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Milník pro rok 2018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D11E4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Cílová hodnota (2023)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34387D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67D307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76F2F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114E64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936F4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BE2CC0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2019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C769C3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313788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2C2025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D9E6B6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2023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74A199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 xml:space="preserve">Vysvětlení (v </w:t>
            </w:r>
            <w:proofErr w:type="spellStart"/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přadě</w:t>
            </w:r>
            <w:proofErr w:type="spellEnd"/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 xml:space="preserve"> potřeby)</w:t>
            </w:r>
          </w:p>
        </w:tc>
      </w:tr>
      <w:tr w:rsidR="005D05D6" w:rsidRPr="005D05D6" w14:paraId="7C22A02E" w14:textId="77777777" w:rsidTr="00CC637D">
        <w:trPr>
          <w:gridAfter w:val="1"/>
          <w:wAfter w:w="6" w:type="dxa"/>
          <w:trHeight w:val="327"/>
          <w:tblHeader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47C346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1B57EE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0916E9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C0AD20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BEA594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E2E979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237E1B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A99FA9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5EE5AC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7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B9DB1B5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Roční hodnota</w:t>
            </w:r>
          </w:p>
        </w:tc>
        <w:tc>
          <w:tcPr>
            <w:tcW w:w="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B72566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D05D6" w:rsidRPr="005D05D6" w14:paraId="3BC3F7F4" w14:textId="77777777" w:rsidTr="00CC637D">
        <w:trPr>
          <w:gridAfter w:val="1"/>
          <w:wAfter w:w="9" w:type="dxa"/>
          <w:trHeight w:val="389"/>
          <w:tblHeader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67F4A7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2192E5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0D2812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C6FBF3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BC8912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E351AE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C14764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DCB698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55DB62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9CE033C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F5EFD53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A291B8B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612546D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83DA486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FDD9B18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393CFA5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891C461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B27BC78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E760B8F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A616C2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D05D6" w:rsidRPr="005D05D6" w14:paraId="72AF6871" w14:textId="77777777" w:rsidTr="00CC637D">
        <w:trPr>
          <w:gridAfter w:val="1"/>
          <w:wAfter w:w="9" w:type="dxa"/>
          <w:trHeight w:val="327"/>
          <w:tblHeader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0C1F8F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239B93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141C16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864EFB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90EEF7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2C5644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F6550E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29D8B8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6BF47F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8F63F6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FA9435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1485CE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5DED6D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A5447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2FEDEE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C77789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41A5D4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836E70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308FE9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0DB396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D05D6" w:rsidRPr="005D05D6" w14:paraId="62A00FEB" w14:textId="77777777" w:rsidTr="00CC637D">
        <w:trPr>
          <w:gridAfter w:val="1"/>
          <w:wAfter w:w="9" w:type="dxa"/>
          <w:trHeight w:val="327"/>
          <w:tblHeader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46A6EB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7E668F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311F9E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96B58E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BFFB86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2135F2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1F5EE7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88A387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F64330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7C7DC7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20001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F6EF7E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4E9967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FDC16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8AFF67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74C9DE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710D03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CEAE0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9B9BD2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B59849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D05D6" w:rsidRPr="005D05D6" w14:paraId="37F376D3" w14:textId="77777777" w:rsidTr="00CC637D">
        <w:trPr>
          <w:gridAfter w:val="1"/>
          <w:wAfter w:w="6" w:type="dxa"/>
          <w:trHeight w:val="327"/>
          <w:tblHeader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8F9DB0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A13151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EDDC19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2185AB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11E21D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1C4914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2C563D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F53110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67F08D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7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F8444D7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Kumulativní hodnota</w:t>
            </w:r>
          </w:p>
        </w:tc>
        <w:tc>
          <w:tcPr>
            <w:tcW w:w="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51A9FF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D05D6" w:rsidRPr="005D05D6" w14:paraId="39237EF8" w14:textId="77777777" w:rsidTr="00CC637D">
        <w:trPr>
          <w:gridAfter w:val="1"/>
          <w:wAfter w:w="9" w:type="dxa"/>
          <w:trHeight w:val="389"/>
          <w:tblHeader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2258AB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B04DB2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A17AA1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EA71F2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220344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E423F0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439F08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7E6E6"/>
            <w:vAlign w:val="center"/>
            <w:hideMark/>
          </w:tcPr>
          <w:p w14:paraId="5D38BE83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4F181CD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00D89FD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27373B2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22A43C3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A76705A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CC0DE5F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E1FCCC3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4FF1E31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A363755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CF5A9B3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77BE835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Celkem</w:t>
            </w:r>
          </w:p>
        </w:tc>
        <w:tc>
          <w:tcPr>
            <w:tcW w:w="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880B39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D05D6" w:rsidRPr="005D05D6" w14:paraId="194DD405" w14:textId="77777777" w:rsidTr="00CC637D">
        <w:trPr>
          <w:gridAfter w:val="1"/>
          <w:wAfter w:w="9" w:type="dxa"/>
          <w:trHeight w:val="327"/>
          <w:tblHeader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CAD446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3E55A5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68A170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62153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394C9C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3CE63E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59D62D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F7A6DB6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CFD893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B46A2D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5A13F7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BCDFD8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E437A4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73DB5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472C42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79C235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1C4A1D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5412BB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5F3B64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M</w:t>
            </w:r>
          </w:p>
        </w:tc>
        <w:tc>
          <w:tcPr>
            <w:tcW w:w="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7652A9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D05D6" w:rsidRPr="005D05D6" w14:paraId="41EE687A" w14:textId="77777777" w:rsidTr="00CC637D">
        <w:trPr>
          <w:gridAfter w:val="1"/>
          <w:wAfter w:w="9" w:type="dxa"/>
          <w:trHeight w:val="327"/>
          <w:tblHeader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CB8740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108E5E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32B079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A8E368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28D143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F0F84B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721FDF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B3DAAEB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D2CB6A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D29DBD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FA3BCB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D4B663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65AD10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D0205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337765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784804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6F91B3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356E78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DBE7E8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  <w:t>Ž</w:t>
            </w:r>
          </w:p>
        </w:tc>
        <w:tc>
          <w:tcPr>
            <w:tcW w:w="7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5C81DA" w14:textId="77777777" w:rsidR="005D05D6" w:rsidRPr="005D05D6" w:rsidRDefault="005D05D6" w:rsidP="005D05D6">
            <w:pP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cs-CZ" w:eastAsia="cs-CZ"/>
              </w:rPr>
            </w:pPr>
          </w:p>
        </w:tc>
      </w:tr>
      <w:tr w:rsidR="005D05D6" w:rsidRPr="005D05D6" w14:paraId="52D4D1D6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2AF9D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03.1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BEBD8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Indikátor výstupu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7A1F4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0F30B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CD170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FA328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703E1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20B50F9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100 242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72E3F03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361 564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4345F2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8327DB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13 237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40E5BB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2 263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5E1E4E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58 949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61684A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133 738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8EC9AC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85 290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7FA3AB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62 062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5AADBA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6B8EAB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F12051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591DB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7EF8950F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82E3F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70959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28467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23C69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86E27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A542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6C52F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B770B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6C3C6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55208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CE3D0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5 818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808C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5FFA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25 947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D947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65 546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486A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41 179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F433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30 166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32B0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6FB1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3BA71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86730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2CA61A05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7B4A6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E1FEE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CA13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C15E6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502BD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AF232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E3C07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5C94A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BF1C8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5AB9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85F16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7 419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A621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1 264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2FC1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33 002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E5E2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69 191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F609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44 111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9CAA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31 896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FAF2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E254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89200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9DD94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27EF082F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40EA6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6CB72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BA147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B05B9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B6B6C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8FB57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3215D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7B962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3BCB2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6ED7C7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FCCF79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13 237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5440AB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15 500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E5BEFA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74 449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80616C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208 186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CA5088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293 476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245891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355 538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0A869C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7EFDDC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81AE76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2BBC9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62DF4B2B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19BB4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337D1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51FE4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C8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710C0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E7169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5BC6C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1E675A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3D212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E7F1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CE2A4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5818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819E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6 817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46199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32 170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0A6E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98 310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20894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138 489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E03B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168 655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238F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F096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48B9C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0C608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3C365046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5398B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15C9F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F1F8B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E0A66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5DAB4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81343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BCDEE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CBFEAE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A2A4F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9F486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AAA6B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7419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A6C8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8 683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2842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42 279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3E75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110 876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DD58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154 987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05AAB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186 883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2B59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D923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FF7F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68955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76BAAC34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B2584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03.1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1AD9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Indikátor výstupu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9DD8E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977F7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01FF1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A4607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165F5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A558FAF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3 018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F76140D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12 917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FEC0AA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D61203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1 067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21D309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367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4DD4E8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4 691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91B0DD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6 967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DEF38A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3 953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D5CBA4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2 738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9621ED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444EB4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301E05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0897F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46E296A8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6D400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3F019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2E14F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E635C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A9A6B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CFC9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23055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90EEB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23A67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B6335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DB8F9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469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002D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A0FC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1 898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B3F8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2 694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1AEE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1 685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40CED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1 187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B8A3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2026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21DEA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67E5A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23366A47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BA741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044DA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23DB9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AC9E5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43C2C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933AB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400E5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73F31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422D2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CBCD1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870E7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598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20AA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ECD0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2 793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C802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4 274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C2BC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2 268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678D0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1 551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A911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E3FF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A887D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70749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75F0BBDC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7E4F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37699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D99C2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48015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67846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4E2BB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EF16D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4B30E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9F299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D0B576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723EFB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1 067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8AF2FC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1 434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3C8639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6 125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9A0AB0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13 093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3CF422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17 046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12AAF7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19 784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D9AFA8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D8A7FD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55615D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8FE92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34E0060E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63CB5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7C184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BC2F9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79840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C9C1E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21775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EC211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9BD688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61188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F7DAE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9679C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469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9E22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550D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2 525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A8F0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5 219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BD303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6 904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EEBA4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8 091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D97B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1A0A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5D968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409F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67FB0915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5041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8A479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E8200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226A2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4FA61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A4DD9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D593A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08EC83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A479B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DE4C1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1A6D7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598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751C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8A1A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D2D4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7 874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DFA2F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10 142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7B960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11 693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667A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3297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B869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8059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007AEB66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8504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lastRenderedPageBreak/>
              <w:t>03.1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4DACD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Indikátor výstupu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C41D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A5D1F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75800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BE1B7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YEI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136B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Nerelevantní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70C0B8E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3 100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424059A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3 100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4F7B59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DFD669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D55DD2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211749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2 145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2B2756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1 715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34F0B9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1 423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A7CBDE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E8D3DA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B82EC2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8A9C49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7D8F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273AAF78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A56AF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05677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5E13A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23DD3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E9545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55D95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7F8D9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67890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01EF1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3D719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3B5E7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A4907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4701C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1 058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BA28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807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38001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678E4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C913A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04B94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45969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ADF91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05F8071F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6A689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3AFBB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D852D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ED9E2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D9E90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CEAD9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E5EB6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84595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64E5F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D7939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45032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6FB6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38AC5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1 087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939D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908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6D914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753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6A266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503BA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0E11D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D0706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75EC5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76CA0717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35D10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9FFBA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867C9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67039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01F4C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17405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0D2F1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D4502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13185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B9ABD3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A58E1F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EE24A9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A53D4E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2 344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D1C54B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4 059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2EC1CB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5 482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7715B57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5 711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6E0CB5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8E67CE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D53C7F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2B6B8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1EA9E4C0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7EFBC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8D2BC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D627A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BBCC6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9DF8C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5E480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D3A6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FB6A52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EA053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D6A5C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A1E5B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F62F9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8D723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1 146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3ECE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1 953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83CE2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2 623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889A8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2 712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9C867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EFB7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60D5B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F3F27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7691B93E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B956A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3EAB7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441FA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7E874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18B18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5FF9E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03465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EAF857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A0606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A01DE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A7D46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8C30C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385FC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1 198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FC13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2 106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6540D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2 859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753F5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2 999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0CA2A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C8F8F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05330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83EFC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6B20E539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7C829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03.1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AA0F6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Finanční ukazatel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1DBFA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FINMT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4D5BD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Celková částka způsobilých výdajů vložených do účetního systému PCO a certifikovaných ze strany </w:t>
            </w:r>
            <w:proofErr w:type="gramStart"/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PCO - MRR</w:t>
            </w:r>
            <w:proofErr w:type="gramEnd"/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C8B3D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871E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25D41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445C91A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293 592 578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440A902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1 517 700 954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FA0A54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0F0FEF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8730F3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151 215 588,98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11BB2F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168 782 662,55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EAE26A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192 872 525,13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2A0D4B2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213 561 212,50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B08EE7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138 442 359,33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0B0EFC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EEC312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626D9B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7C504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3BAEB4BF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069A5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5BE55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79ACA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E1FE3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E1E1C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A0C8F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4BAFC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A380F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987B7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68E3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4A3D4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1DA53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57C8F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6202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CC18E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E48AF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B339C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BBAB2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A1012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B6322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677EC550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58CE3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ECE59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31574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E352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7AFF4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9F166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BA40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40208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2D4E5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230AE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668C6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24F34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95DCE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8A29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938EC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D9E43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146C4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8B452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E89CB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D1177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5B5D2CA8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64830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036BC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4A68A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9E249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EE7EB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80CFE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B3E5E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8859E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ED3A6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0E71CB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D45B6B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67FEF6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151 215 588,98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50F7F8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319 998 251,53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E9B703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512 870 776,66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C2C236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726 431 989,16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457F0B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864 874 348,49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CB9F6A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537D5D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A1327B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E7816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6DBC0225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86FEC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E7DDC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34B0F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7646F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8CDA3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9BD56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55D7E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249C2A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BDED1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3C81E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51A91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D05CD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5EE7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9D63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CFD4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CCCD0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E26FB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E4A81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10F6F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DFF4B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535A9023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AB345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39A7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4A7FA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1120F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2B372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F03B6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2281C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6D8A59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54D7C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E71CA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42017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3EF5D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6926A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B777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237BB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E8AC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2FBA7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10E82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A61AB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BF1D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34F7FCF9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587B4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03.1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E80E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Finanční ukazatel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24E30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FINMT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26891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Celková částka způsobilých výdajů vložených do účetního systému PCO a </w:t>
            </w: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lastRenderedPageBreak/>
              <w:t xml:space="preserve">certifikovaných ze strany </w:t>
            </w:r>
            <w:proofErr w:type="gramStart"/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PCO - VRR</w:t>
            </w:r>
            <w:proofErr w:type="gramEnd"/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651EE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lastRenderedPageBreak/>
              <w:t> 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E5F1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7244B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FC371D4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17 815 774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7F2BF2F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111 817 609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69D60D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E99E29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097833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12 245 913,97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F90C6B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11 504 515,48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023509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10 152 348,58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5D8687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13 616 302,56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A2D218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7 538 382,74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06C38F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2D3594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1145C3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23AED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4075DBC2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B0A82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2F0BB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E19D3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8F4C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B2B60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FD240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5CB87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1DEB2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D3E26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A281E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5F7DD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6BC75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CC63A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8A78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DF00F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34DC4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F41DE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C465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944C0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34A39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72CDBBB8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7C88E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9BECB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D40AA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AAA0E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EAD89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84E91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EDBF1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C98D2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382F3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79017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3AF97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80469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20968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A743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88E89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4F28A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D7024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80456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F241F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8EB7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34E65177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A7885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264D3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6E22F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40E0C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FB49B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46F5A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49CB4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090A1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D4C1E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21FF24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E9E06B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F75CAB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12 245 913,97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4EFB08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23 750 429,45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A539B7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33 902 778,03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47FB9B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47 519 080,59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305402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55 057 463,33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B7B16B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C23890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A4CCFF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D2612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076417AA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D0077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BB33C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BE211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07C73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71673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91E02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5222D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90EB18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D365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AD7E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99EED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CAF3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8A5CE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A927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1877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66CEE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1C324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C0EC9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42065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955F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26089AD1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EC7EF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CEC78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C8858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B7EBB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DA39C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E8260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08532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96AF33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02062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B22F2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C8AFB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89A5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16370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8DFC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DBAE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7C8B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9C196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7671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8B0C6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6717C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188A9552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28164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03.1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EB46C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Finanční ukazatel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0842B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FINMT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F39C2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Celková částka způsobilých výdajů vložených do účetního systému PCO a certifikovaných ze strany PCO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BA56D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150D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YEI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6211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Nerelevantní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1504DEA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22 236 974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0C9ECB0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29 599 966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D89FE3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1EB765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1282EC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135 344,04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D96E78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5 458 865,14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13DD7A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14 718 148,18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C87DE5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5 629 775,70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368946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2 509 208,46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E1312F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CCC0AE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ACB83D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8E421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0618AD2C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8F354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FB60A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B880B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2E212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BBA67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EF263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9AAC4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D1046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A1C11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7AB1F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0ABD6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11F73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467D5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3EDB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026CC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13E11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AEFE2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5A07D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EBE14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2E4BA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67C5AE12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B8153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140EC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8853C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03689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D12F2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0B602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75C39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DC591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52587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17AA6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F1634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7B3CD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D9E2F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4F5E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BB308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429EE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D73CF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4BA8C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969F3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67521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7A3C4503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B3E7B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CC548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D2C59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F2D47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CE13A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D4C48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839D1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2DA05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6C290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26ED71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13DAC2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602FDA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135 344,04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BC90E0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5 594 209,18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B2C557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20 312 357,36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ED7D38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25 942 133,06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8D9DFD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28 451 341,52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96C3A9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811127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1FD537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78C57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2289C058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307BB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0851B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34832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98FBB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FD4EF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CADEA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CD6C3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EBE2E6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0657B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5FF9E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2AE0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DBAC6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7174C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A118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9FE91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BF2C1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C5D4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6359A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73A5A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A7AC4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3A4EF160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A4B68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FC1D1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F5858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0F608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F723D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27A2B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9905C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27F032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A8A59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4809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254A2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9B010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83463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A135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3586A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7C043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BAB7B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273D2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62C2B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D39D8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42BE1B6C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8EC5A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03.2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420A2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Indikátor výstupu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8BB27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4A44B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39FC6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9443B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F7D1C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6387006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20 698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E2E8C31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127 254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AC510D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524B8B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CCE200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AAEF86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11 901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57C045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22 996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1BF930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28 022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D77BB4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34 056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558367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42E290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9E8DB6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6649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59A98563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2ECFF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EDB08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A8E9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5D761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877F5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2DB8B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13816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58D04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3ABE3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9FDA9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9266F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4F8D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ADAD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5 081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9832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6 869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E9595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8 969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5474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11 100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C658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0CE9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2D7D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50250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4E1989FA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6F0CF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505B8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D546E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0DF07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CF22A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71528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79156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363DE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2611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83D82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8CC8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B27E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62F4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6 820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1257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16 127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E627A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19 053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D30E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22 956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AD17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25BC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67DF2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E97AD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54E934F5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CF24C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C36BF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10E17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A6F8D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A5ED3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89E99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D214F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7A8DB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9C4ED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58A983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0FED36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B0099D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11B9AC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12 117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B0CFEC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35 113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C96431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63 135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7B99022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97 191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7F382F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3F4ACA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C914C5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2AFAE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748C333A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A1733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CD16F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F7A8D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165F6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57F8C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06B1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487DE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31239F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46A40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0F7E9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77CC0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B27B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EBAD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5 185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3C36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12 054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ADC7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21 023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9A47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32 123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754A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6D5E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8070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2A62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7073C31E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61FD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50915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E4715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DD4CC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D677C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BD19A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8EF7B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4C1D03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5EAD2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2631E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541D6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855F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6363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6 932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A242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23 059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A065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42 112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33D4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65 068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3CE8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6C7D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C6E4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F03D7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65A00648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11468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03.2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CB101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Indikátor výstupu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352FE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7B79D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FD636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DA3DE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85B3A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E49638F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850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07D3BA5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11 982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F65F97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621145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E17197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738B05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4D2BA3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1 259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33EFFC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757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2E6BAA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1 808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8925D6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216D52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0FBCF4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4B7A4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1460CCDB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1DF35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0D1BC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C27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A5F7D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20B81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42EF7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E8BEE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EFAF4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23319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31898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75D19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5732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4E8F8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5266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535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FE262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264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09F0D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653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68758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72137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61780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46561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5151CAA0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9F98A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AFB66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F64E3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22521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B32CB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C760D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DA00D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5E82C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CB19B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6D8D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D8F1D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C2A11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ABD7D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401B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725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427C3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492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A3D5F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1 155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4675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0CF25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BA7C0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34F2C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39FF7823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D7475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D8F86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BE3D7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47F07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E0EBF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C8F10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D4011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39F3B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47AE1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3ED7BF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8B8CE7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4D5F6D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F6A50E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CAE380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1 550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2A878C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2 306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642D428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4 114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75E1AA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031117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578072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B745D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5DA94755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B0BC8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3DF49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DC30E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4BBED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E42FA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05817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45BED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5B68EC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8F3D6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32A61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1A201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4CD4A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64E5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8A41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666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3B040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176BC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1 583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8F3B5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E538D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C2C36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CF602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65B77AF9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226F8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1C89B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DC3A3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B2898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1E9D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83A32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162FA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A2E435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DAA3F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042F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A7006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C88D5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E26B5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BC4E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884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D16B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1 376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5DA46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2 531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77E9A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C031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1F452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C9AB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720C0EB6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F59A4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03.2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2C0D8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Indikátor výstupu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10B4C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67001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F55A3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Kapacita podpořených služeb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91E05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Místa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5861F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B2297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BED04F5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8 598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EE3FF3A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35 593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BC30DD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4F6CCA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B1694C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2 423,50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C55D21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10 584,34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36A4AC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4 727,91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FC3563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7 409,57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3D0208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9 247,90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27BAD2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DADDB0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1B76D2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E4A14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5E8EBEEA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D47D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DACAE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A766D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2165A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44A05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C6FA3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7947E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C8266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774F0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1FD68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75ACD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73BB7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EBDA0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1782B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FFDB8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96043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2D807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A602B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C2E3C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8ECB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21881ECC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3EEFF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88080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A9E59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D8B57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B7064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7990E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B92BD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D4825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9A3C2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01414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2670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8869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40F8B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919F5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9A2B1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74C9F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748E5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85DE1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A54E8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C3545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2A3E6081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12359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A019D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0BF0F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2940B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A3F99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AB7C5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CDBE9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158E6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0506A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1DDB4A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167242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CE3F28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2 423,50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FDCA5D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13 007,84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ED255A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17 735,75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62C1AD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25 145,32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50F899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34 393,22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01E68F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9AE3A1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BF6E36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7E382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22270C6C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09114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E79CA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720C7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55CC0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80563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77A48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F01CF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8934F7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BB8F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D3621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6743C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A01C4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6AD59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017D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F1F6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94376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1FA40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E52A9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A0A31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9DDCA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12856188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145A9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E3EDA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22071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77309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8FB08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74E4B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76417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9BAC3C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F6918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3A8E4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716C0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AE6E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89A80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0DD0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2C3B5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EE7F9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A1495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86D8F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3E06C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959BC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50012F6A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FB623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03.2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F3C09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Indikátor výstupu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2FDD7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67001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50B13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Kapacita podpořených služeb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AB7CC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Místa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DF749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881CE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6CA4454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1 063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8AC2627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4 252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F4085A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95334B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8198E3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772CAD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956,58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9DCB70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91,00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36588D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283,30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93F741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1 439,78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255D4A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1CCB26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4E53D8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759C7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4D153377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84E4B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46962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FAF19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131A4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E3E94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78968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33245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06D88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D9DA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66EC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5ABD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DB97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AFB3D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93E54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CF8CE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DC8C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ED012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51A36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F6CB1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DAD47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0EFED03F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64477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16043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AC41A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5F08F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E8DF0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BFDDF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B313D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0CE11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2516C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E8038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DBF1B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D5B33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48C00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BF38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BB8A1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AC953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E4BC5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1B18C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92275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D06E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0B968A13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87ABD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D7743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91AB5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67B24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30119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1E6FC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B2A3B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3FAAC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8855F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6568FE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1DAE94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63445A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E5FD62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956,58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DA6830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1 047,58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7FCC77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1 330,88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77CA45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2 770,66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3B9EA3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E5BDBF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5122FE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3977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7E67E800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3BA63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643F0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D1FDF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8456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5AFFA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0F240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E50EE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A78C9B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E06F7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21023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5EFDF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414AC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DEF65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9DEC2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78B47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B0D49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D93D2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0C3B9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56E6B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DD288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4552250B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C53F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6E104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72929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6F546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058BD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D2BF8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0B553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DD12CD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B1483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2C03E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9D946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53CA3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81E87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0DFF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C2D5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4481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8D3F0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B8497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E6094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FDEBF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4051FC8E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3E75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lastRenderedPageBreak/>
              <w:t>03.2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AE03D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Finanční ukazatel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D61AD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FINMT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D135E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Celková částka způsobilých výdajů vložených do účetního systému PCO a certifikovaných ze strany </w:t>
            </w:r>
            <w:proofErr w:type="gramStart"/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PCO - MRR</w:t>
            </w:r>
            <w:proofErr w:type="gramEnd"/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D997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C4323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C6F0E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D1472A3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124 913 343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47E8AD7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591 811 090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5A139B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52FF2A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B7BD97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9 712,54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9526F1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51 459 474,67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A7C9C6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108 091 969,07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989B79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86 575 776,24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356272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112 025 248,65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B29D01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E2043F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6DB42A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97D84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17952FE8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52B3B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C5756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35EF4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917C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816AA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6830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3E94D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E1C7E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BE34F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03D2D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BC180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F3D9C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F5A6F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23F9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1F88F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602C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3696F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4969E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7182C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B35A1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7434650B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5B863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37AE0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1C7DD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15650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D1539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7FF15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596BC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88390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FFF6C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AA8C6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D9250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6E870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F4A0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7956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FC814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F8D60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38232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A9BA7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62D6D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D8189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33AFC2BE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15516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E1BB4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DB911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597BC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EDDD5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50B22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FB62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8B9A4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AAAB4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979849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5E00E2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F8D1AE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9 712,54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34E1D9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51 469 187,21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6D2AFA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159 561 156,28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BA98C8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246 136 932,52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28128C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358 162 181,17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0063F4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AB71AC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D8A4E4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9F6D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6E1457EE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EB9A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B62D1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EBAB8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206FC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6BEF7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CDA1F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CB210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8BEC80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0CC77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4D8BB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F65AE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092A5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A9A20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97AE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AD992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9832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A218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5EDB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EDA15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30C8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32E3DE14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7E2AD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3E4AC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C88C5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BDA93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11B69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96924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5817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EF4480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7C55B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11C2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D1F9B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66548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C661F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A0CA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B4A2D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D8A85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BDEF8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9B38E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1EEF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999B3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31417F41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CB63F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03.2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C76F4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Finanční ukazatel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058BA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FINMT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B65B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Celková částka způsobilých výdajů vložených do účetního systému PCO a certifikovaných ze strany </w:t>
            </w:r>
            <w:proofErr w:type="gramStart"/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PCO - VRR</w:t>
            </w:r>
            <w:proofErr w:type="gramEnd"/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A652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7D8D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A7A9F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5306976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16 449 370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D4A89BD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75 079 593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F93088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6BA057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970A6C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1BC215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1 036 861,25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9583E7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11 933 334,27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961C4C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5 249 255,87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6C70D2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19 028 701,11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D50DC4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22039D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958762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B8953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68A2489C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BBA86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3804F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23E64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46FF0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B1737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A7C5F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61985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1E7A7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4C921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8DC0B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28160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1348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A8E4C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E6A6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25F5A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4CB1A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48F65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1E4B4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3BCCE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14EA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71099778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C8658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EB081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A2285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F3084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91176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3BDC0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3E96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CEFD7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DFD79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5D94C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20FAC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42248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80F0C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25EB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1914C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3E34B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79FD7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FDB10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CF12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3BFA9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0DA2D276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04D94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0FFD8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7D757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0F244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EF826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6B3FC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A874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A40A9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379A2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72091D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787EB9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4664E8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3DEA9B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1 036 861,25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021BF2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12 970 195,52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9AFF83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18 219 451,39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ED1374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37 248 152,50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B42AA1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783DB3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87EBDD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46366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0B38E990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70AAB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51407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23BC6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FE74D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D5E86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42628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CAD97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B049C6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F0881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A1AA1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06A54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001AE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14853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6F6C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7616C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55562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7831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CCF08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346FE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B5598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7049BB92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64F86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A5F0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3BB68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D63AF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A14BE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E8E67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DDE9B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F5D3D1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FDB37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A855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3B364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9DEE1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C3362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15BB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279A3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545F6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DC3B4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DAABE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01444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A4908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149E7B99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ADCE2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03.3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CA2FE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Indikátor výstupu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9C1E7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4A610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79052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C8CC6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55FCE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0D33ACE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441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2839600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2 204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D1E5B7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0A6AA0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4D5E6A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CFE3DC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834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095D6F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733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F646E0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ADD505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497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75FFEF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8C5DA2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94F8E8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1C4C0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1453323B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F84D3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B6E60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A3C3C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9B9C3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C3BBE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0D287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D583D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2FB48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2EA98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2AF9E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C327C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9007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F3978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307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97FD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175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796A5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408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1574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AE508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4300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C4108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B9FE0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3AE163CF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BAB32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79034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80195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58977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B8666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3E89D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3BBF7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2C624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C37DA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B9836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2142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BF60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197C6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527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62E7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558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099B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462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45D43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281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EA96B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5FEA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26D0F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2A6E9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4F2446AB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BEC49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884D6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0F9C4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EB1A8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6457A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83492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9A52C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67896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0FACE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86819D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CB5234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C18300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6F6EAC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917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999F91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1 650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2F49EB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2 520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D79023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3 017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6577D1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5674F5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75AE6D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5943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677561F7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B7E08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2E06D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C957D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3BEF5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595F0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9E7C0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08400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48E1F1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AC20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02E4E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155C7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8A4C6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A1E43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343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CA87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518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977D3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933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ABE30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1 149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32406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DE027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12696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24EC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1A582AE2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3C1E9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6F5DB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6B899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8ABB6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442BD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51E31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82C8D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C5FE34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A0034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AA696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9A472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A82F2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25EDC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573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F690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1 131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0DB9F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1 587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A412F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1 868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779C1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AAFCF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B744F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DDA6E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4FA22A09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1E07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03.3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BD103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Indikátor výstupu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23154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F3E05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F3610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CF13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1F08B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39D9191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59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EE66003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296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6FE21F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E6ACB0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1FB25B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AE24EB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6F2CB0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B62970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04944E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5E45B4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48FAAE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69D74B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94418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7143AEC1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33873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D8258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5456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E4363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00C5D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B32F4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29DD5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1DE42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C725F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08D86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41AB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31E7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95095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4DC8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DBD85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066FA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F5ED1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4CD7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9B26D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2F0E4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4B8CD020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410B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51CD7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45172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968F8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0D361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E1CAF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34CDD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CA404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107E9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D64E4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862D1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CE51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E328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4FFD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28C2A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C1A80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575F4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EAE5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A3E68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CF7A1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5C0B5FC4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1945F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9D4B7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64626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1FEB4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91BED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51F7F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A3C19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466A1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5FC83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191E9F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5C94A5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6370DB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915A18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DE1E06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D69AF2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337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1A710A5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404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DA674A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5D6550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A89D60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E4793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41BA0CC2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5B6C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228CB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7D5C2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4591A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F05CF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C937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229E4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71F571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5D283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DD4A9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3063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92BF9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C68C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D911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13C23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0DE3C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E7836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A834B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FC5DA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A28AF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5758A1D2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883EF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E3CD4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466D2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D5C3D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C6C6B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C1B8A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D714D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B47ABA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9162A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81E4F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9210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B5195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999B2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2401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151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C1CE8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1C196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069B5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834C0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086B1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00C37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4BC565A9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44E87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03.3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968AF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Finanční ukazatel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5D59D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FINMT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4BF3C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Celková částka způsobilých výdajů vložených do účetního systému PCO a certifikovaných ze strany </w:t>
            </w:r>
            <w:proofErr w:type="gramStart"/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PCO - MRR</w:t>
            </w:r>
            <w:proofErr w:type="gramEnd"/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D40A5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9E48F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60C6A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5B2AA1F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4 111 963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23547D9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37 007 665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112087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BDC167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556035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FCBA22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3 566 113,83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217D7A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7 318 958,07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7B911B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7 229 975,84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1E8559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4 619 082,49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9296F9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5AA712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6C3F70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E9A0A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49C18FBB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D9DE4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32555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00BFF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D0A2D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0422F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BD55A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8C13A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D9DC2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DFCE1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F2F17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25841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A6DB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F876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B565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8AFC4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FBFE2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16B3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8B096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F487E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0DF6C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08AFEE03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B3C57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AA35A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D8101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EE41C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5F7AE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FB3F3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B61E5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B7C4C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03FA5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A736A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E902E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214E6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C8BFC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0DA6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7871D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B45B0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553D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3F3F3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6828F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F7A63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1209EBEA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4AA9C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5F219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98547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EDB61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70890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4562C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EB3D9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A6A6C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58900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69A732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E40566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53F0F2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F34EFF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3 566 113,83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CE66AF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10 885 071,90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EA23AD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18 115 047,74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0B8B51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22 734 130,23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907B21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747A62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2BEB80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A6E0C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5E20199B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AC3DB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C8307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7BAF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CC73F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8A9E1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DF580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41F56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570C5A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BE2A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12D6B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C31CB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31963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C678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BFAE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4985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E49B6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2A334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FD1BF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27551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F7EBD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48DF3029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83427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99FCC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82B8C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F69DE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138B7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D94B9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34A12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217978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1D1CF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DF4F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CA15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277EF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ED89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90E2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709F1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4587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13046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9DCE1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F767C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54EB9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58421701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477E1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03.3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BD397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Finanční ukazatel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52161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FINMT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257ED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Celková částka způsobilých výdajů </w:t>
            </w: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lastRenderedPageBreak/>
              <w:t xml:space="preserve">vložených do účetního systému PCO a certifikovaných ze strany </w:t>
            </w:r>
            <w:proofErr w:type="gramStart"/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PCO - VRR</w:t>
            </w:r>
            <w:proofErr w:type="gramEnd"/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7FD0D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lastRenderedPageBreak/>
              <w:t> 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7B2B4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375F7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E553693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551 184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61B7054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4 960 656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5B138E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AE1EA6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7E9AF5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AF821C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478 016,19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C34973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981 062,46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89A4DE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969 135,05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2AC96B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619 160,52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21E38C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C76004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5F521D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203FF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1EA15C73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79775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E57AF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AA13B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C42F9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62D6A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2797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89F90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229F7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4C54A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57410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66D7F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78664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F80D6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6117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77CF4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58A01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02EB3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5D0C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27468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A440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5D9616D7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64645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696EA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C63CA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12B46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9FC16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CBCBD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58945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40544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EF07B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08712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E9549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5FB90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4AA2B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0A6B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186D5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2822C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CB53F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61B1A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93BF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AE6CF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45B4F732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F7264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84220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1AFF4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0F7C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D653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51522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C9E4E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5F755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257B6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9FAD38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69126E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98F1FF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2C97C8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478 016,19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6BC0DC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1 459 078,65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76A76E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2 428 213,70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A61027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3 047 374,22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6A87B0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8858A4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6157BB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37D36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4F0D12AC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7C138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05FE2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F31AE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5B940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4B1D1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A81D4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77F46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6E8DCF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7150E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3AC80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17866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8C3EE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5750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6D92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7621B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F9155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B4A7F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C5DC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C6C48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6F61F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477092B0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922C3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B6609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A4664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F5BC4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4549A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28A08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A25E4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908062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1457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328F4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AFF86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D95E2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FF17F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6AE2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94D99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BC57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82BFF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0A616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48B3D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283B1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25A38370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B84AE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03.4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1E0EA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Indikátor výstupu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25FAB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10C9C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18A13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EDAC5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F9A55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749516C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1 997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2C5935F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19 977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0B3762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FC8C3C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40BB50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02CF68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262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7F9A3B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2 627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F0A1F5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5 615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261E6A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2 295,00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0D9C95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E0EDFE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BB1A3E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A755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0A996E76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F61F7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16EB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A170E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75CCA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39D28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4D678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8A20A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147D3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1578A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C39E2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970A1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6A2E7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84F0C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5FDE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995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BB3BB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2 863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E0A4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819,00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0C63B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5A1FF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88772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50174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1F4AB34D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2F67C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AD1F0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8B177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0F3F1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F4248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B353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A4C8A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B2BAC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B47E4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D016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B61D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599B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D72A8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701C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1 632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5B80B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2 752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64BA8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1 476,00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5497A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4B780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48768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774D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48BCF617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CD5E3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A494F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F37C8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FE2F9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74DC8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3CAF4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1D5C9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76A56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B3A33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788CC7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61800F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1EAC00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5D4B4E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262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C2C501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2 889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B09643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8 504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02564E0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10 799,00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3FB1C6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37E9E4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B8ACD0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7769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217F2C28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39A08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D0428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94BC3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06346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15EFE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A1FEA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B36FA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ACE9CA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5D786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E011C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16F8C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1C87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3B06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43ED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1 095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BB472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3 958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A63C0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4 777,00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589DB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A888C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92D1A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815AA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5B154A76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CDC7A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70682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591D0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BC56F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61E48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88E6D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0D5B4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B73154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03E28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16B3E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FA03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B26A3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A2CDE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2CB2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1 794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F93B2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4 546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5F8E7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6 022,00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E9BE7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C43B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FE28E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3447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733D4364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D67F8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03.4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E78F7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Indikátor výstupu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77F39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60000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C8D19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Celkový počet účastníků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1CFFE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Osoby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92BC7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547F1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99B693E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190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A2166F6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2 006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E77B36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12932B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48B128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651ED6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00C682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296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7043F5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8FEB5A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194,00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E8BF20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9D1DEE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35FFE7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B29CF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36E2D560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4F36F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FD2B8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7AB20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0D93C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EB518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A4454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033B9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11040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D4CFB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31A8D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267E7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CE96F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814AC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DB89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3F30A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B430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881A4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64AD0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4E7E7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57945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3A6E7BBC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20A2C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12BE5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1D9D2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21960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85C71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328AF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0979D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935C9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52A9A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440F8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14013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80432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9DC9C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376A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FB621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421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F0125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126,00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FD17D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8819F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5A40C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72DBF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6B717C80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8DBAD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45478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D70C0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F5ECB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86355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8374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2E346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9D2C6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BE701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8DE42F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1BC1B8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878F89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3E4831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085942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317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F912F4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948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4FCF767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1 142,00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50135A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A745A3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CB647F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F4F54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46A77856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C23C0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869AC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EDDA2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D7EE8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E6866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BE599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8080B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7D81FB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46755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10891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67DBD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69D8F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B654D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1FB1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6AC80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875A4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381,00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9F2B0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43D36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1251D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D97D4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5D6FE046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C064E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EB5D0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5C224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9C67C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46BAB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754AB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BFC7E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E6429E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A865F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5CE03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137BC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F245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A1917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6721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214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640A3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E7BCD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761,00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5339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D80DE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99402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3F536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2924B6E6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FBC44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lastRenderedPageBreak/>
              <w:t>03.4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A6CD3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Indikátor výstupu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1C5C0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68000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33B3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institucí podpořených za účelem zavedení opatření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041EB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instituce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1C01C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7D870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4B155C1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62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233BAE2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615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5954DF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BDDAD3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24BDE3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1,77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397E05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99,18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485F14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65,81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184EBF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251,27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35CE95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238,16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E6FEE6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71958F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277695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1094A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7A4FF6CD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895E5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F3E4D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9F451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2AEDD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F34F2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31291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025CF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B4D15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EA74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F437F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14E60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C8D9A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52D05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0F1F9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3C1EC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767FB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0EF9E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9706D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EF193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A8018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4864D602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BC175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D89B5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CCCCB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D6A6C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C9FF4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52595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39909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6D60C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267D4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19FA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75C73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68801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07D16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F8E90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0FB8F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386B7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80B9B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1350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C83C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97ECD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3B9964C6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72DAA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BF16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A9762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269FA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C8335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678BA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65F5E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96EC7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FB6E3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EC143D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755ABD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CAD105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1,77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657F7C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100,95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7C8523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166,76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B06330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418,03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7DFD4A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656,19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0EEE1E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75DAB8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F89DB2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A9CFE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3E5FABD6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BBDEF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64835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0E840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EB029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CF27B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3418B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A4C78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788200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40672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33EF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3F2E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9A924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EBCD5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31915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A1B7C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14533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C8490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A7782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B9306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81ECA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4BB31160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50184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C0D02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FD8EE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10D7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4F43C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E7510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1C549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EE5A63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25FD1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A6FD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51258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1A971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22694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2CA2A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69AC4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03DD9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57C41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B6E7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99B49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B17A7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63D25542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AE5EE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03.4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7C75C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Indikátor výstupu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BF184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68000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1426F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Počet institucí podpořených za účelem zavedení opatření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2818F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instituce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5294E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26F4E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78D0D7F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94B65A0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63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C86969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24B4B0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D89823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0,23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F544BF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9,82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FF271F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6,19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30AA53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8,73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A6FEC7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5,84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2CF7CC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CF1C4B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213865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16128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5E954F83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1DB20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42687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AF6FF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67D19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E06CC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BA609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19621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D409E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8CDA0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961D9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F9B67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D8FAA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15685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515D0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6A939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ACA44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26256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74FD4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25CDC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55547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1460D016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1833F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8EBA1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84D32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A542C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FEB9C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2B0FE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0E7C6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C7EAB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8534A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416B9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C87A6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0CD4B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9C19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952F9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4EF33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D4820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C4D1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760E0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05C00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A45BC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0DD3AF41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1B8EB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3F018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2BA73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B9A6F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482DD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13BF6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A37EC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43164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BBA28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B57CA9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2032AA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E889D9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0,23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A13726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10,05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719394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16,24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DB8354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24,97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EE1041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30,81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966C6A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6DF44B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E5BF0B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2EFE0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7C6288F0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F7154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F6FA6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F176E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6B06A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A4DB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B44FC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66620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DCACE3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574D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6F13D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584B5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4EF93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BC483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2B428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A3A84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7C96D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B2D20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2F306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61AB0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BE95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06FAD08E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2C481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D6593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29A27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4AA95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50317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86BCE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09005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45F0C8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6F974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0BD75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0D5F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2DF30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D0015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D1601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60569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E742A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N/A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F4484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847B5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CAC5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ED845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2CD3B610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F8DF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03.4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96D17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Finanční ukazatel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DAE2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FINMT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FAAD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Celková částka způsobilých výdajů vložených do účetního systému PCO a </w:t>
            </w: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lastRenderedPageBreak/>
              <w:t xml:space="preserve">certifikovaných ze strany </w:t>
            </w:r>
            <w:proofErr w:type="gramStart"/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PCO - MRR</w:t>
            </w:r>
            <w:proofErr w:type="gramEnd"/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89162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lastRenderedPageBreak/>
              <w:t> 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23A42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5DE2D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Méně rozvinuté regiony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AD3DDB8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14 120 241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CEDBB9A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127 082 172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742E22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BEBD36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11913D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341 959,69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A1A222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5 690 215,06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79C005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14 218 977,59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6C6C85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27 521 619,20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5300F2F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22 590 415,62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676F35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C62D84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70FFD0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6BACD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734F9BFF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FC4F7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8259C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BB32A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93518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ABF46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CAC72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476A4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C40AD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E0C20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80844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5F435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A6B57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8BBEA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D667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0581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6F5B9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1A954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DD15A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94EB0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0873C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68A27C71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2070A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8DDF6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BF4E9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38276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4CFEC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D7CA8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815E8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1457F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7F0F9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861FE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8280A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FBA6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EDD80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4841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CD3FF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1D165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EE04D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3D20D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20FB4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545DE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0A047060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8CF6F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EBE5A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D63C2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CE105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54A1B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CD668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E298D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0F37F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E3DFB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10A648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6BF118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B0FCE9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341 959,69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87473C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6 032 174,75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68B8B9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20 251 152,34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276ECF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47 772 771,54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76D495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70 363 187,16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6A2B23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A9BE99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A5DC24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F368B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038CFB98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57C22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C0439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EE91A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56E00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DC578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160B9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C67E6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5EB651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922E5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08E40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1F9B6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99D99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D7CE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EC838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DB57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A6982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26FFE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5346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8900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29A43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7FC3DAF4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9C992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AB9FEA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22C9C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A45F4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E78A7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B8047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90587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79FBF0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F4C0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C55B8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55047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99FCF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8A432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3E3A0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46089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C4A36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BEA89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56D62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62E84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755ED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1921E9B8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B3D11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03.4</w:t>
            </w:r>
          </w:p>
        </w:tc>
        <w:tc>
          <w:tcPr>
            <w:tcW w:w="7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68D1A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Finanční ukazatel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F779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FINMT</w:t>
            </w:r>
          </w:p>
        </w:tc>
        <w:tc>
          <w:tcPr>
            <w:tcW w:w="9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ABA3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 xml:space="preserve">Celková částka způsobilých výdajů vložených do účetního systému PCO a certifikovaných ze strany </w:t>
            </w:r>
            <w:proofErr w:type="gramStart"/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PCO - VRR</w:t>
            </w:r>
            <w:proofErr w:type="gramEnd"/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27715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34769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ESF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56F9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Více rozvinuté regiony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986E8AA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1 418 040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798C8C7" w14:textId="77777777" w:rsidR="005D05D6" w:rsidRPr="005D05D6" w:rsidRDefault="005D05D6" w:rsidP="005D05D6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12 762 359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B5B606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B8ED8D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2208BA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45 837,64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599D18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748 192,33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907A4F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1 620 848,57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550C42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2 876 447,16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681713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2 089 839,45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0EE0560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F50C2E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851DD8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AC541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13CAF496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0FEDA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1C967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C4ACD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289A7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BB7F1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07220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B0E81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C5999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A3309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8CFEA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12440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C8A7F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DFBBD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36FC1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72641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76768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AE37B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9D42E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1D474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45409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476E3B43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15E659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32C59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D3030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270C5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112A78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96EE4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40B5F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92D00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4697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8E3BD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98F0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0FD72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BED3E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53198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DC6FC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B9242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AC8D2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AF4E8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658B6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2DFB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5BC11F28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45ED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18493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BD5915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0F6AE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83CAB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05E42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0E228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4E782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63EFA6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BED5C5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BFD4A4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F18691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45 837,64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684F15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794 029,97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52ABFB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2 414 878,54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3408A82B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5 291 325,70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B283C4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7 381 165,15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19E6F8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628624F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26503E4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70F70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57922538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D51F1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1796B7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FDDC00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EDA6A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1FD09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918B2C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94D37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A80D30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2C4FDD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00C47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7D50A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8C37EA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49E1A7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28EC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0B0F61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59B57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942732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B07824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FDC1C9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002B84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  <w:tr w:rsidR="005D05D6" w:rsidRPr="005D05D6" w14:paraId="73481C50" w14:textId="77777777" w:rsidTr="005D05D6">
        <w:trPr>
          <w:gridAfter w:val="1"/>
          <w:wAfter w:w="9" w:type="dxa"/>
          <w:trHeight w:val="327"/>
        </w:trPr>
        <w:tc>
          <w:tcPr>
            <w:tcW w:w="7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AAAD0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BC137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44CCF2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7749A3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50D771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65F32E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2ED91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F4C309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F0B86B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DFB71E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0B000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ECA905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D076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29593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0EBFD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0A1C9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0,00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F83C0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23AA96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5438CC" w14:textId="77777777" w:rsidR="005D05D6" w:rsidRPr="005D05D6" w:rsidRDefault="005D05D6" w:rsidP="005D05D6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13D10F" w14:textId="77777777" w:rsidR="005D05D6" w:rsidRPr="005D05D6" w:rsidRDefault="005D05D6" w:rsidP="005D05D6">
            <w:pPr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</w:pPr>
            <w:r w:rsidRPr="005D05D6">
              <w:rPr>
                <w:rFonts w:ascii="Arial" w:eastAsia="Times New Roman" w:hAnsi="Arial" w:cs="Arial"/>
                <w:color w:val="000000"/>
                <w:sz w:val="14"/>
                <w:szCs w:val="14"/>
                <w:lang w:val="cs-CZ" w:eastAsia="cs-CZ"/>
              </w:rPr>
              <w:t> </w:t>
            </w:r>
          </w:p>
        </w:tc>
      </w:tr>
    </w:tbl>
    <w:p w14:paraId="3F75E858" w14:textId="77777777" w:rsidR="00B65DBE" w:rsidRPr="003C2AA4" w:rsidRDefault="00B65DBE" w:rsidP="003C2AA4">
      <w:pPr>
        <w:keepNext/>
        <w:tabs>
          <w:tab w:val="left" w:pos="1675"/>
        </w:tabs>
        <w:ind w:left="115" w:right="106"/>
        <w:rPr>
          <w:rFonts w:ascii="Arial" w:eastAsia="Arial" w:hAnsi="Arial" w:cs="Arial"/>
          <w:b/>
          <w:bCs/>
          <w:i/>
          <w:iCs/>
          <w:color w:val="000000"/>
          <w:sz w:val="20"/>
        </w:rPr>
      </w:pPr>
    </w:p>
    <w:p w14:paraId="3481D733" w14:textId="77777777" w:rsidR="003C2AA4" w:rsidRPr="003C2AA4" w:rsidRDefault="003C2AA4" w:rsidP="003C2AA4">
      <w:pPr>
        <w:keepNext/>
        <w:ind w:left="115" w:right="106"/>
        <w:jc w:val="both"/>
        <w:rPr>
          <w:rFonts w:ascii="Arial" w:eastAsia="Arial" w:hAnsi="Arial" w:cs="Arial"/>
          <w:color w:val="000000"/>
          <w:sz w:val="20"/>
        </w:rPr>
      </w:pPr>
    </w:p>
    <w:p w14:paraId="0F00A4BD" w14:textId="77777777" w:rsidR="003C2AA4" w:rsidRPr="003C2AA4" w:rsidRDefault="003C2AA4" w:rsidP="003C2AA4">
      <w:pPr>
        <w:ind w:left="115" w:right="812"/>
        <w:rPr>
          <w:rFonts w:ascii="Arial" w:eastAsia="Arial" w:hAnsi="Arial" w:cs="Arial"/>
          <w:color w:val="000000"/>
          <w:sz w:val="16"/>
        </w:rPr>
      </w:pPr>
      <w:r w:rsidRPr="003C2AA4">
        <w:rPr>
          <w:rFonts w:ascii="Arial" w:eastAsia="Arial" w:hAnsi="Arial" w:cs="Arial"/>
          <w:color w:val="000000"/>
          <w:sz w:val="16"/>
        </w:rPr>
        <w:t>*</w:t>
      </w:r>
      <w:r w:rsidRPr="003C2AA4">
        <w:rPr>
          <w:rFonts w:ascii="Arial" w:eastAsia="Arial" w:hAnsi="Arial" w:cs="Arial"/>
          <w:color w:val="000000"/>
          <w:sz w:val="16"/>
        </w:rPr>
        <w:tab/>
        <w:t xml:space="preserve">Pro EFRR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nebo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Fond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soudržnosti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předloží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členské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státy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ukazatele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výstupů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Pro ESF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systémem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SFC2014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vypočítány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automaticky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základě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ročních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poskytnutých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členskými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státy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finanční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ukazatele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všechny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fondy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Hodnoty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klíčové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prováděcí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kroky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kumulativní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všechny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fondy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pokud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jsou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klíčové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prováděcí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kroky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vyjádřeny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pomocí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čísla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nebo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procentního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podílu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. Je-li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výsledek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vymezen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kvalitativně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, je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nutno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tabulce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uvést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zda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jej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bylo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dosaženo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,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či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 w:rsidRPr="003C2AA4">
        <w:rPr>
          <w:rFonts w:ascii="Arial" w:eastAsia="Arial" w:hAnsi="Arial" w:cs="Arial"/>
          <w:color w:val="000000"/>
          <w:sz w:val="16"/>
        </w:rPr>
        <w:t>nikoli</w:t>
      </w:r>
      <w:proofErr w:type="spellEnd"/>
      <w:r w:rsidRPr="003C2AA4">
        <w:rPr>
          <w:rFonts w:ascii="Arial" w:eastAsia="Arial" w:hAnsi="Arial" w:cs="Arial"/>
          <w:color w:val="000000"/>
          <w:sz w:val="16"/>
        </w:rPr>
        <w:t>.</w:t>
      </w:r>
    </w:p>
    <w:p w14:paraId="7BA5CF0B" w14:textId="77777777" w:rsidR="005C2EC2" w:rsidRPr="003C2AA4" w:rsidRDefault="005C2EC2">
      <w:pPr>
        <w:tabs>
          <w:tab w:val="left" w:pos="1675"/>
        </w:tabs>
        <w:ind w:left="115" w:right="670"/>
        <w:rPr>
          <w:rFonts w:ascii="Arial" w:eastAsia="Arial" w:hAnsi="Arial" w:cs="Arial"/>
          <w:color w:val="000000"/>
          <w:sz w:val="20"/>
        </w:rPr>
      </w:pPr>
    </w:p>
    <w:p w14:paraId="1A3CEBA3" w14:textId="2E2887A2" w:rsidR="00D2645E" w:rsidRDefault="00D2645E" w:rsidP="00554A56">
      <w:pPr>
        <w:ind w:right="812"/>
        <w:rPr>
          <w:rFonts w:ascii="Arial" w:eastAsia="Arial" w:hAnsi="Arial" w:cs="Arial"/>
          <w:color w:val="000000"/>
          <w:sz w:val="16"/>
        </w:rPr>
      </w:pPr>
    </w:p>
    <w:p w14:paraId="63E82D43" w14:textId="3FFDF251" w:rsidR="00D2645E" w:rsidRDefault="00D2645E" w:rsidP="00554A56">
      <w:pPr>
        <w:ind w:right="812"/>
        <w:rPr>
          <w:rFonts w:ascii="Arial" w:eastAsia="Arial" w:hAnsi="Arial" w:cs="Arial"/>
          <w:color w:val="000000"/>
          <w:sz w:val="16"/>
        </w:rPr>
      </w:pPr>
    </w:p>
    <w:p w14:paraId="0C45DBF4" w14:textId="0B409177" w:rsidR="00D2645E" w:rsidRDefault="00D2645E" w:rsidP="00554A56">
      <w:pPr>
        <w:ind w:right="812"/>
        <w:rPr>
          <w:rFonts w:ascii="Arial" w:eastAsia="Arial" w:hAnsi="Arial" w:cs="Arial"/>
          <w:color w:val="000000"/>
          <w:sz w:val="16"/>
        </w:rPr>
      </w:pPr>
    </w:p>
    <w:p w14:paraId="4719303D" w14:textId="3B0CD155" w:rsidR="00D2645E" w:rsidRDefault="00D2645E" w:rsidP="00554A56">
      <w:pPr>
        <w:ind w:right="812"/>
        <w:rPr>
          <w:rFonts w:ascii="Arial" w:eastAsia="Arial" w:hAnsi="Arial" w:cs="Arial"/>
          <w:color w:val="000000"/>
          <w:sz w:val="16"/>
        </w:rPr>
      </w:pPr>
    </w:p>
    <w:p w14:paraId="75C7909A" w14:textId="69EE30CF" w:rsidR="00D2645E" w:rsidRDefault="00D2645E" w:rsidP="00554A56">
      <w:pPr>
        <w:ind w:right="812"/>
        <w:rPr>
          <w:rFonts w:ascii="Arial" w:eastAsia="Arial" w:hAnsi="Arial" w:cs="Arial"/>
          <w:color w:val="000000"/>
          <w:sz w:val="16"/>
        </w:rPr>
      </w:pPr>
    </w:p>
    <w:p w14:paraId="71D3672A" w14:textId="68487816" w:rsidR="00D2645E" w:rsidRDefault="00D2645E" w:rsidP="00554A56">
      <w:pPr>
        <w:ind w:right="812"/>
        <w:rPr>
          <w:rFonts w:ascii="Arial" w:eastAsia="Arial" w:hAnsi="Arial" w:cs="Arial"/>
          <w:color w:val="000000"/>
          <w:sz w:val="16"/>
        </w:rPr>
      </w:pPr>
    </w:p>
    <w:p w14:paraId="3F33C0AE" w14:textId="6E614077" w:rsidR="00D2645E" w:rsidRDefault="00D2645E" w:rsidP="00554A56">
      <w:pPr>
        <w:ind w:right="812"/>
        <w:rPr>
          <w:rFonts w:ascii="Arial" w:eastAsia="Arial" w:hAnsi="Arial" w:cs="Arial"/>
          <w:color w:val="000000"/>
          <w:sz w:val="16"/>
        </w:rPr>
      </w:pPr>
    </w:p>
    <w:p w14:paraId="23F2F49E" w14:textId="1ADD8FDA" w:rsidR="00D2645E" w:rsidRDefault="00D2645E" w:rsidP="00554A56">
      <w:pPr>
        <w:ind w:right="812"/>
        <w:rPr>
          <w:rFonts w:ascii="Arial" w:eastAsia="Arial" w:hAnsi="Arial" w:cs="Arial"/>
          <w:color w:val="000000"/>
          <w:sz w:val="16"/>
        </w:rPr>
      </w:pPr>
    </w:p>
    <w:p w14:paraId="3CAFF29D" w14:textId="77777777" w:rsidR="00D2645E" w:rsidRDefault="00D2645E" w:rsidP="00554A56">
      <w:pPr>
        <w:ind w:right="812"/>
        <w:rPr>
          <w:rFonts w:ascii="Arial" w:eastAsia="Arial" w:hAnsi="Arial" w:cs="Arial"/>
          <w:color w:val="000000"/>
          <w:sz w:val="16"/>
        </w:rPr>
      </w:pPr>
    </w:p>
    <w:p w14:paraId="2F714116" w14:textId="77777777" w:rsidR="00A2351A" w:rsidRDefault="002D5C25" w:rsidP="000B77CA">
      <w:pPr>
        <w:pStyle w:val="Nadpis2"/>
        <w:rPr>
          <w:sz w:val="16"/>
        </w:rPr>
      </w:pPr>
      <w:bookmarkStart w:id="16" w:name="_Toc66814535"/>
      <w:proofErr w:type="spellStart"/>
      <w:r>
        <w:lastRenderedPageBreak/>
        <w:t>Finanční</w:t>
      </w:r>
      <w:proofErr w:type="spellEnd"/>
      <w:r>
        <w:t xml:space="preserve"> </w:t>
      </w:r>
      <w:proofErr w:type="spellStart"/>
      <w:r>
        <w:t>údaje</w:t>
      </w:r>
      <w:proofErr w:type="spellEnd"/>
      <w:r>
        <w:t xml:space="preserve"> (</w:t>
      </w:r>
      <w:proofErr w:type="spellStart"/>
      <w:r>
        <w:t>čl</w:t>
      </w:r>
      <w:proofErr w:type="spellEnd"/>
      <w:r>
        <w:t xml:space="preserve">. 50 </w:t>
      </w:r>
      <w:proofErr w:type="spellStart"/>
      <w:r>
        <w:t>odst</w:t>
      </w:r>
      <w:proofErr w:type="spellEnd"/>
      <w:r>
        <w:t xml:space="preserve">. 2 </w:t>
      </w:r>
      <w:proofErr w:type="spellStart"/>
      <w:r>
        <w:t>nařízení</w:t>
      </w:r>
      <w:proofErr w:type="spellEnd"/>
      <w:r>
        <w:t xml:space="preserve"> (EU) č. 1303/2013)</w:t>
      </w:r>
      <w:r>
        <w:rPr>
          <w:sz w:val="16"/>
        </w:rPr>
        <w:t xml:space="preserve"> (10)</w:t>
      </w:r>
      <w:bookmarkEnd w:id="16"/>
    </w:p>
    <w:p w14:paraId="07364CFF" w14:textId="7D0493A3" w:rsidR="00A2351A" w:rsidRPr="00902A94" w:rsidRDefault="002D5C25" w:rsidP="00902A94">
      <w:pPr>
        <w:keepNext/>
        <w:tabs>
          <w:tab w:val="left" w:pos="1675"/>
        </w:tabs>
        <w:ind w:left="115" w:right="106"/>
        <w:rPr>
          <w:rFonts w:ascii="Arial" w:eastAsia="Arial" w:hAnsi="Arial" w:cs="Arial"/>
          <w:b/>
          <w:bCs/>
          <w:i/>
          <w:iCs/>
          <w:color w:val="000000"/>
          <w:sz w:val="16"/>
        </w:rPr>
      </w:pP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Tabulka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 6: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Finanční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údaje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na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úrovni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prioritních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os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a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programů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stanovené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v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tabulce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 1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přílohy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 II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prováděcího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nařízení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Komise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(EU) č. 1011/2014</w:t>
      </w:r>
      <w:r>
        <w:rPr>
          <w:rFonts w:ascii="Arial" w:eastAsia="Arial" w:hAnsi="Arial" w:cs="Arial"/>
          <w:b/>
          <w:bCs/>
          <w:i/>
          <w:iCs/>
          <w:color w:val="000000"/>
          <w:sz w:val="16"/>
        </w:rPr>
        <w:t xml:space="preserve"> (11)</w:t>
      </w: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2"/>
        <w:gridCol w:w="892"/>
        <w:gridCol w:w="1347"/>
        <w:gridCol w:w="708"/>
        <w:gridCol w:w="1701"/>
        <w:gridCol w:w="851"/>
        <w:gridCol w:w="1984"/>
        <w:gridCol w:w="838"/>
        <w:gridCol w:w="1997"/>
        <w:gridCol w:w="1843"/>
        <w:gridCol w:w="851"/>
        <w:gridCol w:w="986"/>
      </w:tblGrid>
      <w:tr w:rsidR="001844FB" w14:paraId="737DC8FA" w14:textId="77777777" w:rsidTr="00447203">
        <w:trPr>
          <w:cantSplit/>
          <w:tblHeader/>
        </w:trPr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8819521" w14:textId="77777777" w:rsidR="001844FB" w:rsidRDefault="001844FB" w:rsidP="00447203">
            <w:pPr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Prioritní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osa</w:t>
            </w:r>
            <w:proofErr w:type="spellEnd"/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E430D33" w14:textId="77777777" w:rsidR="001844FB" w:rsidRDefault="001844FB" w:rsidP="00447203">
            <w:pPr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Fond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D5E1AE6" w14:textId="77777777" w:rsidR="001844FB" w:rsidRDefault="001844FB" w:rsidP="00447203">
            <w:pPr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Kategorie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regionu</w:t>
            </w:r>
            <w:proofErr w:type="spellEnd"/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E3A93F6" w14:textId="77777777" w:rsidR="001844FB" w:rsidRDefault="001844FB" w:rsidP="00447203">
            <w:pPr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Základ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pro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výpočet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84B3D3A" w14:textId="77777777" w:rsidR="001844FB" w:rsidRDefault="001844FB" w:rsidP="00447203">
            <w:pPr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Financování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celkem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[EUR]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978B375" w14:textId="77777777" w:rsidR="001844FB" w:rsidRDefault="001844FB" w:rsidP="00447203">
            <w:pPr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Míra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spolufinancování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[%]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6898419" w14:textId="77777777" w:rsidR="001844FB" w:rsidRDefault="001844FB" w:rsidP="00447203">
            <w:pPr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Celkové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způsobilé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náklady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operací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vybraných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pro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poskytnutí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podpory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[EUR]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9D5878" w14:textId="77777777" w:rsidR="001844FB" w:rsidRDefault="001844FB" w:rsidP="00447203">
            <w:pPr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Podíl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celkového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přídělu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nějž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se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vztahují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vybrané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operace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[%]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57E5F0" w14:textId="77777777" w:rsidR="001844FB" w:rsidRDefault="001844FB" w:rsidP="00447203">
            <w:pPr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Veřejné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způsobilé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náklady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operací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vybraných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pro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poskytnutí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podpory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[EUR]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E1CE2B4" w14:textId="77777777" w:rsidR="001844FB" w:rsidRDefault="001844FB" w:rsidP="00447203">
            <w:pPr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Celková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výše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způsobilých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výdajů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jež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příjemci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vykázali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řídícímu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orgánu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[EUR]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5320E47" w14:textId="77777777" w:rsidR="001844FB" w:rsidRDefault="001844FB" w:rsidP="00447203">
            <w:pPr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Podíl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celkového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přídělu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nějž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se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vztahují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způsobilé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výdaje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vykázané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příjemci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[%]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5A6913" w14:textId="77777777" w:rsidR="001844FB" w:rsidRDefault="001844FB" w:rsidP="00447203">
            <w:pPr>
              <w:keepLines/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Počet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schválených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operací</w:t>
            </w:r>
            <w:proofErr w:type="spellEnd"/>
          </w:p>
        </w:tc>
      </w:tr>
      <w:tr w:rsidR="001844FB" w14:paraId="55C4DD3D" w14:textId="77777777" w:rsidTr="00447203"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B941F2C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03.1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7CBAAB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ESF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8120A3D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Méně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rozvinuté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regiony</w:t>
            </w:r>
            <w:proofErr w:type="spellEnd"/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71F9104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Celkem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0B0B89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1 686 334 393,00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FC672BD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85,00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B2CB30B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1 513 580 191,81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CDDACE5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89,76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F3ECFCA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1 478 526 885,66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7B6694E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901 210 954,61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BF27E8B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53,44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0ED96F4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5546</w:t>
            </w:r>
          </w:p>
        </w:tc>
      </w:tr>
      <w:tr w:rsidR="001844FB" w14:paraId="5359541F" w14:textId="77777777" w:rsidTr="00447203"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C685BC0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03.1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A94D8D9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ESF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B4FDFA9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Více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rozvinuté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regiony</w:t>
            </w:r>
            <w:proofErr w:type="spellEnd"/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24446A3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Celkem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056B8CD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124 241 788,00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9FC654B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50,00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C6B967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90 693 489,22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C35F03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73,00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E20D194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89 547 861,65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14EC4A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57 307 116,85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B99E57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46,13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FC1FB6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349</w:t>
            </w:r>
          </w:p>
        </w:tc>
      </w:tr>
      <w:tr w:rsidR="001844FB" w14:paraId="216ED5A9" w14:textId="77777777" w:rsidTr="00447203"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FCFC49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03.1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86739E3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YEI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B248A3D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D818A8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Celkem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36BE59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29 599 966,00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312396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91,89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F2F27BA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33 681 451,60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F13FC88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113,79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CBF840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33 681 451,60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7FF790D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28 583 516,86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ED3E4B5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96,57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1F9A655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8</w:t>
            </w:r>
          </w:p>
        </w:tc>
      </w:tr>
      <w:tr w:rsidR="001844FB" w14:paraId="46733B09" w14:textId="77777777" w:rsidTr="00447203"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077283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03.2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CC0D552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ESF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CC47A70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Méně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rozvinuté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regiony</w:t>
            </w:r>
            <w:proofErr w:type="spellEnd"/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899F7C1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Celkem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5C24B28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657 567 878,00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9C9FF2B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85,00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4EF2F5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747 323 188,73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CB6EC8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113,65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765B6F7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743 429 342,96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28E012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378 749 199,65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F28F12D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57,60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B90EA2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2548</w:t>
            </w:r>
          </w:p>
        </w:tc>
      </w:tr>
      <w:tr w:rsidR="001844FB" w14:paraId="105C899D" w14:textId="77777777" w:rsidTr="00447203"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DACAE79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03.2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4AE2881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ESF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854C0D1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Více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rozvinuté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regiony</w:t>
            </w:r>
            <w:proofErr w:type="spellEnd"/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675F7C1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Celkem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6AE7B2F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83 421 770,00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EB88C45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50,00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8EA16DE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92 131 837,84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77C40C0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110,44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4CCFA7C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91 968 131,20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6B2673F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32 987 535,07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2FD3FF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39,54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6E4BE13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118</w:t>
            </w:r>
          </w:p>
        </w:tc>
      </w:tr>
      <w:tr w:rsidR="001844FB" w14:paraId="0AAFC86A" w14:textId="77777777" w:rsidTr="00447203"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18140B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03.3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BC5B2D4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ESF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A6A37C6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Méně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rozvinuté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regiony</w:t>
            </w:r>
            <w:proofErr w:type="spellEnd"/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7EA68B7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Celkem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6C020C1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41 119 628,00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3B551A6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95,00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E0A165C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45 995 456,77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408A515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111,86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AB1F26A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45 686 300,57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7ADB9E7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24 773 619,81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EC1B43F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60,25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82CD338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160</w:t>
            </w:r>
          </w:p>
        </w:tc>
      </w:tr>
      <w:tr w:rsidR="001844FB" w14:paraId="6C2CE209" w14:textId="77777777" w:rsidTr="00447203"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A83F69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03.3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5955BC4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ESF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DEE1FA9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Více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rozvinuté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regiony</w:t>
            </w:r>
            <w:proofErr w:type="spellEnd"/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414560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Celkem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0F4972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5 511 840,00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7815E87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60,00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1418CB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6 165 415,02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07DC9D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111,86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FA76E11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5 883 721,12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53665C2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3 320 755,14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2EA8650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60,25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A2F85CD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22</w:t>
            </w:r>
          </w:p>
        </w:tc>
      </w:tr>
      <w:tr w:rsidR="001844FB" w14:paraId="7D37371F" w14:textId="77777777" w:rsidTr="00447203"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E867F0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03.4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E80E9F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ESF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85B896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Méně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rozvinuté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regiony</w:t>
            </w:r>
            <w:proofErr w:type="spellEnd"/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072FA2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Celkem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EBB04DB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141 202 413,00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7B64FCD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85,00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8204A41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158 370 478,82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9CD9732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112,16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F2E5579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157 465 848,49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F91C38B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76 136 243,07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079B5E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53,92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E01FF8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411</w:t>
            </w:r>
          </w:p>
        </w:tc>
      </w:tr>
      <w:tr w:rsidR="001844FB" w14:paraId="4B79B81B" w14:textId="77777777" w:rsidTr="00447203"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A4A8BC9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03.4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8E16AAC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ESF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AC61B5A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Více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rozvinuté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regiony</w:t>
            </w:r>
            <w:proofErr w:type="spellEnd"/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D1447DA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Celkem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E154F4A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14 180 400,00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8F7C3C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50,00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59DE609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16 830 234,33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58EB1BF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118,69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E45DB5B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16 713 047,16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8FD0C46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7 949 490,09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ECCA794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56,06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C45C3E9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36</w:t>
            </w:r>
          </w:p>
        </w:tc>
      </w:tr>
      <w:tr w:rsidR="001844FB" w14:paraId="7017F774" w14:textId="77777777" w:rsidTr="00447203"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798C465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03.5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AB30F56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ESF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603C5F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Méně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rozvinuté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regiony</w:t>
            </w:r>
            <w:proofErr w:type="spellEnd"/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0F8D217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Celkem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4A0A46E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104 691 562,00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D0F543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85,00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85DFB5C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98 542 156,50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880C11A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94,13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7CE3A1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98 542 156,50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8356184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54 185 933,24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EAF07A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51,76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A1844E5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6</w:t>
            </w:r>
          </w:p>
        </w:tc>
      </w:tr>
      <w:tr w:rsidR="001844FB" w14:paraId="5C62CAAF" w14:textId="77777777" w:rsidTr="00447203"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27D1D6B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03.5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4DE6A82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ESF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3A8F8DC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Více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rozvinuté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regiony</w:t>
            </w:r>
            <w:proofErr w:type="spellEnd"/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45FDEAC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Celkem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CEE42A6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8 677 974,00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B7FD629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50,00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247C679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8 162 939,92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695F929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94,07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2844E45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8 162 939,92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8BB85A3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4 488 601,99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D026627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51,72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015B8E5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1</w:t>
            </w:r>
          </w:p>
        </w:tc>
      </w:tr>
      <w:tr w:rsidR="001844FB" w14:paraId="13C8BF4A" w14:textId="77777777" w:rsidTr="00447203"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5067CD5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4EFD603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FF21ABD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5F8A2FE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Celkem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E91DE69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2 896 549 612,00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D0E50F7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82,38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44E002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2 811 476 840,56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52831E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97,06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27D004B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2 769 607 686,83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0813AC0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1 569 692 966,38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8B7BB1B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54,19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B91CF41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9205</w:t>
            </w:r>
          </w:p>
        </w:tc>
      </w:tr>
    </w:tbl>
    <w:p w14:paraId="3DC80A2F" w14:textId="77777777" w:rsidR="00902A94" w:rsidRDefault="00902A94" w:rsidP="00AE4C46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1C6DF8C2" w14:textId="33A0E042" w:rsidR="00AE4C46" w:rsidRDefault="00EB441F" w:rsidP="00AE4C46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  <w:r w:rsidRPr="00AE4C46">
        <w:rPr>
          <w:rFonts w:ascii="Arial" w:eastAsia="Arial" w:hAnsi="Arial" w:cs="Arial"/>
          <w:color w:val="000000"/>
          <w:sz w:val="20"/>
        </w:rPr>
        <w:t>*</w:t>
      </w:r>
      <w:r w:rsidRPr="00AE4C46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AE4C46" w:rsidRPr="00AE4C46">
        <w:rPr>
          <w:rFonts w:ascii="Arial" w:hAnsi="Arial" w:cs="Arial"/>
          <w:sz w:val="20"/>
          <w:szCs w:val="20"/>
        </w:rPr>
        <w:t>výpočet</w:t>
      </w:r>
      <w:proofErr w:type="spellEnd"/>
      <w:r w:rsidR="00AE4C46" w:rsidRPr="00AE4C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E4C46" w:rsidRPr="00AE4C46">
        <w:rPr>
          <w:rFonts w:ascii="Arial" w:hAnsi="Arial" w:cs="Arial"/>
          <w:sz w:val="20"/>
          <w:szCs w:val="20"/>
        </w:rPr>
        <w:t>sloupce</w:t>
      </w:r>
      <w:proofErr w:type="spellEnd"/>
      <w:r w:rsidR="00AE4C46" w:rsidRPr="00AE4C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E4C46" w:rsidRPr="00AE4C46">
        <w:rPr>
          <w:rFonts w:ascii="Arial" w:hAnsi="Arial" w:cs="Arial"/>
          <w:sz w:val="20"/>
          <w:szCs w:val="20"/>
        </w:rPr>
        <w:t>Počet</w:t>
      </w:r>
      <w:proofErr w:type="spellEnd"/>
      <w:r w:rsidR="00AE4C46" w:rsidRPr="00AE4C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E4C46" w:rsidRPr="00AE4C46">
        <w:rPr>
          <w:rFonts w:ascii="Arial" w:hAnsi="Arial" w:cs="Arial"/>
          <w:sz w:val="20"/>
          <w:szCs w:val="20"/>
        </w:rPr>
        <w:t>vybraných</w:t>
      </w:r>
      <w:proofErr w:type="spellEnd"/>
      <w:r w:rsidR="00AE4C46" w:rsidRPr="00AE4C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E4C46" w:rsidRPr="00AE4C46">
        <w:rPr>
          <w:rFonts w:ascii="Arial" w:hAnsi="Arial" w:cs="Arial"/>
          <w:sz w:val="20"/>
          <w:szCs w:val="20"/>
        </w:rPr>
        <w:t>operací</w:t>
      </w:r>
      <w:proofErr w:type="spellEnd"/>
      <w:r w:rsidR="00AE4C46" w:rsidRPr="00AE4C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E4C46" w:rsidRPr="00AE4C46">
        <w:rPr>
          <w:rFonts w:ascii="Arial" w:hAnsi="Arial" w:cs="Arial"/>
          <w:sz w:val="20"/>
          <w:szCs w:val="20"/>
        </w:rPr>
        <w:t>vyplývá</w:t>
      </w:r>
      <w:proofErr w:type="spellEnd"/>
      <w:r w:rsidR="00AE4C46" w:rsidRPr="00AE4C46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AE4C46" w:rsidRPr="00AE4C46">
        <w:rPr>
          <w:rFonts w:ascii="Arial" w:hAnsi="Arial" w:cs="Arial"/>
          <w:sz w:val="20"/>
          <w:szCs w:val="20"/>
        </w:rPr>
        <w:t>algoritmu</w:t>
      </w:r>
      <w:proofErr w:type="spellEnd"/>
      <w:r w:rsidR="00AE4C46" w:rsidRPr="00AE4C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E4C46" w:rsidRPr="00AE4C46">
        <w:rPr>
          <w:rFonts w:ascii="Arial" w:hAnsi="Arial" w:cs="Arial"/>
          <w:sz w:val="20"/>
          <w:szCs w:val="20"/>
        </w:rPr>
        <w:t>nastaveného</w:t>
      </w:r>
      <w:proofErr w:type="spellEnd"/>
      <w:r w:rsidR="00AE4C46" w:rsidRPr="00AE4C46">
        <w:rPr>
          <w:rFonts w:ascii="Arial" w:hAnsi="Arial" w:cs="Arial"/>
          <w:sz w:val="20"/>
          <w:szCs w:val="20"/>
        </w:rPr>
        <w:t xml:space="preserve"> v MS2014+ a je </w:t>
      </w:r>
      <w:proofErr w:type="spellStart"/>
      <w:r w:rsidR="00AE4C46" w:rsidRPr="00AE4C46">
        <w:rPr>
          <w:rFonts w:ascii="Arial" w:hAnsi="Arial" w:cs="Arial"/>
          <w:sz w:val="20"/>
          <w:szCs w:val="20"/>
        </w:rPr>
        <w:t>použit</w:t>
      </w:r>
      <w:proofErr w:type="spellEnd"/>
      <w:r w:rsidR="00AE4C46" w:rsidRPr="00AE4C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E4C46" w:rsidRPr="00AE4C46">
        <w:rPr>
          <w:rFonts w:ascii="Arial" w:hAnsi="Arial" w:cs="Arial"/>
          <w:sz w:val="20"/>
          <w:szCs w:val="20"/>
        </w:rPr>
        <w:t>jiný</w:t>
      </w:r>
      <w:proofErr w:type="spellEnd"/>
      <w:r w:rsidR="00AE4C46" w:rsidRPr="00AE4C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E4C46" w:rsidRPr="00AE4C46">
        <w:rPr>
          <w:rFonts w:ascii="Arial" w:hAnsi="Arial" w:cs="Arial"/>
          <w:sz w:val="20"/>
          <w:szCs w:val="20"/>
        </w:rPr>
        <w:t>výpočet</w:t>
      </w:r>
      <w:proofErr w:type="spellEnd"/>
      <w:r w:rsidR="00AE4C46" w:rsidRPr="00AE4C46">
        <w:rPr>
          <w:rFonts w:ascii="Arial" w:hAnsi="Arial" w:cs="Arial"/>
          <w:sz w:val="20"/>
          <w:szCs w:val="20"/>
        </w:rPr>
        <w:t xml:space="preserve"> v </w:t>
      </w:r>
      <w:proofErr w:type="spellStart"/>
      <w:r w:rsidR="00AE4C46" w:rsidRPr="00AE4C46">
        <w:rPr>
          <w:rFonts w:ascii="Arial" w:hAnsi="Arial" w:cs="Arial"/>
          <w:sz w:val="20"/>
          <w:szCs w:val="20"/>
        </w:rPr>
        <w:t>případě</w:t>
      </w:r>
      <w:proofErr w:type="spellEnd"/>
      <w:r w:rsidR="00AE4C46" w:rsidRPr="00AE4C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E4C46" w:rsidRPr="00AE4C46">
        <w:rPr>
          <w:rFonts w:ascii="Arial" w:hAnsi="Arial" w:cs="Arial"/>
          <w:sz w:val="20"/>
          <w:szCs w:val="20"/>
        </w:rPr>
        <w:t>projektů</w:t>
      </w:r>
      <w:proofErr w:type="spellEnd"/>
      <w:r w:rsidR="00AE4C46" w:rsidRPr="00AE4C46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E4C46" w:rsidRPr="00AE4C46">
        <w:rPr>
          <w:rFonts w:ascii="Arial" w:hAnsi="Arial" w:cs="Arial"/>
          <w:sz w:val="20"/>
          <w:szCs w:val="20"/>
        </w:rPr>
        <w:t>které</w:t>
      </w:r>
      <w:proofErr w:type="spellEnd"/>
      <w:r w:rsidR="00AE4C46" w:rsidRPr="00AE4C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E4C46" w:rsidRPr="00AE4C46">
        <w:rPr>
          <w:rFonts w:ascii="Arial" w:hAnsi="Arial" w:cs="Arial"/>
          <w:sz w:val="20"/>
          <w:szCs w:val="20"/>
        </w:rPr>
        <w:t>jsou</w:t>
      </w:r>
      <w:proofErr w:type="spellEnd"/>
      <w:r w:rsidR="00AE4C46" w:rsidRPr="00AE4C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E4C46" w:rsidRPr="00AE4C46">
        <w:rPr>
          <w:rFonts w:ascii="Arial" w:hAnsi="Arial" w:cs="Arial"/>
          <w:sz w:val="20"/>
          <w:szCs w:val="20"/>
        </w:rPr>
        <w:t>realizovány</w:t>
      </w:r>
      <w:proofErr w:type="spellEnd"/>
      <w:r w:rsidR="00AE4C46" w:rsidRPr="00AE4C46">
        <w:rPr>
          <w:rFonts w:ascii="Arial" w:hAnsi="Arial" w:cs="Arial"/>
          <w:sz w:val="20"/>
          <w:szCs w:val="20"/>
        </w:rPr>
        <w:t xml:space="preserve"> v </w:t>
      </w:r>
      <w:proofErr w:type="spellStart"/>
      <w:r w:rsidR="00AE4C46" w:rsidRPr="00AE4C46">
        <w:rPr>
          <w:rFonts w:ascii="Arial" w:hAnsi="Arial" w:cs="Arial"/>
          <w:sz w:val="20"/>
          <w:szCs w:val="20"/>
        </w:rPr>
        <w:t>obou</w:t>
      </w:r>
      <w:proofErr w:type="spellEnd"/>
      <w:r w:rsidR="00AE4C46" w:rsidRPr="00AE4C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E4C46" w:rsidRPr="00AE4C46">
        <w:rPr>
          <w:rFonts w:ascii="Arial" w:hAnsi="Arial" w:cs="Arial"/>
          <w:sz w:val="20"/>
          <w:szCs w:val="20"/>
        </w:rPr>
        <w:t>kategoriích</w:t>
      </w:r>
      <w:proofErr w:type="spellEnd"/>
      <w:r w:rsidR="00AE4C46" w:rsidRPr="00AE4C4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E4C46" w:rsidRPr="00AE4C46">
        <w:rPr>
          <w:rFonts w:ascii="Arial" w:hAnsi="Arial" w:cs="Arial"/>
          <w:sz w:val="20"/>
          <w:szCs w:val="20"/>
        </w:rPr>
        <w:t>regionů</w:t>
      </w:r>
      <w:proofErr w:type="spellEnd"/>
      <w:r w:rsidR="00AE4C46" w:rsidRPr="00AE4C46">
        <w:rPr>
          <w:rFonts w:ascii="Arial" w:hAnsi="Arial" w:cs="Arial"/>
          <w:sz w:val="20"/>
          <w:szCs w:val="20"/>
        </w:rPr>
        <w:t>.</w:t>
      </w:r>
    </w:p>
    <w:p w14:paraId="318D42FE" w14:textId="77777777" w:rsidR="00A2351A" w:rsidRDefault="00A2351A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134FE1A5" w14:textId="77777777" w:rsidR="00A2351A" w:rsidRDefault="002D5C25">
      <w:pPr>
        <w:keepNext/>
        <w:tabs>
          <w:tab w:val="left" w:pos="1675"/>
        </w:tabs>
        <w:ind w:left="115" w:right="106"/>
        <w:rPr>
          <w:rFonts w:ascii="Arial" w:eastAsia="Arial" w:hAnsi="Arial" w:cs="Arial"/>
          <w:b/>
          <w:bCs/>
          <w:i/>
          <w:iCs/>
          <w:color w:val="000000"/>
          <w:sz w:val="20"/>
        </w:rPr>
      </w:pP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Tabulka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 7: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Rozdělení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kumulativních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finančních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údajů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podle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kategorie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intervencí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u EFRR, ESF a Fondu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soudržnosti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(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čl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. 112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odst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. 1 a 2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nařízení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(EU) č. 1303/2013 a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článek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 5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nařízení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(EU) č. 1304/2013)</w:t>
      </w:r>
    </w:p>
    <w:p w14:paraId="7A902279" w14:textId="77777777" w:rsidR="00A2351A" w:rsidRDefault="002D5C25">
      <w:pPr>
        <w:keepNext/>
        <w:tabs>
          <w:tab w:val="left" w:pos="1675"/>
        </w:tabs>
        <w:ind w:left="115" w:right="106"/>
        <w:rPr>
          <w:rFonts w:ascii="Arial" w:eastAsia="Arial" w:hAnsi="Arial" w:cs="Arial"/>
          <w:b/>
          <w:bCs/>
          <w:i/>
          <w:iCs/>
          <w:color w:val="000000"/>
          <w:sz w:val="20"/>
        </w:rPr>
      </w:pPr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(jak je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stanoveno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v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tabulce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 2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přílohy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 II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prováděcího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nařízení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Komise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(EU) č. 1011/2014)</w:t>
      </w:r>
    </w:p>
    <w:p w14:paraId="06876A41" w14:textId="77777777" w:rsidR="00A2351A" w:rsidRDefault="00A2351A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55E75333" w14:textId="1DDF42E5" w:rsidR="00A2351A" w:rsidRDefault="00496C84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  <w:proofErr w:type="spellStart"/>
      <w:r>
        <w:rPr>
          <w:rFonts w:ascii="Arial" w:eastAsia="Arial" w:hAnsi="Arial" w:cs="Arial"/>
          <w:color w:val="000000"/>
          <w:sz w:val="20"/>
        </w:rPr>
        <w:t>Tabulka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7 je </w:t>
      </w:r>
      <w:proofErr w:type="spellStart"/>
      <w:r>
        <w:rPr>
          <w:rFonts w:ascii="Arial" w:eastAsia="Arial" w:hAnsi="Arial" w:cs="Arial"/>
          <w:color w:val="000000"/>
          <w:sz w:val="20"/>
        </w:rPr>
        <w:t>uvedena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v </w:t>
      </w:r>
      <w:proofErr w:type="spellStart"/>
      <w:r>
        <w:rPr>
          <w:rFonts w:ascii="Arial" w:eastAsia="Arial" w:hAnsi="Arial" w:cs="Arial"/>
          <w:color w:val="000000"/>
          <w:sz w:val="20"/>
        </w:rPr>
        <w:t>příloze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r w:rsidR="008B7797">
        <w:rPr>
          <w:rFonts w:ascii="Arial" w:eastAsia="Arial" w:hAnsi="Arial" w:cs="Arial"/>
          <w:color w:val="000000"/>
          <w:sz w:val="20"/>
        </w:rPr>
        <w:t xml:space="preserve">č. </w:t>
      </w:r>
      <w:r w:rsidR="001844FB">
        <w:rPr>
          <w:rFonts w:ascii="Arial" w:eastAsia="Arial" w:hAnsi="Arial" w:cs="Arial"/>
          <w:color w:val="000000"/>
          <w:sz w:val="20"/>
        </w:rPr>
        <w:t>3</w:t>
      </w:r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této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zprávy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a to </w:t>
      </w:r>
      <w:proofErr w:type="spellStart"/>
      <w:r>
        <w:rPr>
          <w:rFonts w:ascii="Arial" w:eastAsia="Arial" w:hAnsi="Arial" w:cs="Arial"/>
          <w:color w:val="000000"/>
          <w:sz w:val="20"/>
        </w:rPr>
        <w:t>zdůvodu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nadměrné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velikosti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této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tabulky</w:t>
      </w:r>
      <w:proofErr w:type="spellEnd"/>
      <w:r>
        <w:rPr>
          <w:rFonts w:ascii="Arial" w:eastAsia="Arial" w:hAnsi="Arial" w:cs="Arial"/>
          <w:color w:val="000000"/>
          <w:sz w:val="20"/>
        </w:rPr>
        <w:t>.</w:t>
      </w:r>
    </w:p>
    <w:p w14:paraId="1BADBB39" w14:textId="77777777" w:rsidR="001844FB" w:rsidRDefault="001844FB" w:rsidP="001844FB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72F4284F" w14:textId="77777777" w:rsidR="001844FB" w:rsidRDefault="001844FB" w:rsidP="001844FB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16"/>
        </w:rPr>
      </w:pPr>
      <w:r>
        <w:rPr>
          <w:rFonts w:ascii="Arial" w:eastAsia="Arial" w:hAnsi="Arial" w:cs="Arial"/>
          <w:color w:val="000000"/>
          <w:sz w:val="16"/>
        </w:rPr>
        <w:t>----------------------------------------------------</w:t>
      </w:r>
    </w:p>
    <w:p w14:paraId="1BBB5E28" w14:textId="77777777" w:rsidR="001844FB" w:rsidRDefault="001844FB" w:rsidP="001844FB">
      <w:pPr>
        <w:keepNext/>
        <w:tabs>
          <w:tab w:val="left" w:pos="1675"/>
        </w:tabs>
        <w:ind w:left="115" w:right="529"/>
        <w:rPr>
          <w:rFonts w:ascii="Arial" w:eastAsia="Arial" w:hAnsi="Arial" w:cs="Arial"/>
          <w:color w:val="000000"/>
          <w:sz w:val="16"/>
        </w:rPr>
      </w:pPr>
      <w:r>
        <w:rPr>
          <w:rFonts w:ascii="Arial" w:eastAsia="Arial" w:hAnsi="Arial" w:cs="Arial"/>
          <w:color w:val="000000"/>
          <w:sz w:val="16"/>
        </w:rPr>
        <w:t xml:space="preserve">10 - </w:t>
      </w:r>
      <w:proofErr w:type="spellStart"/>
      <w:r>
        <w:rPr>
          <w:rFonts w:ascii="Arial" w:eastAsia="Arial" w:hAnsi="Arial" w:cs="Arial"/>
          <w:color w:val="000000"/>
          <w:sz w:val="16"/>
        </w:rPr>
        <w:t>Strukturované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údaje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požadované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>
        <w:rPr>
          <w:rFonts w:ascii="Arial" w:eastAsia="Arial" w:hAnsi="Arial" w:cs="Arial"/>
          <w:color w:val="000000"/>
          <w:sz w:val="16"/>
        </w:rPr>
        <w:t>zprávu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o YEI, </w:t>
      </w:r>
      <w:proofErr w:type="spellStart"/>
      <w:r>
        <w:rPr>
          <w:rFonts w:ascii="Arial" w:eastAsia="Arial" w:hAnsi="Arial" w:cs="Arial"/>
          <w:color w:val="000000"/>
          <w:sz w:val="16"/>
        </w:rPr>
        <w:t>která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má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být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předložena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>
        <w:rPr>
          <w:rFonts w:ascii="Arial" w:eastAsia="Arial" w:hAnsi="Arial" w:cs="Arial"/>
          <w:color w:val="000000"/>
          <w:sz w:val="16"/>
        </w:rPr>
        <w:t>dubnu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2015 v </w:t>
      </w:r>
      <w:proofErr w:type="spellStart"/>
      <w:r>
        <w:rPr>
          <w:rFonts w:ascii="Arial" w:eastAsia="Arial" w:hAnsi="Arial" w:cs="Arial"/>
          <w:color w:val="000000"/>
          <w:sz w:val="16"/>
        </w:rPr>
        <w:t>souladu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s </w:t>
      </w:r>
      <w:proofErr w:type="spellStart"/>
      <w:r>
        <w:rPr>
          <w:rFonts w:ascii="Arial" w:eastAsia="Arial" w:hAnsi="Arial" w:cs="Arial"/>
          <w:color w:val="000000"/>
          <w:sz w:val="16"/>
        </w:rPr>
        <w:t>čl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. 19 </w:t>
      </w:r>
      <w:proofErr w:type="spellStart"/>
      <w:r>
        <w:rPr>
          <w:rFonts w:ascii="Arial" w:eastAsia="Arial" w:hAnsi="Arial" w:cs="Arial"/>
          <w:color w:val="000000"/>
          <w:sz w:val="16"/>
        </w:rPr>
        <w:t>odst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. 3 a </w:t>
      </w:r>
      <w:proofErr w:type="spellStart"/>
      <w:r>
        <w:rPr>
          <w:rFonts w:ascii="Arial" w:eastAsia="Arial" w:hAnsi="Arial" w:cs="Arial"/>
          <w:color w:val="000000"/>
          <w:sz w:val="16"/>
        </w:rPr>
        <w:t>přílohou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II </w:t>
      </w:r>
      <w:proofErr w:type="spellStart"/>
      <w:r>
        <w:rPr>
          <w:rFonts w:ascii="Arial" w:eastAsia="Arial" w:hAnsi="Arial" w:cs="Arial"/>
          <w:color w:val="000000"/>
          <w:sz w:val="16"/>
        </w:rPr>
        <w:t>nařízení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(EU) č. 1304/2013. </w:t>
      </w:r>
    </w:p>
    <w:p w14:paraId="7E17D6F4" w14:textId="77777777" w:rsidR="001844FB" w:rsidRDefault="001844FB" w:rsidP="001844FB">
      <w:pPr>
        <w:keepNext/>
        <w:tabs>
          <w:tab w:val="left" w:pos="1675"/>
        </w:tabs>
        <w:ind w:left="115" w:right="529"/>
        <w:rPr>
          <w:rFonts w:ascii="Arial" w:eastAsia="Arial" w:hAnsi="Arial" w:cs="Arial"/>
          <w:color w:val="000000"/>
          <w:sz w:val="16"/>
        </w:rPr>
      </w:pPr>
      <w:r>
        <w:rPr>
          <w:rFonts w:ascii="Arial" w:eastAsia="Arial" w:hAnsi="Arial" w:cs="Arial"/>
          <w:color w:val="000000"/>
          <w:sz w:val="16"/>
        </w:rPr>
        <w:t xml:space="preserve">11 - </w:t>
      </w:r>
      <w:proofErr w:type="spellStart"/>
      <w:r>
        <w:rPr>
          <w:rFonts w:ascii="Arial" w:eastAsia="Arial" w:hAnsi="Arial" w:cs="Arial"/>
          <w:color w:val="000000"/>
          <w:sz w:val="16"/>
        </w:rPr>
        <w:t>Prováděcí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nařízení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Komise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(EU) č. 1011/2014 </w:t>
      </w:r>
      <w:proofErr w:type="spellStart"/>
      <w:r>
        <w:rPr>
          <w:rFonts w:ascii="Arial" w:eastAsia="Arial" w:hAnsi="Arial" w:cs="Arial"/>
          <w:color w:val="000000"/>
          <w:sz w:val="16"/>
        </w:rPr>
        <w:t>ze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dne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22. </w:t>
      </w:r>
      <w:proofErr w:type="spellStart"/>
      <w:r>
        <w:rPr>
          <w:rFonts w:ascii="Arial" w:eastAsia="Arial" w:hAnsi="Arial" w:cs="Arial"/>
          <w:color w:val="000000"/>
          <w:sz w:val="16"/>
        </w:rPr>
        <w:t>září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2014, </w:t>
      </w:r>
      <w:proofErr w:type="spellStart"/>
      <w:r>
        <w:rPr>
          <w:rFonts w:ascii="Arial" w:eastAsia="Arial" w:hAnsi="Arial" w:cs="Arial"/>
          <w:color w:val="000000"/>
          <w:sz w:val="16"/>
        </w:rPr>
        <w:t>kterým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se </w:t>
      </w:r>
      <w:proofErr w:type="spellStart"/>
      <w:r>
        <w:rPr>
          <w:rFonts w:ascii="Arial" w:eastAsia="Arial" w:hAnsi="Arial" w:cs="Arial"/>
          <w:color w:val="000000"/>
          <w:sz w:val="16"/>
        </w:rPr>
        <w:t>stanoví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prováděcí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pravidla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k </w:t>
      </w:r>
      <w:proofErr w:type="spellStart"/>
      <w:r>
        <w:rPr>
          <w:rFonts w:ascii="Arial" w:eastAsia="Arial" w:hAnsi="Arial" w:cs="Arial"/>
          <w:color w:val="000000"/>
          <w:sz w:val="16"/>
        </w:rPr>
        <w:t>nařízení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Evropského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parlamentu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a Rady (EU) č. 1303/2013, </w:t>
      </w:r>
      <w:proofErr w:type="spellStart"/>
      <w:r>
        <w:rPr>
          <w:rFonts w:ascii="Arial" w:eastAsia="Arial" w:hAnsi="Arial" w:cs="Arial"/>
          <w:color w:val="000000"/>
          <w:sz w:val="16"/>
        </w:rPr>
        <w:t>pokud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jde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o </w:t>
      </w:r>
      <w:proofErr w:type="spellStart"/>
      <w:r>
        <w:rPr>
          <w:rFonts w:ascii="Arial" w:eastAsia="Arial" w:hAnsi="Arial" w:cs="Arial"/>
          <w:color w:val="000000"/>
          <w:sz w:val="16"/>
        </w:rPr>
        <w:t>vzory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>
        <w:rPr>
          <w:rFonts w:ascii="Arial" w:eastAsia="Arial" w:hAnsi="Arial" w:cs="Arial"/>
          <w:color w:val="000000"/>
          <w:sz w:val="16"/>
        </w:rPr>
        <w:t>předkládání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určitých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informací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Komisi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, a </w:t>
      </w:r>
      <w:proofErr w:type="spellStart"/>
      <w:r>
        <w:rPr>
          <w:rFonts w:ascii="Arial" w:eastAsia="Arial" w:hAnsi="Arial" w:cs="Arial"/>
          <w:color w:val="000000"/>
          <w:sz w:val="16"/>
        </w:rPr>
        <w:t>podrobná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pravidla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týkající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se </w:t>
      </w:r>
      <w:proofErr w:type="spellStart"/>
      <w:r>
        <w:rPr>
          <w:rFonts w:ascii="Arial" w:eastAsia="Arial" w:hAnsi="Arial" w:cs="Arial"/>
          <w:color w:val="000000"/>
          <w:sz w:val="16"/>
        </w:rPr>
        <w:t>výměny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informací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mezi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příjemci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16"/>
        </w:rPr>
        <w:t>řídicími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orgány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16"/>
        </w:rPr>
        <w:t>certifikačními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orgány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16"/>
        </w:rPr>
        <w:t>auditními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orgány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16"/>
        </w:rPr>
        <w:t>zprostředkujícími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subjekty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(</w:t>
      </w:r>
      <w:proofErr w:type="spellStart"/>
      <w:r>
        <w:rPr>
          <w:rFonts w:ascii="Arial" w:eastAsia="Arial" w:hAnsi="Arial" w:cs="Arial"/>
          <w:color w:val="000000"/>
          <w:sz w:val="16"/>
        </w:rPr>
        <w:t>Úř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>
        <w:rPr>
          <w:rFonts w:ascii="Arial" w:eastAsia="Arial" w:hAnsi="Arial" w:cs="Arial"/>
          <w:color w:val="000000"/>
          <w:sz w:val="16"/>
        </w:rPr>
        <w:t>věst</w:t>
      </w:r>
      <w:proofErr w:type="spellEnd"/>
      <w:r>
        <w:rPr>
          <w:rFonts w:ascii="Arial" w:eastAsia="Arial" w:hAnsi="Arial" w:cs="Arial"/>
          <w:color w:val="000000"/>
          <w:sz w:val="16"/>
        </w:rPr>
        <w:t>. L 286, 30.9.2014, s. 1).</w:t>
      </w:r>
    </w:p>
    <w:p w14:paraId="0F4BD1FB" w14:textId="77777777" w:rsidR="00A2351A" w:rsidRDefault="002D5C25">
      <w:r>
        <w:br w:type="page"/>
      </w:r>
    </w:p>
    <w:p w14:paraId="6AC34F7D" w14:textId="77777777" w:rsidR="00A2351A" w:rsidRDefault="00A2351A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61CD6F49" w14:textId="1FCFC997" w:rsidR="00A2351A" w:rsidRDefault="002D5C25">
      <w:pPr>
        <w:keepNext/>
        <w:tabs>
          <w:tab w:val="left" w:pos="1675"/>
        </w:tabs>
        <w:ind w:left="115" w:right="106"/>
        <w:rPr>
          <w:rFonts w:ascii="Arial" w:eastAsia="Arial" w:hAnsi="Arial" w:cs="Arial"/>
          <w:b/>
          <w:bCs/>
          <w:i/>
          <w:iCs/>
          <w:color w:val="000000"/>
          <w:sz w:val="16"/>
        </w:rPr>
      </w:pP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Tabulka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 8: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Využití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křížového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financování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000000"/>
          <w:sz w:val="16"/>
        </w:rPr>
        <w:t>(12)</w:t>
      </w:r>
    </w:p>
    <w:p w14:paraId="017557D6" w14:textId="2D076442" w:rsidR="004E7D2C" w:rsidRPr="00E0096B" w:rsidRDefault="004E7D2C">
      <w:pPr>
        <w:keepNext/>
        <w:tabs>
          <w:tab w:val="left" w:pos="1675"/>
        </w:tabs>
        <w:ind w:left="115" w:right="106"/>
        <w:rPr>
          <w:rFonts w:ascii="Arial" w:eastAsia="Arial" w:hAnsi="Arial" w:cs="Arial"/>
          <w:b/>
          <w:bCs/>
          <w:color w:val="000000" w:themeColor="text1"/>
          <w:sz w:val="20"/>
        </w:rPr>
      </w:pPr>
    </w:p>
    <w:tbl>
      <w:tblPr>
        <w:tblW w:w="0" w:type="auto"/>
        <w:tblInd w:w="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3"/>
        <w:gridCol w:w="2033"/>
        <w:gridCol w:w="2083"/>
        <w:gridCol w:w="2083"/>
        <w:gridCol w:w="2083"/>
        <w:gridCol w:w="2221"/>
      </w:tblGrid>
      <w:tr w:rsidR="001844FB" w14:paraId="09D03F0A" w14:textId="77777777" w:rsidTr="00447203">
        <w:trPr>
          <w:tblHeader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D07588" w14:textId="77777777" w:rsidR="001844FB" w:rsidRDefault="001844FB" w:rsidP="00447203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1.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39C47D" w14:textId="77777777" w:rsidR="001844FB" w:rsidRDefault="001844FB" w:rsidP="00447203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2.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33C055" w14:textId="77777777" w:rsidR="001844FB" w:rsidRDefault="001844FB" w:rsidP="00447203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3.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665D50" w14:textId="77777777" w:rsidR="001844FB" w:rsidRDefault="001844FB" w:rsidP="00447203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4.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169722" w14:textId="77777777" w:rsidR="001844FB" w:rsidRDefault="001844FB" w:rsidP="00447203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5.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B0E1B8" w14:textId="77777777" w:rsidR="001844FB" w:rsidRDefault="001844FB" w:rsidP="00447203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6.</w:t>
            </w:r>
          </w:p>
        </w:tc>
      </w:tr>
      <w:tr w:rsidR="001844FB" w14:paraId="0D4EDD4E" w14:textId="77777777" w:rsidTr="00447203">
        <w:trPr>
          <w:tblHeader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F2B64" w14:textId="77777777" w:rsidR="001844FB" w:rsidRDefault="001844FB" w:rsidP="00447203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Využití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křížového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financování</w:t>
            </w:r>
            <w:proofErr w:type="spellEnd"/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005D1F" w14:textId="77777777" w:rsidR="001844FB" w:rsidRDefault="001844FB" w:rsidP="00447203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Prioritní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osa</w:t>
            </w:r>
            <w:proofErr w:type="spellEnd"/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010DCE" w14:textId="77777777" w:rsidR="001844FB" w:rsidRDefault="001844FB" w:rsidP="00447203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Výše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podpory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EU,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která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má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být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použita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křížové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financování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základě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vybraných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operací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9"/>
                <w:vertAlign w:val="superscript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(2) (v EUR)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7B83BC" w14:textId="77777777" w:rsidR="001844FB" w:rsidRDefault="001844FB" w:rsidP="00447203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Podíl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podpory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EU pro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prioritní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osu</w:t>
            </w:r>
            <w:proofErr w:type="spellEnd"/>
          </w:p>
          <w:p w14:paraId="2F79A35B" w14:textId="77777777" w:rsidR="001844FB" w:rsidRDefault="001844FB" w:rsidP="00447203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(v %)</w:t>
            </w:r>
          </w:p>
          <w:p w14:paraId="687CAEA7" w14:textId="77777777" w:rsidR="001844FB" w:rsidRDefault="001844FB" w:rsidP="00447203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(3/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podpora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EU pro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prioritní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osu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x 100)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451948" w14:textId="77777777" w:rsidR="001844FB" w:rsidRDefault="001844FB" w:rsidP="00447203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Výše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podpory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EU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využité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v 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rámci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křížového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financování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základě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způsobilých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výdajů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které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příjemce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vykázal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řídicímu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orgánu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(v EUR)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E7A61C" w14:textId="77777777" w:rsidR="001844FB" w:rsidRDefault="001844FB" w:rsidP="00447203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Podíl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podpory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EU pro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prioritní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osu</w:t>
            </w:r>
            <w:proofErr w:type="spellEnd"/>
          </w:p>
          <w:p w14:paraId="74DC80E5" w14:textId="77777777" w:rsidR="001844FB" w:rsidRDefault="001844FB" w:rsidP="00447203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(v %)</w:t>
            </w:r>
          </w:p>
          <w:p w14:paraId="4A49D3CB" w14:textId="77777777" w:rsidR="001844FB" w:rsidRDefault="001844FB" w:rsidP="00447203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(5/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podpora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EU pro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prioritní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osu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x 100)</w:t>
            </w:r>
          </w:p>
        </w:tc>
      </w:tr>
      <w:tr w:rsidR="001844FB" w14:paraId="4CEE1366" w14:textId="77777777" w:rsidTr="00447203"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8CA28C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Křížové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financování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: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náklady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způsobilé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pro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podporu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na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základě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EFRR,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avšak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podpořené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z ESF (1)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44AAF4" w14:textId="77777777" w:rsidR="001844FB" w:rsidRDefault="001844FB" w:rsidP="00447203">
            <w:pPr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03.1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5F212B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4 311 537,68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882FE2" w14:textId="5D0F7CB3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0,</w:t>
            </w:r>
            <w:r w:rsidR="001612AA">
              <w:rPr>
                <w:rFonts w:ascii="Arial" w:eastAsia="Arial" w:hAnsi="Arial" w:cs="Arial"/>
                <w:color w:val="000000"/>
                <w:sz w:val="14"/>
              </w:rPr>
              <w:t>29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A1D2F5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4 142 854,06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26E362" w14:textId="1CF4B18D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0,</w:t>
            </w:r>
            <w:r w:rsidR="001612AA">
              <w:rPr>
                <w:rFonts w:ascii="Arial" w:eastAsia="Arial" w:hAnsi="Arial" w:cs="Arial"/>
                <w:color w:val="000000"/>
                <w:sz w:val="14"/>
              </w:rPr>
              <w:t>28</w:t>
            </w:r>
          </w:p>
        </w:tc>
      </w:tr>
      <w:tr w:rsidR="001844FB" w14:paraId="1EE34B6D" w14:textId="77777777" w:rsidTr="00447203"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B0000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Křížové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financování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: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náklady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způsobilé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pro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podporu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na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základě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EFRR,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avšak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podpořené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z ESF (1)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EBF8EE" w14:textId="77777777" w:rsidR="001844FB" w:rsidRDefault="001844FB" w:rsidP="00447203">
            <w:pPr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03.2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B9C91C" w14:textId="1930D209" w:rsidR="001844FB" w:rsidRDefault="00844ADC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11 </w:t>
            </w:r>
            <w:r w:rsidR="001844FB">
              <w:rPr>
                <w:rFonts w:ascii="Arial" w:eastAsia="Arial" w:hAnsi="Arial" w:cs="Arial"/>
                <w:color w:val="000000"/>
                <w:sz w:val="14"/>
              </w:rPr>
              <w:t>9</w:t>
            </w:r>
            <w:r>
              <w:rPr>
                <w:rFonts w:ascii="Arial" w:eastAsia="Arial" w:hAnsi="Arial" w:cs="Arial"/>
                <w:color w:val="000000"/>
                <w:sz w:val="14"/>
              </w:rPr>
              <w:t>07 138</w:t>
            </w:r>
            <w:r w:rsidR="001844FB">
              <w:rPr>
                <w:rFonts w:ascii="Arial" w:eastAsia="Arial" w:hAnsi="Arial" w:cs="Arial"/>
                <w:color w:val="000000"/>
                <w:sz w:val="14"/>
              </w:rPr>
              <w:t>,</w:t>
            </w:r>
            <w:r>
              <w:rPr>
                <w:rFonts w:ascii="Arial" w:eastAsia="Arial" w:hAnsi="Arial" w:cs="Arial"/>
                <w:color w:val="000000"/>
                <w:sz w:val="14"/>
              </w:rPr>
              <w:t>73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4FA63" w14:textId="3609457C" w:rsidR="001844FB" w:rsidRDefault="001612AA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1</w:t>
            </w:r>
            <w:r w:rsidR="001844FB">
              <w:rPr>
                <w:rFonts w:ascii="Arial" w:eastAsia="Arial" w:hAnsi="Arial" w:cs="Arial"/>
                <w:color w:val="000000"/>
                <w:sz w:val="14"/>
              </w:rPr>
              <w:t>,</w:t>
            </w:r>
            <w:r>
              <w:rPr>
                <w:rFonts w:ascii="Arial" w:eastAsia="Arial" w:hAnsi="Arial" w:cs="Arial"/>
                <w:color w:val="000000"/>
                <w:sz w:val="14"/>
              </w:rPr>
              <w:t>98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E658D1" w14:textId="7B584B85" w:rsidR="001844FB" w:rsidRDefault="00844ADC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762 695</w:t>
            </w:r>
            <w:r w:rsidR="001844FB">
              <w:rPr>
                <w:rFonts w:ascii="Arial" w:eastAsia="Arial" w:hAnsi="Arial" w:cs="Arial"/>
                <w:color w:val="000000"/>
                <w:sz w:val="14"/>
              </w:rPr>
              <w:t>,</w:t>
            </w:r>
            <w:r>
              <w:rPr>
                <w:rFonts w:ascii="Arial" w:eastAsia="Arial" w:hAnsi="Arial" w:cs="Arial"/>
                <w:color w:val="000000"/>
                <w:sz w:val="14"/>
              </w:rPr>
              <w:t>62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EA343F" w14:textId="3C71F653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0,</w:t>
            </w:r>
            <w:r w:rsidR="001612AA">
              <w:rPr>
                <w:rFonts w:ascii="Arial" w:eastAsia="Arial" w:hAnsi="Arial" w:cs="Arial"/>
                <w:color w:val="000000"/>
                <w:sz w:val="14"/>
              </w:rPr>
              <w:t>13</w:t>
            </w:r>
          </w:p>
        </w:tc>
      </w:tr>
      <w:tr w:rsidR="001844FB" w14:paraId="71721E36" w14:textId="77777777" w:rsidTr="00447203"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D155B7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Křížové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financování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: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náklady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způsobilé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pro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podporu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na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základě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EFRR,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avšak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podpořené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z ESF (1)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D1FB09" w14:textId="77777777" w:rsidR="001844FB" w:rsidRDefault="001844FB" w:rsidP="00447203">
            <w:pPr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03.3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9872E5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3 518,33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7C80E0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0,01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68E85F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0,00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A73391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0,00</w:t>
            </w:r>
          </w:p>
        </w:tc>
      </w:tr>
      <w:tr w:rsidR="001844FB" w14:paraId="63CB0247" w14:textId="77777777" w:rsidTr="00447203"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FDE3F8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Křížové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financování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: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náklady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způsobilé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pro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podporu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na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základě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EFRR,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avšak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podpořené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z ESF (1)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1F7FBA" w14:textId="77777777" w:rsidR="001844FB" w:rsidRDefault="001844FB" w:rsidP="00447203">
            <w:pPr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03.4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73EC39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1 945,60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39FE88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0,00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E6673F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0,00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13AC6F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0,00</w:t>
            </w:r>
          </w:p>
        </w:tc>
      </w:tr>
      <w:tr w:rsidR="001844FB" w14:paraId="106FAF79" w14:textId="77777777" w:rsidTr="00447203"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234378" w14:textId="77777777" w:rsidR="001844FB" w:rsidRDefault="001844FB" w:rsidP="00447203">
            <w:pPr>
              <w:tabs>
                <w:tab w:val="left" w:pos="828"/>
              </w:tabs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Křížové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financování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: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náklady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způsobilé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pro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podporu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na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základě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EFRR,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avšak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podpořené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z ESF (1)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03F17" w14:textId="77777777" w:rsidR="001844FB" w:rsidRDefault="001844FB" w:rsidP="00447203">
            <w:pPr>
              <w:ind w:left="57" w:right="57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03.5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E12FCC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0,00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F361CD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0,00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FBD442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0,00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0AB933" w14:textId="77777777" w:rsidR="001844FB" w:rsidRDefault="001844FB" w:rsidP="00447203">
            <w:pPr>
              <w:keepNext/>
              <w:keepLines/>
              <w:tabs>
                <w:tab w:val="left" w:pos="828"/>
              </w:tabs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0,00</w:t>
            </w:r>
          </w:p>
        </w:tc>
      </w:tr>
    </w:tbl>
    <w:p w14:paraId="5B33FB94" w14:textId="77777777" w:rsidR="001844FB" w:rsidRDefault="001844FB" w:rsidP="001844FB">
      <w:pPr>
        <w:keepNext/>
        <w:tabs>
          <w:tab w:val="left" w:pos="534"/>
        </w:tabs>
        <w:ind w:left="115" w:right="812"/>
        <w:rPr>
          <w:rFonts w:ascii="Arial" w:eastAsia="Arial" w:hAnsi="Arial" w:cs="Arial"/>
          <w:color w:val="000000"/>
          <w:sz w:val="16"/>
        </w:rPr>
      </w:pPr>
      <w:r>
        <w:rPr>
          <w:rFonts w:ascii="Arial" w:eastAsia="Arial" w:hAnsi="Arial" w:cs="Arial"/>
          <w:color w:val="000000"/>
          <w:sz w:val="16"/>
        </w:rPr>
        <w:t>1</w:t>
      </w:r>
      <w:r>
        <w:rPr>
          <w:rFonts w:ascii="Arial" w:eastAsia="Arial" w:hAnsi="Arial" w:cs="Arial"/>
          <w:color w:val="000000"/>
          <w:sz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</w:rPr>
        <w:t>Není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-li </w:t>
      </w:r>
      <w:proofErr w:type="spellStart"/>
      <w:r>
        <w:rPr>
          <w:rFonts w:ascii="Arial" w:eastAsia="Arial" w:hAnsi="Arial" w:cs="Arial"/>
          <w:color w:val="000000"/>
          <w:sz w:val="16"/>
        </w:rPr>
        <w:t>možné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stanovit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přesné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částky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předem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16"/>
        </w:rPr>
        <w:t>před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provedením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operace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16"/>
        </w:rPr>
        <w:t>měla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by </w:t>
      </w:r>
      <w:proofErr w:type="spellStart"/>
      <w:r>
        <w:rPr>
          <w:rFonts w:ascii="Arial" w:eastAsia="Arial" w:hAnsi="Arial" w:cs="Arial"/>
          <w:color w:val="000000"/>
          <w:sz w:val="16"/>
        </w:rPr>
        <w:t>být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zpráva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založena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na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stropech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platných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>
        <w:rPr>
          <w:rFonts w:ascii="Arial" w:eastAsia="Arial" w:hAnsi="Arial" w:cs="Arial"/>
          <w:color w:val="000000"/>
          <w:sz w:val="16"/>
        </w:rPr>
        <w:t>danou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operaci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16"/>
        </w:rPr>
        <w:t>tj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. </w:t>
      </w:r>
      <w:proofErr w:type="spellStart"/>
      <w:r>
        <w:rPr>
          <w:rFonts w:ascii="Arial" w:eastAsia="Arial" w:hAnsi="Arial" w:cs="Arial"/>
          <w:color w:val="000000"/>
          <w:sz w:val="16"/>
        </w:rPr>
        <w:t>pokud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může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operace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EFRR </w:t>
      </w:r>
      <w:proofErr w:type="spellStart"/>
      <w:r>
        <w:rPr>
          <w:rFonts w:ascii="Arial" w:eastAsia="Arial" w:hAnsi="Arial" w:cs="Arial"/>
          <w:color w:val="000000"/>
          <w:sz w:val="16"/>
        </w:rPr>
        <w:t>zahrnovat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až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20 % </w:t>
      </w:r>
      <w:proofErr w:type="spellStart"/>
      <w:r>
        <w:rPr>
          <w:rFonts w:ascii="Arial" w:eastAsia="Arial" w:hAnsi="Arial" w:cs="Arial"/>
          <w:color w:val="000000"/>
          <w:sz w:val="16"/>
        </w:rPr>
        <w:t>výdajů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typu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ESF, </w:t>
      </w:r>
      <w:proofErr w:type="spellStart"/>
      <w:r>
        <w:rPr>
          <w:rFonts w:ascii="Arial" w:eastAsia="Arial" w:hAnsi="Arial" w:cs="Arial"/>
          <w:color w:val="000000"/>
          <w:sz w:val="16"/>
        </w:rPr>
        <w:t>měla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by </w:t>
      </w:r>
      <w:proofErr w:type="spellStart"/>
      <w:r>
        <w:rPr>
          <w:rFonts w:ascii="Arial" w:eastAsia="Arial" w:hAnsi="Arial" w:cs="Arial"/>
          <w:color w:val="000000"/>
          <w:sz w:val="16"/>
        </w:rPr>
        <w:t>zpráva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vycházet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z </w:t>
      </w:r>
      <w:proofErr w:type="spellStart"/>
      <w:r>
        <w:rPr>
          <w:rFonts w:ascii="Arial" w:eastAsia="Arial" w:hAnsi="Arial" w:cs="Arial"/>
          <w:color w:val="000000"/>
          <w:sz w:val="16"/>
        </w:rPr>
        <w:t>předpokladu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16"/>
        </w:rPr>
        <w:t>že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za </w:t>
      </w:r>
      <w:proofErr w:type="spellStart"/>
      <w:r>
        <w:rPr>
          <w:rFonts w:ascii="Arial" w:eastAsia="Arial" w:hAnsi="Arial" w:cs="Arial"/>
          <w:color w:val="000000"/>
          <w:sz w:val="16"/>
        </w:rPr>
        <w:t>tímto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účelem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lze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použít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celých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20 %. </w:t>
      </w:r>
      <w:proofErr w:type="spellStart"/>
      <w:r>
        <w:rPr>
          <w:rFonts w:ascii="Arial" w:eastAsia="Arial" w:hAnsi="Arial" w:cs="Arial"/>
          <w:color w:val="000000"/>
          <w:sz w:val="16"/>
        </w:rPr>
        <w:t>Pokud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byla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operace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dokončena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16"/>
        </w:rPr>
        <w:t>měly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by </w:t>
      </w:r>
      <w:proofErr w:type="spellStart"/>
      <w:r>
        <w:rPr>
          <w:rFonts w:ascii="Arial" w:eastAsia="Arial" w:hAnsi="Arial" w:cs="Arial"/>
          <w:color w:val="000000"/>
          <w:sz w:val="16"/>
        </w:rPr>
        <w:t>údaje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použité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>
        <w:rPr>
          <w:rFonts w:ascii="Arial" w:eastAsia="Arial" w:hAnsi="Arial" w:cs="Arial"/>
          <w:color w:val="000000"/>
          <w:sz w:val="16"/>
        </w:rPr>
        <w:t>tento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sloupec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vycházet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z </w:t>
      </w:r>
      <w:proofErr w:type="spellStart"/>
      <w:r>
        <w:rPr>
          <w:rFonts w:ascii="Arial" w:eastAsia="Arial" w:hAnsi="Arial" w:cs="Arial"/>
          <w:color w:val="000000"/>
          <w:sz w:val="16"/>
        </w:rPr>
        <w:t>reálných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nákladů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16"/>
        </w:rPr>
        <w:t>které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příjemci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vznikly</w:t>
      </w:r>
      <w:proofErr w:type="spellEnd"/>
      <w:r>
        <w:rPr>
          <w:rFonts w:ascii="Arial" w:eastAsia="Arial" w:hAnsi="Arial" w:cs="Arial"/>
          <w:color w:val="000000"/>
          <w:sz w:val="16"/>
        </w:rPr>
        <w:t>.</w:t>
      </w:r>
    </w:p>
    <w:p w14:paraId="744749C9" w14:textId="77777777" w:rsidR="001844FB" w:rsidRDefault="001844FB" w:rsidP="001844FB">
      <w:pPr>
        <w:keepNext/>
        <w:tabs>
          <w:tab w:val="left" w:pos="534"/>
        </w:tabs>
        <w:ind w:left="115" w:right="812"/>
        <w:rPr>
          <w:rFonts w:ascii="Arial" w:eastAsia="Arial" w:hAnsi="Arial" w:cs="Arial"/>
          <w:color w:val="000000"/>
          <w:sz w:val="16"/>
        </w:rPr>
      </w:pPr>
      <w:r>
        <w:rPr>
          <w:rFonts w:ascii="Arial" w:eastAsia="Arial" w:hAnsi="Arial" w:cs="Arial"/>
          <w:color w:val="000000"/>
          <w:sz w:val="16"/>
        </w:rPr>
        <w:t>2</w:t>
      </w:r>
      <w:r>
        <w:rPr>
          <w:rFonts w:ascii="Arial" w:eastAsia="Arial" w:hAnsi="Arial" w:cs="Arial"/>
          <w:color w:val="000000"/>
          <w:sz w:val="16"/>
        </w:rPr>
        <w:tab/>
      </w:r>
      <w:proofErr w:type="spellStart"/>
      <w:r>
        <w:rPr>
          <w:rFonts w:ascii="Arial" w:eastAsia="Arial" w:hAnsi="Arial" w:cs="Arial"/>
          <w:color w:val="000000"/>
          <w:sz w:val="16"/>
        </w:rPr>
        <w:t>Čl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. 98 </w:t>
      </w:r>
      <w:proofErr w:type="spellStart"/>
      <w:r>
        <w:rPr>
          <w:rFonts w:ascii="Arial" w:eastAsia="Arial" w:hAnsi="Arial" w:cs="Arial"/>
          <w:color w:val="000000"/>
          <w:sz w:val="16"/>
        </w:rPr>
        <w:t>odst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. 2 </w:t>
      </w:r>
      <w:proofErr w:type="spellStart"/>
      <w:r>
        <w:rPr>
          <w:rFonts w:ascii="Arial" w:eastAsia="Arial" w:hAnsi="Arial" w:cs="Arial"/>
          <w:color w:val="000000"/>
          <w:sz w:val="16"/>
        </w:rPr>
        <w:t>nařízení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(EU) č. 1303/2013.</w:t>
      </w:r>
    </w:p>
    <w:p w14:paraId="5051585A" w14:textId="77777777" w:rsidR="001844FB" w:rsidRDefault="001844FB" w:rsidP="001844FB">
      <w:pPr>
        <w:keepNext/>
        <w:tabs>
          <w:tab w:val="left" w:pos="1675"/>
        </w:tabs>
        <w:ind w:right="106"/>
        <w:rPr>
          <w:rFonts w:ascii="Arial" w:eastAsia="Arial" w:hAnsi="Arial" w:cs="Arial"/>
          <w:color w:val="000000"/>
          <w:sz w:val="20"/>
        </w:rPr>
      </w:pPr>
    </w:p>
    <w:p w14:paraId="5BB7525B" w14:textId="77777777" w:rsidR="001844FB" w:rsidRDefault="001844FB" w:rsidP="001844FB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16"/>
        </w:rPr>
      </w:pPr>
      <w:r>
        <w:rPr>
          <w:rFonts w:ascii="Arial" w:eastAsia="Arial" w:hAnsi="Arial" w:cs="Arial"/>
          <w:color w:val="000000"/>
          <w:sz w:val="16"/>
        </w:rPr>
        <w:t>----------------------------------------------------</w:t>
      </w:r>
    </w:p>
    <w:p w14:paraId="22DF48D9" w14:textId="77777777" w:rsidR="001844FB" w:rsidRDefault="001844FB" w:rsidP="001844FB">
      <w:pPr>
        <w:tabs>
          <w:tab w:val="left" w:pos="1675"/>
        </w:tabs>
        <w:ind w:left="115" w:right="106"/>
        <w:rPr>
          <w:rFonts w:ascii="Arial" w:eastAsia="Arial" w:hAnsi="Arial" w:cs="Arial"/>
          <w:b/>
          <w:bCs/>
          <w:i/>
          <w:iCs/>
          <w:color w:val="000000"/>
          <w:sz w:val="20"/>
        </w:rPr>
      </w:pPr>
      <w:r>
        <w:rPr>
          <w:rFonts w:ascii="Arial" w:eastAsia="Arial" w:hAnsi="Arial" w:cs="Arial"/>
          <w:color w:val="000000"/>
          <w:sz w:val="16"/>
        </w:rPr>
        <w:t xml:space="preserve">12 - </w:t>
      </w:r>
      <w:proofErr w:type="spellStart"/>
      <w:r>
        <w:rPr>
          <w:rFonts w:ascii="Arial" w:eastAsia="Arial" w:hAnsi="Arial" w:cs="Arial"/>
          <w:color w:val="000000"/>
          <w:sz w:val="16"/>
        </w:rPr>
        <w:t>Použitelné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pouze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u </w:t>
      </w:r>
      <w:proofErr w:type="spellStart"/>
      <w:r>
        <w:rPr>
          <w:rFonts w:ascii="Arial" w:eastAsia="Arial" w:hAnsi="Arial" w:cs="Arial"/>
          <w:color w:val="000000"/>
          <w:sz w:val="16"/>
        </w:rPr>
        <w:t>operačních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programů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>
        <w:rPr>
          <w:rFonts w:ascii="Arial" w:eastAsia="Arial" w:hAnsi="Arial" w:cs="Arial"/>
          <w:color w:val="000000"/>
          <w:sz w:val="16"/>
        </w:rPr>
        <w:t>rámci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cíle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Investice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>
        <w:rPr>
          <w:rFonts w:ascii="Arial" w:eastAsia="Arial" w:hAnsi="Arial" w:cs="Arial"/>
          <w:color w:val="000000"/>
          <w:sz w:val="16"/>
        </w:rPr>
        <w:t>růst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16"/>
        </w:rPr>
        <w:t>zaměstnanost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16"/>
        </w:rPr>
        <w:t>které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zahrnují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ESF a/</w:t>
      </w:r>
      <w:proofErr w:type="spellStart"/>
      <w:r>
        <w:rPr>
          <w:rFonts w:ascii="Arial" w:eastAsia="Arial" w:hAnsi="Arial" w:cs="Arial"/>
          <w:color w:val="000000"/>
          <w:sz w:val="16"/>
        </w:rPr>
        <w:t>nebo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EFRR.</w:t>
      </w:r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</w:p>
    <w:p w14:paraId="2F0DE9D6" w14:textId="77777777" w:rsidR="001844FB" w:rsidRPr="00E0096B" w:rsidRDefault="001844FB">
      <w:pPr>
        <w:keepNext/>
        <w:tabs>
          <w:tab w:val="left" w:pos="1675"/>
        </w:tabs>
        <w:ind w:left="115" w:right="106"/>
        <w:rPr>
          <w:rFonts w:ascii="Arial" w:eastAsia="Arial" w:hAnsi="Arial" w:cs="Arial"/>
          <w:b/>
          <w:bCs/>
          <w:color w:val="000000" w:themeColor="text1"/>
          <w:sz w:val="16"/>
        </w:rPr>
      </w:pPr>
    </w:p>
    <w:p w14:paraId="15C4A278" w14:textId="77777777" w:rsidR="00A2351A" w:rsidRDefault="00A2351A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8"/>
        </w:rPr>
      </w:pPr>
    </w:p>
    <w:p w14:paraId="3442F5FB" w14:textId="77777777" w:rsidR="00A2351A" w:rsidRDefault="002D5C25">
      <w:pPr>
        <w:spacing w:after="200" w:line="276" w:lineRule="auto"/>
        <w:ind w:left="115" w:right="106"/>
        <w:rPr>
          <w:rFonts w:ascii="Arial" w:eastAsia="Arial" w:hAnsi="Arial" w:cs="Arial"/>
          <w:b/>
          <w:bCs/>
          <w:i/>
          <w:iCs/>
          <w:color w:val="000000"/>
          <w:sz w:val="16"/>
        </w:rPr>
      </w:pP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Tabulka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 10: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Náklady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na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operace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prováděné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mimo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Unii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(ESF) </w:t>
      </w:r>
      <w:r>
        <w:rPr>
          <w:rFonts w:ascii="Arial" w:eastAsia="Arial" w:hAnsi="Arial" w:cs="Arial"/>
          <w:b/>
          <w:bCs/>
          <w:i/>
          <w:iCs/>
          <w:color w:val="000000"/>
          <w:sz w:val="16"/>
        </w:rPr>
        <w:t>(13)</w:t>
      </w:r>
    </w:p>
    <w:tbl>
      <w:tblPr>
        <w:tblW w:w="0" w:type="auto"/>
        <w:tblInd w:w="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2"/>
        <w:gridCol w:w="3902"/>
        <w:gridCol w:w="3902"/>
        <w:gridCol w:w="3539"/>
      </w:tblGrid>
      <w:tr w:rsidR="00A2351A" w14:paraId="2291476D" w14:textId="77777777">
        <w:trPr>
          <w:tblHeader/>
        </w:trPr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36F42" w14:textId="77777777" w:rsidR="00A2351A" w:rsidRDefault="002D5C25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1.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2FFEFC" w14:textId="77777777" w:rsidR="00A2351A" w:rsidRDefault="002D5C25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2.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5D261" w14:textId="77777777" w:rsidR="00A2351A" w:rsidRDefault="002D5C25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3.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749BFE" w14:textId="77777777" w:rsidR="00A2351A" w:rsidRDefault="002D5C25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4.</w:t>
            </w:r>
          </w:p>
        </w:tc>
      </w:tr>
      <w:tr w:rsidR="00A2351A" w14:paraId="48ECFEA4" w14:textId="77777777">
        <w:trPr>
          <w:tblHeader/>
        </w:trPr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6DE682" w14:textId="77777777" w:rsidR="00A2351A" w:rsidRDefault="002D5C25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Výše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výdajů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které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mají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být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vynaloženy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mimo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Unii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v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rámci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tematických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cílů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 8 a 10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základě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vybraných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operací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(v EUR)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0CEC3" w14:textId="77777777" w:rsidR="00A2351A" w:rsidRDefault="002D5C25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Podíl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celkového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finančního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přídělu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příspěvek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Unie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a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vnitrostátní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příspěvek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program ESF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nebo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část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programu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financovaného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z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více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fondů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která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souvisí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s ESF</w:t>
            </w:r>
          </w:p>
          <w:p w14:paraId="5C78D7E5" w14:textId="77777777" w:rsidR="00A2351A" w:rsidRDefault="002D5C25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(v %)</w:t>
            </w:r>
          </w:p>
          <w:p w14:paraId="22FF49DB" w14:textId="77777777" w:rsidR="00A2351A" w:rsidRDefault="002D5C25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(1/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celkový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finanční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příspěvek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Unie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a 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vnitrostátní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příspěvek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program ESF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nebo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část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programu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financovaného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z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více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fondů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která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souvisí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s ESF x 100)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10BFC" w14:textId="77777777" w:rsidR="00A2351A" w:rsidRDefault="002D5C25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Způsobilé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výdaje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vynaložené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mimo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Unii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které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příjemce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vykázal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řídicímu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orgánu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(v EUR)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F58995" w14:textId="77777777" w:rsidR="00A2351A" w:rsidRDefault="002D5C25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Podíl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celkového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finančního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přídělu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příspěvek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Unie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a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vnitrostátní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příspěvek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program ESF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nebo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část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programu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financovaného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z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více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fondů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která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souvisí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s ESF</w:t>
            </w:r>
          </w:p>
          <w:p w14:paraId="34ABD419" w14:textId="77777777" w:rsidR="00A2351A" w:rsidRDefault="002D5C25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(v %)</w:t>
            </w:r>
          </w:p>
          <w:p w14:paraId="3EF49B0C" w14:textId="77777777" w:rsidR="00A2351A" w:rsidRDefault="002D5C25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(3/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celkový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finanční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příspěvek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Unie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a 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vnitrostátní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příspěvek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program ESF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nebo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část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programu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financovaného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z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více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fondů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která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souvisí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s ESF x 100)</w:t>
            </w:r>
          </w:p>
        </w:tc>
      </w:tr>
      <w:tr w:rsidR="00A2351A" w14:paraId="22CB5782" w14:textId="77777777"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1A6E7" w14:textId="77777777" w:rsidR="00A2351A" w:rsidRDefault="002D5C25">
            <w:pPr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0,00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9CD724" w14:textId="77777777" w:rsidR="00A2351A" w:rsidRDefault="002D5C25">
            <w:pPr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0,00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F65724" w14:textId="77777777" w:rsidR="00A2351A" w:rsidRDefault="002D5C25">
            <w:pPr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0,00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7A02D4" w14:textId="77777777" w:rsidR="00A2351A" w:rsidRDefault="002D5C25">
            <w:pPr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0,00</w:t>
            </w:r>
          </w:p>
        </w:tc>
      </w:tr>
    </w:tbl>
    <w:p w14:paraId="6DE8DD8E" w14:textId="6DF1C210" w:rsidR="00A2351A" w:rsidRDefault="00A2351A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6EAECCC1" w14:textId="42F20C83" w:rsidR="00844ADC" w:rsidRDefault="00844ADC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5AD6D5EE" w14:textId="7ED9EB37" w:rsidR="00844ADC" w:rsidRDefault="00844ADC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0921A26E" w14:textId="6A611CC4" w:rsidR="00844ADC" w:rsidRDefault="00844ADC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2A997DFF" w14:textId="5D835D9A" w:rsidR="00844ADC" w:rsidRDefault="00844ADC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13AABF1B" w14:textId="18722057" w:rsidR="00844ADC" w:rsidRDefault="00844ADC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539BC9D4" w14:textId="77777777" w:rsidR="00844ADC" w:rsidRDefault="00844ADC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19888DCB" w14:textId="77777777" w:rsidR="00A2351A" w:rsidRDefault="002D5C25">
      <w:pPr>
        <w:spacing w:before="120" w:after="120"/>
        <w:ind w:left="115" w:right="106"/>
        <w:jc w:val="both"/>
        <w:rPr>
          <w:rFonts w:ascii="Arial" w:eastAsia="Arial" w:hAnsi="Arial" w:cs="Arial"/>
          <w:b/>
          <w:bCs/>
          <w:i/>
          <w:iCs/>
          <w:color w:val="000000"/>
          <w:sz w:val="16"/>
        </w:rPr>
      </w:pP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lastRenderedPageBreak/>
        <w:t>Tabulka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 11: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Přidělení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zdrojů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YEI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mladým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lidem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mimo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způsobilé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regiony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na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úrovni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NUTS 2 (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článek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 16 </w:t>
      </w:r>
      <w:proofErr w:type="spellStart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>nařízení</w:t>
      </w:r>
      <w:proofErr w:type="spellEnd"/>
      <w:r>
        <w:rPr>
          <w:rFonts w:ascii="Arial" w:eastAsia="Arial" w:hAnsi="Arial" w:cs="Arial"/>
          <w:b/>
          <w:bCs/>
          <w:i/>
          <w:iCs/>
          <w:color w:val="000000"/>
          <w:sz w:val="20"/>
        </w:rPr>
        <w:t xml:space="preserve"> (EU) č. 1304/2013) </w:t>
      </w:r>
      <w:r>
        <w:rPr>
          <w:rFonts w:ascii="Arial" w:eastAsia="Arial" w:hAnsi="Arial" w:cs="Arial"/>
          <w:b/>
          <w:bCs/>
          <w:i/>
          <w:iCs/>
          <w:color w:val="000000"/>
          <w:sz w:val="16"/>
        </w:rPr>
        <w:t>(14)</w:t>
      </w:r>
    </w:p>
    <w:tbl>
      <w:tblPr>
        <w:tblW w:w="0" w:type="auto"/>
        <w:tblInd w:w="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1957"/>
        <w:gridCol w:w="3167"/>
        <w:gridCol w:w="3167"/>
        <w:gridCol w:w="3167"/>
        <w:gridCol w:w="3167"/>
      </w:tblGrid>
      <w:tr w:rsidR="00A2351A" w14:paraId="19C06F69" w14:textId="77777777">
        <w:trPr>
          <w:tblHeader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B46C4E" w14:textId="77777777" w:rsidR="00A2351A" w:rsidRDefault="002D5C25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1.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ABB1B7" w14:textId="77777777" w:rsidR="00A2351A" w:rsidRDefault="002D5C25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2.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CDC153" w14:textId="77777777" w:rsidR="00A2351A" w:rsidRDefault="002D5C25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3.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7E7321" w14:textId="77777777" w:rsidR="00A2351A" w:rsidRDefault="002D5C25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4.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139AFF" w14:textId="77777777" w:rsidR="00A2351A" w:rsidRDefault="002D5C25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5.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DF297" w14:textId="77777777" w:rsidR="00A2351A" w:rsidRDefault="002D5C25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6.</w:t>
            </w:r>
          </w:p>
        </w:tc>
      </w:tr>
      <w:tr w:rsidR="00A2351A" w14:paraId="1E8CF603" w14:textId="77777777">
        <w:trPr>
          <w:tblHeader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EDFD9" w14:textId="77777777" w:rsidR="00A2351A" w:rsidRDefault="00A2351A">
            <w:pPr>
              <w:ind w:left="57" w:right="57"/>
              <w:jc w:val="both"/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5E2CFF" w14:textId="77777777" w:rsidR="00A2351A" w:rsidRDefault="002D5C25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Prioritní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osa</w:t>
            </w:r>
            <w:proofErr w:type="spellEnd"/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F11012" w14:textId="77777777" w:rsidR="00A2351A" w:rsidRDefault="002D5C25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Výše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podpory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EU v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rámci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YEI (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zvláštní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příděl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pro YEI a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odpovídající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podpora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z ESF),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jež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má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být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přidělena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mladým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lidem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mimo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způsobilé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regiony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úrovni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NUTS 2 (v EUR), jak je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uvedeno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v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bodě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 2.A.6.1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operačního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programu</w:t>
            </w:r>
            <w:proofErr w:type="spellEnd"/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026FC8" w14:textId="77777777" w:rsidR="00A2351A" w:rsidRDefault="002D5C25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Výše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podpory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EU v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rámci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YEI (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zvláštní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příděl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pro YEI a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odpovídající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podpora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z ESF)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přidělené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operace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podporu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mladých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lidí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mimo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způsobilé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regiony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úrovni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NUTS 2 (v EUR)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87456B" w14:textId="77777777" w:rsidR="00A2351A" w:rsidRDefault="002D5C25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Způsobilé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výdaje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vynaložené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při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operacích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 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podporu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mladých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lidí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mimo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způsobilé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regiony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(v EUR)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7ED3B7" w14:textId="77777777" w:rsidR="00A2351A" w:rsidRDefault="002D5C25">
            <w:pPr>
              <w:tabs>
                <w:tab w:val="left" w:pos="828"/>
              </w:tabs>
              <w:ind w:left="57" w:right="57"/>
              <w:jc w:val="center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Odpovídající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podpora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EU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způsobilé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výdaje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vynaložené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při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operacích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na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podporu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mladých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lidí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mimo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způsobilé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regiony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která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vyplývá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z 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použití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míry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spolufinancování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u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prioritní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osy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 xml:space="preserve"> (v EUR)</w:t>
            </w:r>
          </w:p>
        </w:tc>
      </w:tr>
      <w:tr w:rsidR="00A2351A" w14:paraId="151CB81B" w14:textId="77777777"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C6A576" w14:textId="77777777" w:rsidR="00A2351A" w:rsidRDefault="00A2351A">
            <w:pPr>
              <w:ind w:left="57" w:right="57"/>
              <w:jc w:val="both"/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C66792" w14:textId="77777777" w:rsidR="00A2351A" w:rsidRDefault="002D5C25">
            <w:pPr>
              <w:ind w:left="165" w:right="165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 xml:space="preserve">03.1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Podpora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zaměstnanosti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  <w:sz w:val="14"/>
              </w:rPr>
              <w:t>a</w:t>
            </w:r>
            <w:proofErr w:type="gram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adaptability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pracovní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</w:rPr>
              <w:t>síly</w:t>
            </w:r>
            <w:proofErr w:type="spellEnd"/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8045B8" w14:textId="77777777" w:rsidR="00A2351A" w:rsidRDefault="002D5C25">
            <w:pPr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0,00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FFA372" w14:textId="77777777" w:rsidR="00A2351A" w:rsidRDefault="002D5C25">
            <w:pPr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0,00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2E3325" w14:textId="77777777" w:rsidR="00A2351A" w:rsidRDefault="002D5C25">
            <w:pPr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0,00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6CC70B" w14:textId="77777777" w:rsidR="00A2351A" w:rsidRDefault="002D5C25">
            <w:pPr>
              <w:ind w:left="57" w:right="57"/>
              <w:jc w:val="right"/>
              <w:rPr>
                <w:rFonts w:ascii="Arial" w:eastAsia="Arial" w:hAnsi="Arial" w:cs="Arial"/>
                <w:color w:val="000000"/>
                <w:sz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</w:rPr>
              <w:t>0,00</w:t>
            </w:r>
          </w:p>
        </w:tc>
      </w:tr>
      <w:tr w:rsidR="00A2351A" w14:paraId="5B95FC2F" w14:textId="77777777"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CFA5C0" w14:textId="77777777" w:rsidR="00A2351A" w:rsidRDefault="002D5C25">
            <w:pPr>
              <w:ind w:left="57" w:right="57"/>
              <w:jc w:val="both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Celkem</w:t>
            </w:r>
            <w:proofErr w:type="spellEnd"/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16643A" w14:textId="77777777" w:rsidR="00A2351A" w:rsidRDefault="00A2351A">
            <w:pPr>
              <w:ind w:left="57" w:right="57"/>
              <w:jc w:val="both"/>
            </w:pP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100F17" w14:textId="77777777" w:rsidR="00A2351A" w:rsidRDefault="002D5C25">
            <w:pPr>
              <w:ind w:left="57" w:right="57"/>
              <w:jc w:val="right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0,00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1FAF29" w14:textId="77777777" w:rsidR="00A2351A" w:rsidRDefault="002D5C25">
            <w:pPr>
              <w:ind w:left="57" w:right="57"/>
              <w:jc w:val="right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0,00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F8E84" w14:textId="77777777" w:rsidR="00A2351A" w:rsidRDefault="002D5C25">
            <w:pPr>
              <w:ind w:left="57" w:right="57"/>
              <w:jc w:val="right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0,00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5B1087" w14:textId="77777777" w:rsidR="00A2351A" w:rsidRDefault="002D5C25">
            <w:pPr>
              <w:ind w:left="57" w:right="57"/>
              <w:jc w:val="right"/>
              <w:rPr>
                <w:rFonts w:ascii="Arial" w:eastAsia="Arial" w:hAnsi="Arial" w:cs="Arial"/>
                <w:b/>
                <w:bCs/>
                <w:color w:val="000000"/>
                <w:sz w:val="14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4"/>
              </w:rPr>
              <w:t>0,00</w:t>
            </w:r>
          </w:p>
        </w:tc>
      </w:tr>
    </w:tbl>
    <w:p w14:paraId="3BA08984" w14:textId="77777777" w:rsidR="001844FB" w:rsidRDefault="001844FB" w:rsidP="001844FB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16"/>
        </w:rPr>
      </w:pPr>
      <w:r>
        <w:rPr>
          <w:rFonts w:ascii="Arial" w:eastAsia="Arial" w:hAnsi="Arial" w:cs="Arial"/>
          <w:color w:val="000000"/>
          <w:sz w:val="16"/>
        </w:rPr>
        <w:t>----------------------------------------------------</w:t>
      </w:r>
    </w:p>
    <w:p w14:paraId="18C85F61" w14:textId="77777777" w:rsidR="001844FB" w:rsidRDefault="001844FB" w:rsidP="001844FB">
      <w:pPr>
        <w:keepNext/>
        <w:tabs>
          <w:tab w:val="left" w:pos="1675"/>
        </w:tabs>
        <w:ind w:left="115" w:right="529"/>
        <w:rPr>
          <w:rFonts w:ascii="Arial" w:eastAsia="Arial" w:hAnsi="Arial" w:cs="Arial"/>
          <w:color w:val="000000"/>
          <w:sz w:val="16"/>
        </w:rPr>
      </w:pPr>
      <w:r>
        <w:rPr>
          <w:rFonts w:ascii="Arial" w:eastAsia="Arial" w:hAnsi="Arial" w:cs="Arial"/>
          <w:color w:val="000000"/>
          <w:sz w:val="16"/>
        </w:rPr>
        <w:t xml:space="preserve">13 - V </w:t>
      </w:r>
      <w:proofErr w:type="spellStart"/>
      <w:r>
        <w:rPr>
          <w:rFonts w:ascii="Arial" w:eastAsia="Arial" w:hAnsi="Arial" w:cs="Arial"/>
          <w:color w:val="000000"/>
          <w:sz w:val="16"/>
        </w:rPr>
        <w:t>souladu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se </w:t>
      </w:r>
      <w:proofErr w:type="spellStart"/>
      <w:r>
        <w:rPr>
          <w:rFonts w:ascii="Arial" w:eastAsia="Arial" w:hAnsi="Arial" w:cs="Arial"/>
          <w:color w:val="000000"/>
          <w:sz w:val="16"/>
        </w:rPr>
        <w:t>stropy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stanovenými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>
        <w:rPr>
          <w:rFonts w:ascii="Arial" w:eastAsia="Arial" w:hAnsi="Arial" w:cs="Arial"/>
          <w:color w:val="000000"/>
          <w:sz w:val="16"/>
        </w:rPr>
        <w:t>článku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13 </w:t>
      </w:r>
      <w:proofErr w:type="spellStart"/>
      <w:r>
        <w:rPr>
          <w:rFonts w:ascii="Arial" w:eastAsia="Arial" w:hAnsi="Arial" w:cs="Arial"/>
          <w:color w:val="000000"/>
          <w:sz w:val="16"/>
        </w:rPr>
        <w:t>nařízení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(EU) č. 1304/2013 a s </w:t>
      </w:r>
      <w:proofErr w:type="spellStart"/>
      <w:r>
        <w:rPr>
          <w:rFonts w:ascii="Arial" w:eastAsia="Arial" w:hAnsi="Arial" w:cs="Arial"/>
          <w:color w:val="000000"/>
          <w:sz w:val="16"/>
        </w:rPr>
        <w:t>jejich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výhradou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.  </w:t>
      </w:r>
    </w:p>
    <w:p w14:paraId="59FFB838" w14:textId="77777777" w:rsidR="001844FB" w:rsidRDefault="001844FB" w:rsidP="001844FB">
      <w:pPr>
        <w:keepNext/>
        <w:tabs>
          <w:tab w:val="left" w:pos="1675"/>
        </w:tabs>
        <w:ind w:left="115" w:right="529"/>
        <w:rPr>
          <w:rFonts w:ascii="Arial" w:eastAsia="Arial" w:hAnsi="Arial" w:cs="Arial"/>
          <w:color w:val="000000"/>
          <w:sz w:val="16"/>
        </w:rPr>
      </w:pPr>
      <w:r>
        <w:rPr>
          <w:rFonts w:ascii="Arial" w:eastAsia="Arial" w:hAnsi="Arial" w:cs="Arial"/>
          <w:color w:val="000000"/>
          <w:sz w:val="16"/>
        </w:rPr>
        <w:t xml:space="preserve">14 - </w:t>
      </w:r>
      <w:proofErr w:type="spellStart"/>
      <w:r>
        <w:rPr>
          <w:rFonts w:ascii="Arial" w:eastAsia="Arial" w:hAnsi="Arial" w:cs="Arial"/>
          <w:color w:val="000000"/>
          <w:sz w:val="16"/>
        </w:rPr>
        <w:t>Strukturované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údaje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požadované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>
        <w:rPr>
          <w:rFonts w:ascii="Arial" w:eastAsia="Arial" w:hAnsi="Arial" w:cs="Arial"/>
          <w:color w:val="000000"/>
          <w:sz w:val="16"/>
        </w:rPr>
        <w:t>zprávu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o YEI, </w:t>
      </w:r>
      <w:proofErr w:type="spellStart"/>
      <w:r>
        <w:rPr>
          <w:rFonts w:ascii="Arial" w:eastAsia="Arial" w:hAnsi="Arial" w:cs="Arial"/>
          <w:color w:val="000000"/>
          <w:sz w:val="16"/>
        </w:rPr>
        <w:t>která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má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být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předložena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>
        <w:rPr>
          <w:rFonts w:ascii="Arial" w:eastAsia="Arial" w:hAnsi="Arial" w:cs="Arial"/>
          <w:color w:val="000000"/>
          <w:sz w:val="16"/>
        </w:rPr>
        <w:t>dubnu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2015 v </w:t>
      </w:r>
      <w:proofErr w:type="spellStart"/>
      <w:r>
        <w:rPr>
          <w:rFonts w:ascii="Arial" w:eastAsia="Arial" w:hAnsi="Arial" w:cs="Arial"/>
          <w:color w:val="000000"/>
          <w:sz w:val="16"/>
        </w:rPr>
        <w:t>souladu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s </w:t>
      </w:r>
      <w:proofErr w:type="spellStart"/>
      <w:r>
        <w:rPr>
          <w:rFonts w:ascii="Arial" w:eastAsia="Arial" w:hAnsi="Arial" w:cs="Arial"/>
          <w:color w:val="000000"/>
          <w:sz w:val="16"/>
        </w:rPr>
        <w:t>čl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. 19 </w:t>
      </w:r>
      <w:proofErr w:type="spellStart"/>
      <w:r>
        <w:rPr>
          <w:rFonts w:ascii="Arial" w:eastAsia="Arial" w:hAnsi="Arial" w:cs="Arial"/>
          <w:color w:val="000000"/>
          <w:sz w:val="16"/>
        </w:rPr>
        <w:t>odst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. 3 a </w:t>
      </w:r>
      <w:proofErr w:type="spellStart"/>
      <w:r>
        <w:rPr>
          <w:rFonts w:ascii="Arial" w:eastAsia="Arial" w:hAnsi="Arial" w:cs="Arial"/>
          <w:color w:val="000000"/>
          <w:sz w:val="16"/>
        </w:rPr>
        <w:t>přílohou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II </w:t>
      </w:r>
      <w:proofErr w:type="spellStart"/>
      <w:r>
        <w:rPr>
          <w:rFonts w:ascii="Arial" w:eastAsia="Arial" w:hAnsi="Arial" w:cs="Arial"/>
          <w:color w:val="000000"/>
          <w:sz w:val="16"/>
        </w:rPr>
        <w:t>nařízení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(EU) č. 1304/2013.</w:t>
      </w:r>
    </w:p>
    <w:p w14:paraId="23F87B8E" w14:textId="77777777" w:rsidR="00A2351A" w:rsidRDefault="00A2351A">
      <w:pPr>
        <w:spacing w:after="200" w:line="276" w:lineRule="auto"/>
        <w:ind w:left="115" w:right="106"/>
        <w:rPr>
          <w:rFonts w:ascii="Calibri" w:eastAsia="Calibri" w:hAnsi="Calibri" w:cs="Calibri"/>
          <w:color w:val="000000"/>
        </w:rPr>
      </w:pPr>
    </w:p>
    <w:p w14:paraId="0EA8C052" w14:textId="77777777" w:rsidR="00A2351A" w:rsidRDefault="00A2351A">
      <w:pPr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7AE6B312" w14:textId="77777777" w:rsidR="00A2351A" w:rsidRDefault="00A2351A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4752E372" w14:textId="1E9614D4" w:rsidR="00496C84" w:rsidRDefault="00496C84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37179403" w14:textId="77777777" w:rsidR="00496C84" w:rsidRDefault="00496C84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37168210" w14:textId="77777777" w:rsidR="00496C84" w:rsidRDefault="00496C84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4273058B" w14:textId="77777777" w:rsidR="00496C84" w:rsidRDefault="00496C84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43624C28" w14:textId="77777777" w:rsidR="00496C84" w:rsidRDefault="00496C84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641207F0" w14:textId="77777777" w:rsidR="00496C84" w:rsidRDefault="00496C84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4E4C4624" w14:textId="77777777" w:rsidR="00496C84" w:rsidRDefault="00496C84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7F70BCF6" w14:textId="77777777" w:rsidR="00A2351A" w:rsidRDefault="00A2351A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230E1A23" w14:textId="77777777" w:rsidR="00A2351A" w:rsidRDefault="00A2351A">
      <w:pPr>
        <w:keepNext/>
        <w:tabs>
          <w:tab w:val="left" w:pos="1675"/>
        </w:tabs>
        <w:ind w:left="115" w:right="106"/>
        <w:rPr>
          <w:rFonts w:ascii="Arial" w:eastAsia="Arial" w:hAnsi="Arial" w:cs="Arial"/>
          <w:color w:val="000000"/>
          <w:sz w:val="20"/>
        </w:rPr>
      </w:pPr>
    </w:p>
    <w:p w14:paraId="4ABCFF28" w14:textId="77777777" w:rsidR="00A2351A" w:rsidRDefault="00A2351A">
      <w:pPr>
        <w:spacing w:after="200" w:line="276" w:lineRule="auto"/>
        <w:ind w:left="115" w:right="106"/>
        <w:rPr>
          <w:rFonts w:ascii="Calibri" w:eastAsia="Calibri" w:hAnsi="Calibri" w:cs="Calibri"/>
          <w:color w:val="000000"/>
        </w:rPr>
      </w:pPr>
    </w:p>
    <w:p w14:paraId="4F9589C2" w14:textId="77777777" w:rsidR="00A2351A" w:rsidRDefault="00A2351A">
      <w:pPr>
        <w:sectPr w:rsidR="00A2351A" w:rsidSect="00B158B8">
          <w:headerReference w:type="default" r:id="rId20"/>
          <w:footerReference w:type="default" r:id="rId21"/>
          <w:pgSz w:w="16820" w:h="11900" w:orient="landscape"/>
          <w:pgMar w:top="840" w:right="520" w:bottom="1540" w:left="560" w:header="601" w:footer="576" w:gutter="0"/>
          <w:cols w:space="720"/>
          <w:noEndnote/>
        </w:sectPr>
      </w:pPr>
    </w:p>
    <w:p w14:paraId="36D2A45B" w14:textId="77777777" w:rsidR="00A2351A" w:rsidRDefault="002D5C25" w:rsidP="00496C84">
      <w:pPr>
        <w:pStyle w:val="Nadpis1"/>
      </w:pPr>
      <w:bookmarkStart w:id="17" w:name="_Toc66814536"/>
      <w:r>
        <w:lastRenderedPageBreak/>
        <w:t>SHRNUTÍ EVALUACÍ (</w:t>
      </w:r>
      <w:proofErr w:type="spellStart"/>
      <w:r>
        <w:t>čl</w:t>
      </w:r>
      <w:proofErr w:type="spellEnd"/>
      <w:r>
        <w:t xml:space="preserve">. 50 </w:t>
      </w:r>
      <w:proofErr w:type="spellStart"/>
      <w:r>
        <w:t>odst</w:t>
      </w:r>
      <w:proofErr w:type="spellEnd"/>
      <w:r>
        <w:t xml:space="preserve">. 2 </w:t>
      </w:r>
      <w:proofErr w:type="spellStart"/>
      <w:r>
        <w:t>nařízení</w:t>
      </w:r>
      <w:proofErr w:type="spellEnd"/>
      <w:r>
        <w:t xml:space="preserve"> (EU) č. 1303/2013)</w:t>
      </w:r>
      <w:bookmarkEnd w:id="17"/>
    </w:p>
    <w:p w14:paraId="1E3C2812" w14:textId="77777777" w:rsidR="00902A94" w:rsidRDefault="00902A94" w:rsidP="00902A94">
      <w:pPr>
        <w:spacing w:after="120" w:line="264" w:lineRule="auto"/>
        <w:ind w:right="121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7BD6A33" w14:textId="77777777" w:rsidR="00120A60" w:rsidRPr="009552D1" w:rsidRDefault="00120A60" w:rsidP="00120A60">
      <w:pPr>
        <w:spacing w:after="120" w:line="264" w:lineRule="auto"/>
        <w:ind w:right="121"/>
        <w:jc w:val="both"/>
        <w:rPr>
          <w:rFonts w:ascii="Arial" w:eastAsia="Calibri" w:hAnsi="Arial" w:cs="Arial"/>
          <w:u w:val="single"/>
          <w:lang w:eastAsia="en-US"/>
        </w:rPr>
      </w:pPr>
      <w:r w:rsidRPr="009552D1">
        <w:rPr>
          <w:rFonts w:ascii="Arial" w:eastAsia="Calibri" w:hAnsi="Arial" w:cs="Arial"/>
          <w:u w:val="single"/>
          <w:lang w:eastAsia="en-US"/>
        </w:rPr>
        <w:t xml:space="preserve">V </w:t>
      </w:r>
      <w:proofErr w:type="spellStart"/>
      <w:r w:rsidRPr="009552D1">
        <w:rPr>
          <w:rFonts w:ascii="Arial" w:eastAsia="Calibri" w:hAnsi="Arial" w:cs="Arial"/>
          <w:u w:val="single"/>
          <w:lang w:eastAsia="en-US"/>
        </w:rPr>
        <w:t>roce</w:t>
      </w:r>
      <w:proofErr w:type="spellEnd"/>
      <w:r w:rsidRPr="009552D1">
        <w:rPr>
          <w:rFonts w:ascii="Arial" w:eastAsia="Calibri" w:hAnsi="Arial" w:cs="Arial"/>
          <w:u w:val="single"/>
          <w:lang w:eastAsia="en-US"/>
        </w:rPr>
        <w:t xml:space="preserve"> 2020 </w:t>
      </w:r>
      <w:proofErr w:type="spellStart"/>
      <w:r w:rsidRPr="009552D1">
        <w:rPr>
          <w:rFonts w:ascii="Arial" w:eastAsia="Calibri" w:hAnsi="Arial" w:cs="Arial"/>
          <w:u w:val="single"/>
          <w:lang w:eastAsia="en-US"/>
        </w:rPr>
        <w:t>byly</w:t>
      </w:r>
      <w:proofErr w:type="spellEnd"/>
      <w:r w:rsidRPr="009552D1">
        <w:rPr>
          <w:rFonts w:ascii="Arial" w:eastAsia="Calibri" w:hAnsi="Arial" w:cs="Arial"/>
          <w:u w:val="single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u w:val="single"/>
          <w:lang w:eastAsia="en-US"/>
        </w:rPr>
        <w:t>ukončeny</w:t>
      </w:r>
      <w:proofErr w:type="spellEnd"/>
      <w:r w:rsidRPr="009552D1">
        <w:rPr>
          <w:rFonts w:ascii="Arial" w:eastAsia="Calibri" w:hAnsi="Arial" w:cs="Arial"/>
          <w:u w:val="single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u w:val="single"/>
          <w:lang w:eastAsia="en-US"/>
        </w:rPr>
        <w:t>tyto</w:t>
      </w:r>
      <w:proofErr w:type="spellEnd"/>
      <w:r w:rsidRPr="009552D1">
        <w:rPr>
          <w:rFonts w:ascii="Arial" w:eastAsia="Calibri" w:hAnsi="Arial" w:cs="Arial"/>
          <w:u w:val="single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u w:val="single"/>
          <w:lang w:eastAsia="en-US"/>
        </w:rPr>
        <w:t>evaluace</w:t>
      </w:r>
      <w:proofErr w:type="spellEnd"/>
      <w:r w:rsidRPr="009552D1">
        <w:rPr>
          <w:rFonts w:ascii="Arial" w:eastAsia="Calibri" w:hAnsi="Arial" w:cs="Arial"/>
          <w:u w:val="single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u w:val="single"/>
          <w:lang w:eastAsia="en-US"/>
        </w:rPr>
        <w:t>nebo</w:t>
      </w:r>
      <w:proofErr w:type="spellEnd"/>
      <w:r w:rsidRPr="009552D1">
        <w:rPr>
          <w:rFonts w:ascii="Arial" w:eastAsia="Calibri" w:hAnsi="Arial" w:cs="Arial"/>
          <w:u w:val="single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u w:val="single"/>
          <w:lang w:eastAsia="en-US"/>
        </w:rPr>
        <w:t>etapy</w:t>
      </w:r>
      <w:proofErr w:type="spellEnd"/>
      <w:r w:rsidRPr="009552D1">
        <w:rPr>
          <w:rFonts w:ascii="Arial" w:eastAsia="Calibri" w:hAnsi="Arial" w:cs="Arial"/>
          <w:u w:val="single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u w:val="single"/>
          <w:lang w:eastAsia="en-US"/>
        </w:rPr>
        <w:t>evaluací</w:t>
      </w:r>
      <w:proofErr w:type="spellEnd"/>
      <w:r w:rsidRPr="009552D1">
        <w:rPr>
          <w:rFonts w:ascii="Arial" w:eastAsia="Calibri" w:hAnsi="Arial" w:cs="Arial"/>
          <w:u w:val="single"/>
          <w:lang w:eastAsia="en-US"/>
        </w:rPr>
        <w:t>:</w:t>
      </w:r>
    </w:p>
    <w:p w14:paraId="48A010DA" w14:textId="4E5EAE90" w:rsidR="00120A60" w:rsidRPr="009552D1" w:rsidRDefault="00120A60" w:rsidP="00120A60">
      <w:pPr>
        <w:spacing w:after="120" w:line="264" w:lineRule="auto"/>
        <w:ind w:right="121"/>
        <w:jc w:val="both"/>
        <w:rPr>
          <w:rFonts w:ascii="Arial" w:eastAsia="Calibri" w:hAnsi="Arial" w:cs="Arial"/>
          <w:lang w:eastAsia="en-US"/>
        </w:rPr>
      </w:pPr>
      <w:r w:rsidRPr="009552D1">
        <w:rPr>
          <w:rFonts w:ascii="Arial" w:eastAsia="Calibri" w:hAnsi="Arial" w:cs="Arial"/>
          <w:b/>
          <w:bCs/>
          <w:lang w:eastAsia="en-US"/>
        </w:rPr>
        <w:t xml:space="preserve">03.006 Evaluace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pilotního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ověření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mikrojeslí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>:</w:t>
      </w:r>
      <w:r w:rsidRPr="009552D1">
        <w:rPr>
          <w:rFonts w:ascii="Arial" w:eastAsia="Calibri" w:hAnsi="Arial" w:cs="Arial"/>
          <w:lang w:eastAsia="en-US"/>
        </w:rPr>
        <w:t xml:space="preserve"> V </w:t>
      </w:r>
      <w:proofErr w:type="spellStart"/>
      <w:r w:rsidRPr="009552D1">
        <w:rPr>
          <w:rFonts w:ascii="Arial" w:eastAsia="Calibri" w:hAnsi="Arial" w:cs="Arial"/>
          <w:lang w:eastAsia="en-US"/>
        </w:rPr>
        <w:t>roce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2020 </w:t>
      </w:r>
      <w:proofErr w:type="spellStart"/>
      <w:r w:rsidRPr="009552D1">
        <w:rPr>
          <w:rFonts w:ascii="Arial" w:eastAsia="Calibri" w:hAnsi="Arial" w:cs="Arial"/>
          <w:lang w:eastAsia="en-US"/>
        </w:rPr>
        <w:t>byla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dokončena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interní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evaluace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jejímž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cílem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bylo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pilotní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vyhodnocení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výzev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podporu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péče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o </w:t>
      </w:r>
      <w:proofErr w:type="spellStart"/>
      <w:r w:rsidRPr="009552D1">
        <w:rPr>
          <w:rFonts w:ascii="Arial" w:eastAsia="Calibri" w:hAnsi="Arial" w:cs="Arial"/>
          <w:lang w:eastAsia="en-US"/>
        </w:rPr>
        <w:t>děti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od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šesti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měsíců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do </w:t>
      </w:r>
      <w:proofErr w:type="spellStart"/>
      <w:r w:rsidRPr="009552D1">
        <w:rPr>
          <w:rFonts w:ascii="Arial" w:eastAsia="Calibri" w:hAnsi="Arial" w:cs="Arial"/>
          <w:lang w:eastAsia="en-US"/>
        </w:rPr>
        <w:t>čtyř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let a </w:t>
      </w:r>
      <w:proofErr w:type="spellStart"/>
      <w:r w:rsidRPr="009552D1">
        <w:rPr>
          <w:rFonts w:ascii="Arial" w:eastAsia="Calibri" w:hAnsi="Arial" w:cs="Arial"/>
          <w:lang w:eastAsia="en-US"/>
        </w:rPr>
        <w:t>zmapování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přispění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této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služby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ke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zvýšení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zaměstnanosti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případně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zvýšení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příjmů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a </w:t>
      </w:r>
      <w:proofErr w:type="spellStart"/>
      <w:r w:rsidRPr="009552D1">
        <w:rPr>
          <w:rFonts w:ascii="Arial" w:eastAsia="Calibri" w:hAnsi="Arial" w:cs="Arial"/>
          <w:lang w:eastAsia="en-US"/>
        </w:rPr>
        <w:t>spokojenosti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se </w:t>
      </w:r>
      <w:proofErr w:type="spellStart"/>
      <w:r w:rsidRPr="009552D1">
        <w:rPr>
          <w:rFonts w:ascii="Arial" w:eastAsia="Calibri" w:hAnsi="Arial" w:cs="Arial"/>
          <w:lang w:eastAsia="en-US"/>
        </w:rPr>
        <w:t>sladěním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rodinných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a </w:t>
      </w:r>
      <w:proofErr w:type="spellStart"/>
      <w:r w:rsidRPr="009552D1">
        <w:rPr>
          <w:rFonts w:ascii="Arial" w:eastAsia="Calibri" w:hAnsi="Arial" w:cs="Arial"/>
          <w:lang w:eastAsia="en-US"/>
        </w:rPr>
        <w:t>pracovních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povinností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rodičů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. V </w:t>
      </w:r>
      <w:proofErr w:type="spellStart"/>
      <w:r w:rsidRPr="009552D1">
        <w:rPr>
          <w:rFonts w:ascii="Arial" w:eastAsia="Calibri" w:hAnsi="Arial" w:cs="Arial"/>
          <w:lang w:eastAsia="en-US"/>
        </w:rPr>
        <w:t>rámci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evaluace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proběhlo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dotazníkové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šetření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s </w:t>
      </w:r>
      <w:proofErr w:type="spellStart"/>
      <w:r w:rsidRPr="009552D1">
        <w:rPr>
          <w:rFonts w:ascii="Arial" w:eastAsia="Calibri" w:hAnsi="Arial" w:cs="Arial"/>
          <w:lang w:eastAsia="en-US"/>
        </w:rPr>
        <w:t>cílovou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skupinou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a </w:t>
      </w:r>
      <w:proofErr w:type="spellStart"/>
      <w:r w:rsidRPr="009552D1">
        <w:rPr>
          <w:rFonts w:ascii="Arial" w:eastAsia="Calibri" w:hAnsi="Arial" w:cs="Arial"/>
          <w:lang w:eastAsia="en-US"/>
        </w:rPr>
        <w:t>zřizovateli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služby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. </w:t>
      </w:r>
      <w:proofErr w:type="spellStart"/>
      <w:r w:rsidRPr="009552D1">
        <w:rPr>
          <w:rFonts w:ascii="Arial" w:eastAsia="Calibri" w:hAnsi="Arial" w:cs="Arial"/>
          <w:lang w:eastAsia="en-US"/>
        </w:rPr>
        <w:t>Zároveň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byly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se </w:t>
      </w:r>
      <w:proofErr w:type="spellStart"/>
      <w:r w:rsidRPr="009552D1">
        <w:rPr>
          <w:rFonts w:ascii="Arial" w:eastAsia="Calibri" w:hAnsi="Arial" w:cs="Arial"/>
          <w:lang w:eastAsia="en-US"/>
        </w:rPr>
        <w:t>zřizovateli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v </w:t>
      </w:r>
      <w:proofErr w:type="spellStart"/>
      <w:r w:rsidRPr="009552D1">
        <w:rPr>
          <w:rFonts w:ascii="Arial" w:eastAsia="Calibri" w:hAnsi="Arial" w:cs="Arial"/>
          <w:lang w:eastAsia="en-US"/>
        </w:rPr>
        <w:t>rámci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kvalitativního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došetření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realizovány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také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hloubkové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rozhovory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. Evaluace </w:t>
      </w:r>
      <w:proofErr w:type="spellStart"/>
      <w:r w:rsidRPr="009552D1">
        <w:rPr>
          <w:rFonts w:ascii="Arial" w:eastAsia="Calibri" w:hAnsi="Arial" w:cs="Arial"/>
          <w:lang w:eastAsia="en-US"/>
        </w:rPr>
        <w:t>přinesla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celkem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tři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doporučení</w:t>
      </w:r>
      <w:proofErr w:type="spellEnd"/>
      <w:r w:rsidRPr="009552D1">
        <w:rPr>
          <w:rFonts w:ascii="Arial" w:eastAsia="Calibri" w:hAnsi="Arial" w:cs="Arial"/>
          <w:lang w:eastAsia="en-US"/>
        </w:rPr>
        <w:t>.</w:t>
      </w:r>
    </w:p>
    <w:p w14:paraId="3FB34B5E" w14:textId="33C0EEBA" w:rsidR="00120A60" w:rsidRPr="009552D1" w:rsidRDefault="00120A60" w:rsidP="00120A60">
      <w:pPr>
        <w:spacing w:after="120" w:line="264" w:lineRule="auto"/>
        <w:ind w:right="121"/>
        <w:jc w:val="both"/>
        <w:rPr>
          <w:rFonts w:ascii="Arial" w:eastAsia="Calibri" w:hAnsi="Arial" w:cs="Arial"/>
          <w:lang w:eastAsia="en-US"/>
        </w:rPr>
      </w:pPr>
      <w:r w:rsidRPr="009552D1">
        <w:rPr>
          <w:rFonts w:ascii="Arial" w:eastAsia="Calibri" w:hAnsi="Arial" w:cs="Arial"/>
          <w:b/>
          <w:bCs/>
          <w:lang w:eastAsia="en-US"/>
        </w:rPr>
        <w:t xml:space="preserve">03.036 Evaluace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podpory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dalšího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podnikového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vzdělávání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zaměstnanců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(I.):</w:t>
      </w:r>
      <w:r w:rsidRPr="009552D1">
        <w:rPr>
          <w:rFonts w:ascii="Arial" w:eastAsia="Calibri" w:hAnsi="Arial" w:cs="Arial"/>
          <w:lang w:eastAsia="en-US"/>
        </w:rPr>
        <w:t xml:space="preserve"> V </w:t>
      </w:r>
      <w:proofErr w:type="spellStart"/>
      <w:r w:rsidRPr="009552D1">
        <w:rPr>
          <w:rFonts w:ascii="Arial" w:eastAsia="Calibri" w:hAnsi="Arial" w:cs="Arial"/>
          <w:lang w:eastAsia="en-US"/>
        </w:rPr>
        <w:t>roce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2020 </w:t>
      </w:r>
      <w:proofErr w:type="spellStart"/>
      <w:r w:rsidRPr="009552D1">
        <w:rPr>
          <w:rFonts w:ascii="Arial" w:eastAsia="Calibri" w:hAnsi="Arial" w:cs="Arial"/>
          <w:lang w:eastAsia="en-US"/>
        </w:rPr>
        <w:t>byla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dokončena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Analýza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dat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o </w:t>
      </w:r>
      <w:proofErr w:type="spellStart"/>
      <w:r w:rsidRPr="009552D1">
        <w:rPr>
          <w:rFonts w:ascii="Arial" w:eastAsia="Calibri" w:hAnsi="Arial" w:cs="Arial"/>
          <w:lang w:eastAsia="en-US"/>
        </w:rPr>
        <w:t>podpořených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osobách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z IS ESF </w:t>
      </w:r>
      <w:proofErr w:type="spellStart"/>
      <w:r w:rsidRPr="009552D1">
        <w:rPr>
          <w:rFonts w:ascii="Arial" w:eastAsia="Calibri" w:hAnsi="Arial" w:cs="Arial"/>
          <w:lang w:eastAsia="en-US"/>
        </w:rPr>
        <w:t>výzvy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r w:rsidR="003D6A81">
        <w:rPr>
          <w:rFonts w:ascii="Arial" w:eastAsia="Calibri" w:hAnsi="Arial" w:cs="Arial"/>
          <w:lang w:eastAsia="en-US"/>
        </w:rPr>
        <w:t xml:space="preserve">č. </w:t>
      </w:r>
      <w:r w:rsidRPr="00583CF1">
        <w:rPr>
          <w:rFonts w:ascii="Arial" w:eastAsia="Calibri" w:hAnsi="Arial" w:cs="Arial"/>
          <w:b/>
          <w:bCs/>
          <w:lang w:eastAsia="en-US"/>
        </w:rPr>
        <w:t>43</w:t>
      </w:r>
      <w:r w:rsidRPr="009552D1">
        <w:rPr>
          <w:rFonts w:ascii="Arial" w:eastAsia="Calibri" w:hAnsi="Arial" w:cs="Arial"/>
          <w:lang w:eastAsia="en-US"/>
        </w:rPr>
        <w:t xml:space="preserve"> </w:t>
      </w:r>
      <w:r w:rsidR="00583CF1" w:rsidRPr="00583CF1">
        <w:rPr>
          <w:rFonts w:ascii="Arial" w:hAnsi="Arial" w:cs="Arial"/>
          <w:b/>
        </w:rPr>
        <w:t>„</w:t>
      </w:r>
      <w:proofErr w:type="spellStart"/>
      <w:r w:rsidR="00583CF1" w:rsidRPr="00583CF1">
        <w:rPr>
          <w:rFonts w:ascii="Arial" w:eastAsia="Calibri" w:hAnsi="Arial" w:cs="Arial"/>
          <w:b/>
          <w:bCs/>
          <w:lang w:eastAsia="en-US"/>
        </w:rPr>
        <w:t>Podnikové</w:t>
      </w:r>
      <w:proofErr w:type="spellEnd"/>
      <w:r w:rsidR="00583CF1" w:rsidRPr="00583CF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="00583CF1" w:rsidRPr="00583CF1">
        <w:rPr>
          <w:rFonts w:ascii="Arial" w:eastAsia="Calibri" w:hAnsi="Arial" w:cs="Arial"/>
          <w:b/>
          <w:bCs/>
          <w:lang w:eastAsia="en-US"/>
        </w:rPr>
        <w:t>vzdělávání</w:t>
      </w:r>
      <w:proofErr w:type="spellEnd"/>
      <w:r w:rsidR="00583CF1" w:rsidRPr="00583CF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="00583CF1" w:rsidRPr="00583CF1">
        <w:rPr>
          <w:rFonts w:ascii="Arial" w:eastAsia="Calibri" w:hAnsi="Arial" w:cs="Arial"/>
          <w:b/>
          <w:bCs/>
          <w:lang w:eastAsia="en-US"/>
        </w:rPr>
        <w:t>zaměstnanců</w:t>
      </w:r>
      <w:proofErr w:type="spellEnd"/>
      <w:r w:rsidR="00583CF1" w:rsidRPr="00583CF1">
        <w:rPr>
          <w:rFonts w:ascii="Arial" w:eastAsia="Calibri" w:hAnsi="Arial" w:cs="Arial"/>
          <w:b/>
          <w:bCs/>
          <w:lang w:eastAsia="en-US"/>
        </w:rPr>
        <w:t>”</w:t>
      </w:r>
      <w:r w:rsidRPr="009552D1">
        <w:rPr>
          <w:rFonts w:ascii="Arial" w:eastAsia="Calibri" w:hAnsi="Arial" w:cs="Arial"/>
          <w:lang w:eastAsia="en-US"/>
        </w:rPr>
        <w:t xml:space="preserve">. Na </w:t>
      </w:r>
      <w:proofErr w:type="spellStart"/>
      <w:r w:rsidRPr="009552D1">
        <w:rPr>
          <w:rFonts w:ascii="Arial" w:eastAsia="Calibri" w:hAnsi="Arial" w:cs="Arial"/>
          <w:lang w:eastAsia="en-US"/>
        </w:rPr>
        <w:t>základě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monitorovacích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dat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bylo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zjištěno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jaké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osoby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projekty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podporovaly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v </w:t>
      </w:r>
      <w:proofErr w:type="spellStart"/>
      <w:r w:rsidRPr="009552D1">
        <w:rPr>
          <w:rFonts w:ascii="Arial" w:eastAsia="Calibri" w:hAnsi="Arial" w:cs="Arial"/>
          <w:lang w:eastAsia="en-US"/>
        </w:rPr>
        <w:t>jakých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oblastech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bylo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vzdělávání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realizováno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a v </w:t>
      </w:r>
      <w:proofErr w:type="spellStart"/>
      <w:r w:rsidRPr="009552D1">
        <w:rPr>
          <w:rFonts w:ascii="Arial" w:eastAsia="Calibri" w:hAnsi="Arial" w:cs="Arial"/>
          <w:lang w:eastAsia="en-US"/>
        </w:rPr>
        <w:t>jakém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rozsahu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. Tato </w:t>
      </w:r>
      <w:proofErr w:type="spellStart"/>
      <w:r w:rsidRPr="009552D1">
        <w:rPr>
          <w:rFonts w:ascii="Arial" w:eastAsia="Calibri" w:hAnsi="Arial" w:cs="Arial"/>
          <w:lang w:eastAsia="en-US"/>
        </w:rPr>
        <w:t>evaluace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navázala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dříve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realizované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dotazníkové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šetření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mezi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příjemci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stejné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výzvě</w:t>
      </w:r>
      <w:proofErr w:type="spellEnd"/>
      <w:r w:rsidRPr="009552D1">
        <w:rPr>
          <w:rFonts w:ascii="Arial" w:eastAsia="Calibri" w:hAnsi="Arial" w:cs="Arial"/>
          <w:lang w:eastAsia="en-US"/>
        </w:rPr>
        <w:t>.</w:t>
      </w:r>
    </w:p>
    <w:p w14:paraId="5C5F3C9F" w14:textId="77777777" w:rsidR="00120A60" w:rsidRPr="009552D1" w:rsidRDefault="00120A60" w:rsidP="00120A60">
      <w:pPr>
        <w:spacing w:after="120" w:line="264" w:lineRule="auto"/>
        <w:ind w:right="121"/>
        <w:jc w:val="both"/>
        <w:rPr>
          <w:rFonts w:ascii="Arial" w:eastAsia="Calibri" w:hAnsi="Arial" w:cs="Arial"/>
          <w:lang w:eastAsia="en-US"/>
        </w:rPr>
      </w:pPr>
      <w:r w:rsidRPr="009552D1">
        <w:rPr>
          <w:rFonts w:ascii="Arial" w:eastAsia="Calibri" w:hAnsi="Arial" w:cs="Arial"/>
          <w:b/>
          <w:bCs/>
          <w:lang w:eastAsia="en-US"/>
        </w:rPr>
        <w:t xml:space="preserve">03.040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Hodnocení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nastavení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a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výsledků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integrovaných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nástrojů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ITI a IPRÚ (I.):</w:t>
      </w:r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Vedle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komplexní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evaluace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prováděné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EJ NOK </w:t>
      </w:r>
      <w:proofErr w:type="spellStart"/>
      <w:r w:rsidRPr="009552D1">
        <w:rPr>
          <w:rFonts w:ascii="Arial" w:eastAsia="Calibri" w:hAnsi="Arial" w:cs="Arial"/>
          <w:lang w:eastAsia="en-US"/>
        </w:rPr>
        <w:t>proběhlo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dílčí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šetření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úrovni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OPZ. V </w:t>
      </w:r>
      <w:proofErr w:type="spellStart"/>
      <w:r w:rsidRPr="009552D1">
        <w:rPr>
          <w:rFonts w:ascii="Arial" w:eastAsia="Calibri" w:hAnsi="Arial" w:cs="Arial"/>
          <w:lang w:eastAsia="en-US"/>
        </w:rPr>
        <w:t>roce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2020 </w:t>
      </w:r>
      <w:proofErr w:type="spellStart"/>
      <w:r w:rsidRPr="009552D1">
        <w:rPr>
          <w:rFonts w:ascii="Arial" w:eastAsia="Calibri" w:hAnsi="Arial" w:cs="Arial"/>
          <w:lang w:eastAsia="en-US"/>
        </w:rPr>
        <w:t>pokračovala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a </w:t>
      </w:r>
      <w:proofErr w:type="spellStart"/>
      <w:r w:rsidRPr="009552D1">
        <w:rPr>
          <w:rFonts w:ascii="Arial" w:eastAsia="Calibri" w:hAnsi="Arial" w:cs="Arial"/>
          <w:lang w:eastAsia="en-US"/>
        </w:rPr>
        <w:t>byla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dokončena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realizace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veřejné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zakázky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kvalitativní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došetření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fungování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tematických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pracovních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skupin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ITI/IPRÚ </w:t>
      </w:r>
      <w:proofErr w:type="spellStart"/>
      <w:r w:rsidRPr="009552D1">
        <w:rPr>
          <w:rFonts w:ascii="Arial" w:eastAsia="Calibri" w:hAnsi="Arial" w:cs="Arial"/>
          <w:lang w:eastAsia="en-US"/>
        </w:rPr>
        <w:t>navázaných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výzvy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OPZ. V </w:t>
      </w:r>
      <w:proofErr w:type="spellStart"/>
      <w:r w:rsidRPr="009552D1">
        <w:rPr>
          <w:rFonts w:ascii="Arial" w:eastAsia="Calibri" w:hAnsi="Arial" w:cs="Arial"/>
          <w:lang w:eastAsia="en-US"/>
        </w:rPr>
        <w:t>květnu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2020 </w:t>
      </w:r>
      <w:proofErr w:type="spellStart"/>
      <w:r w:rsidRPr="009552D1">
        <w:rPr>
          <w:rFonts w:ascii="Arial" w:eastAsia="Calibri" w:hAnsi="Arial" w:cs="Arial"/>
          <w:lang w:eastAsia="en-US"/>
        </w:rPr>
        <w:t>byla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zveřejněna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závěrečná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zpráva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s </w:t>
      </w:r>
      <w:proofErr w:type="spellStart"/>
      <w:r w:rsidRPr="009552D1">
        <w:rPr>
          <w:rFonts w:ascii="Arial" w:eastAsia="Calibri" w:hAnsi="Arial" w:cs="Arial"/>
          <w:lang w:eastAsia="en-US"/>
        </w:rPr>
        <w:t>názvem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Vyhodnocení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fungování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a </w:t>
      </w:r>
      <w:proofErr w:type="spellStart"/>
      <w:r w:rsidRPr="009552D1">
        <w:rPr>
          <w:rFonts w:ascii="Arial" w:eastAsia="Calibri" w:hAnsi="Arial" w:cs="Arial"/>
          <w:lang w:eastAsia="en-US"/>
        </w:rPr>
        <w:t>přínosu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tematických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pracovních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skupin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ITI/IPRÚ </w:t>
      </w:r>
      <w:proofErr w:type="spellStart"/>
      <w:r w:rsidRPr="009552D1">
        <w:rPr>
          <w:rFonts w:ascii="Arial" w:eastAsia="Calibri" w:hAnsi="Arial" w:cs="Arial"/>
          <w:lang w:eastAsia="en-US"/>
        </w:rPr>
        <w:t>navázaných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výzvy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OPZ. </w:t>
      </w:r>
      <w:proofErr w:type="spellStart"/>
      <w:r w:rsidRPr="009552D1">
        <w:rPr>
          <w:rFonts w:ascii="Arial" w:eastAsia="Calibri" w:hAnsi="Arial" w:cs="Arial"/>
          <w:lang w:eastAsia="en-US"/>
        </w:rPr>
        <w:t>Zpráva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akcentuje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převážnou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spokojenost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aktérů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zainteresovaných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v IN ITI/IPRÚ s </w:t>
      </w:r>
      <w:proofErr w:type="spellStart"/>
      <w:r w:rsidRPr="009552D1">
        <w:rPr>
          <w:rFonts w:ascii="Arial" w:eastAsia="Calibri" w:hAnsi="Arial" w:cs="Arial"/>
          <w:lang w:eastAsia="en-US"/>
        </w:rPr>
        <w:t>činností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gramStart"/>
      <w:r w:rsidRPr="009552D1">
        <w:rPr>
          <w:rFonts w:ascii="Arial" w:eastAsia="Calibri" w:hAnsi="Arial" w:cs="Arial"/>
          <w:lang w:eastAsia="en-US"/>
        </w:rPr>
        <w:t>a</w:t>
      </w:r>
      <w:proofErr w:type="gram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aktivitami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pracovních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skupin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. Z </w:t>
      </w:r>
      <w:proofErr w:type="spellStart"/>
      <w:r w:rsidRPr="009552D1">
        <w:rPr>
          <w:rFonts w:ascii="Arial" w:eastAsia="Calibri" w:hAnsi="Arial" w:cs="Arial"/>
          <w:lang w:eastAsia="en-US"/>
        </w:rPr>
        <w:t>evaluace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vyplynula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konkrétní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doporučení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zlepšení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některých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aspektů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informování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aktérů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strany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ŘO.</w:t>
      </w:r>
    </w:p>
    <w:p w14:paraId="4CA59A0B" w14:textId="77777777" w:rsidR="00120A60" w:rsidRPr="009552D1" w:rsidRDefault="00120A60" w:rsidP="00120A60">
      <w:pPr>
        <w:spacing w:after="120" w:line="264" w:lineRule="auto"/>
        <w:ind w:right="121"/>
        <w:jc w:val="both"/>
        <w:rPr>
          <w:rFonts w:ascii="Arial" w:eastAsia="Calibri" w:hAnsi="Arial" w:cs="Arial"/>
          <w:u w:val="single"/>
          <w:lang w:eastAsia="en-US"/>
        </w:rPr>
      </w:pPr>
      <w:proofErr w:type="spellStart"/>
      <w:r w:rsidRPr="009552D1">
        <w:rPr>
          <w:rFonts w:ascii="Arial" w:eastAsia="Calibri" w:hAnsi="Arial" w:cs="Arial"/>
          <w:u w:val="single"/>
          <w:lang w:eastAsia="en-US"/>
        </w:rPr>
        <w:t>Níže</w:t>
      </w:r>
      <w:proofErr w:type="spellEnd"/>
      <w:r w:rsidRPr="009552D1">
        <w:rPr>
          <w:rFonts w:ascii="Arial" w:eastAsia="Calibri" w:hAnsi="Arial" w:cs="Arial"/>
          <w:u w:val="single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u w:val="single"/>
          <w:lang w:eastAsia="en-US"/>
        </w:rPr>
        <w:t>jsou</w:t>
      </w:r>
      <w:proofErr w:type="spellEnd"/>
      <w:r w:rsidRPr="009552D1">
        <w:rPr>
          <w:rFonts w:ascii="Arial" w:eastAsia="Calibri" w:hAnsi="Arial" w:cs="Arial"/>
          <w:u w:val="single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u w:val="single"/>
          <w:lang w:eastAsia="en-US"/>
        </w:rPr>
        <w:t>uvedeny</w:t>
      </w:r>
      <w:proofErr w:type="spellEnd"/>
      <w:r w:rsidRPr="009552D1">
        <w:rPr>
          <w:rFonts w:ascii="Arial" w:eastAsia="Calibri" w:hAnsi="Arial" w:cs="Arial"/>
          <w:u w:val="single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u w:val="single"/>
          <w:lang w:eastAsia="en-US"/>
        </w:rPr>
        <w:t>evaluace</w:t>
      </w:r>
      <w:proofErr w:type="spellEnd"/>
      <w:r w:rsidRPr="009552D1">
        <w:rPr>
          <w:rFonts w:ascii="Arial" w:eastAsia="Calibri" w:hAnsi="Arial" w:cs="Arial"/>
          <w:u w:val="single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u w:val="single"/>
          <w:lang w:eastAsia="en-US"/>
        </w:rPr>
        <w:t>které</w:t>
      </w:r>
      <w:proofErr w:type="spellEnd"/>
      <w:r w:rsidRPr="009552D1">
        <w:rPr>
          <w:rFonts w:ascii="Arial" w:eastAsia="Calibri" w:hAnsi="Arial" w:cs="Arial"/>
          <w:u w:val="single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u w:val="single"/>
          <w:lang w:eastAsia="en-US"/>
        </w:rPr>
        <w:t>jsou</w:t>
      </w:r>
      <w:proofErr w:type="spellEnd"/>
      <w:r w:rsidRPr="009552D1">
        <w:rPr>
          <w:rFonts w:ascii="Arial" w:eastAsia="Calibri" w:hAnsi="Arial" w:cs="Arial"/>
          <w:u w:val="single"/>
          <w:lang w:eastAsia="en-US"/>
        </w:rPr>
        <w:t xml:space="preserve"> v </w:t>
      </w:r>
      <w:proofErr w:type="spellStart"/>
      <w:r w:rsidRPr="009552D1">
        <w:rPr>
          <w:rFonts w:ascii="Arial" w:eastAsia="Calibri" w:hAnsi="Arial" w:cs="Arial"/>
          <w:u w:val="single"/>
          <w:lang w:eastAsia="en-US"/>
        </w:rPr>
        <w:t>realizaci</w:t>
      </w:r>
      <w:proofErr w:type="spellEnd"/>
      <w:r w:rsidRPr="009552D1">
        <w:rPr>
          <w:rFonts w:ascii="Arial" w:eastAsia="Calibri" w:hAnsi="Arial" w:cs="Arial"/>
          <w:u w:val="single"/>
          <w:lang w:eastAsia="en-US"/>
        </w:rPr>
        <w:t xml:space="preserve">: </w:t>
      </w:r>
    </w:p>
    <w:p w14:paraId="0813829F" w14:textId="77777777" w:rsidR="00120A60" w:rsidRPr="009552D1" w:rsidRDefault="00120A60" w:rsidP="00120A60">
      <w:pPr>
        <w:spacing w:after="120" w:line="264" w:lineRule="auto"/>
        <w:ind w:right="121"/>
        <w:jc w:val="both"/>
        <w:rPr>
          <w:rFonts w:ascii="Arial" w:eastAsia="Calibri" w:hAnsi="Arial" w:cs="Arial"/>
          <w:lang w:eastAsia="en-US"/>
        </w:rPr>
      </w:pPr>
      <w:r w:rsidRPr="009552D1">
        <w:rPr>
          <w:rFonts w:ascii="Arial" w:eastAsia="Calibri" w:hAnsi="Arial" w:cs="Arial"/>
          <w:b/>
          <w:bCs/>
          <w:lang w:eastAsia="en-US"/>
        </w:rPr>
        <w:t xml:space="preserve">03.002 Evaluace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národních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a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regionálních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projektů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APZ:</w:t>
      </w:r>
      <w:r w:rsidRPr="009552D1">
        <w:rPr>
          <w:rFonts w:ascii="Arial" w:eastAsia="Calibri" w:hAnsi="Arial" w:cs="Arial"/>
          <w:lang w:eastAsia="en-US"/>
        </w:rPr>
        <w:t xml:space="preserve"> V </w:t>
      </w:r>
      <w:proofErr w:type="spellStart"/>
      <w:r w:rsidRPr="009552D1">
        <w:rPr>
          <w:rFonts w:ascii="Arial" w:eastAsia="Calibri" w:hAnsi="Arial" w:cs="Arial"/>
          <w:lang w:eastAsia="en-US"/>
        </w:rPr>
        <w:t>únoru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2019 </w:t>
      </w:r>
      <w:proofErr w:type="spellStart"/>
      <w:r w:rsidRPr="009552D1">
        <w:rPr>
          <w:rFonts w:ascii="Arial" w:eastAsia="Calibri" w:hAnsi="Arial" w:cs="Arial"/>
          <w:lang w:eastAsia="en-US"/>
        </w:rPr>
        <w:t>byla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dokončena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sebeevaluace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projektů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583CF1">
        <w:rPr>
          <w:rFonts w:ascii="Arial" w:eastAsia="Calibri" w:hAnsi="Arial" w:cs="Arial"/>
          <w:b/>
          <w:bCs/>
          <w:lang w:eastAsia="en-US"/>
        </w:rPr>
        <w:t>NoPP</w:t>
      </w:r>
      <w:proofErr w:type="spellEnd"/>
      <w:r w:rsidRPr="00583CF1">
        <w:rPr>
          <w:rFonts w:ascii="Arial" w:eastAsia="Calibri" w:hAnsi="Arial" w:cs="Arial"/>
          <w:b/>
          <w:bCs/>
          <w:lang w:eastAsia="en-US"/>
        </w:rPr>
        <w:t xml:space="preserve"> SÚPM a </w:t>
      </w:r>
      <w:proofErr w:type="spellStart"/>
      <w:r w:rsidRPr="00583CF1">
        <w:rPr>
          <w:rFonts w:ascii="Arial" w:eastAsia="Calibri" w:hAnsi="Arial" w:cs="Arial"/>
          <w:b/>
          <w:bCs/>
          <w:lang w:eastAsia="en-US"/>
        </w:rPr>
        <w:t>NoPP</w:t>
      </w:r>
      <w:proofErr w:type="spellEnd"/>
      <w:r w:rsidRPr="00583CF1">
        <w:rPr>
          <w:rFonts w:ascii="Arial" w:eastAsia="Calibri" w:hAnsi="Arial" w:cs="Arial"/>
          <w:b/>
          <w:bCs/>
          <w:lang w:eastAsia="en-US"/>
        </w:rPr>
        <w:t xml:space="preserve"> VPP</w:t>
      </w:r>
      <w:r w:rsidRPr="009552D1">
        <w:rPr>
          <w:rFonts w:ascii="Arial" w:eastAsia="Calibri" w:hAnsi="Arial" w:cs="Arial"/>
          <w:lang w:eastAsia="en-US"/>
        </w:rPr>
        <w:t xml:space="preserve">. V </w:t>
      </w:r>
      <w:proofErr w:type="spellStart"/>
      <w:r w:rsidRPr="009552D1">
        <w:rPr>
          <w:rFonts w:ascii="Arial" w:eastAsia="Calibri" w:hAnsi="Arial" w:cs="Arial"/>
          <w:lang w:eastAsia="en-US"/>
        </w:rPr>
        <w:t>průběhu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roku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byla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finalizována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zadávacích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dokumentace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k </w:t>
      </w:r>
      <w:proofErr w:type="spellStart"/>
      <w:r w:rsidRPr="009552D1">
        <w:rPr>
          <w:rFonts w:ascii="Arial" w:eastAsia="Calibri" w:hAnsi="Arial" w:cs="Arial"/>
          <w:lang w:eastAsia="en-US"/>
        </w:rPr>
        <w:t>evaluaci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dalších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projektů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r w:rsidRPr="00583CF1">
        <w:rPr>
          <w:rFonts w:ascii="Arial" w:eastAsia="Calibri" w:hAnsi="Arial" w:cs="Arial"/>
          <w:b/>
          <w:bCs/>
          <w:lang w:eastAsia="en-US"/>
        </w:rPr>
        <w:t>APZ - VDTP II a RIP</w:t>
      </w:r>
      <w:r w:rsidRPr="009552D1">
        <w:rPr>
          <w:rFonts w:ascii="Arial" w:eastAsia="Calibri" w:hAnsi="Arial" w:cs="Arial"/>
          <w:lang w:eastAsia="en-US"/>
        </w:rPr>
        <w:t xml:space="preserve">. Evaluace </w:t>
      </w:r>
      <w:proofErr w:type="spellStart"/>
      <w:r w:rsidRPr="009552D1">
        <w:rPr>
          <w:rFonts w:ascii="Arial" w:eastAsia="Calibri" w:hAnsi="Arial" w:cs="Arial"/>
          <w:lang w:eastAsia="en-US"/>
        </w:rPr>
        <w:t>projektu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VDTP II </w:t>
      </w:r>
      <w:proofErr w:type="spellStart"/>
      <w:r w:rsidRPr="009552D1">
        <w:rPr>
          <w:rFonts w:ascii="Arial" w:eastAsia="Calibri" w:hAnsi="Arial" w:cs="Arial"/>
          <w:lang w:eastAsia="en-US"/>
        </w:rPr>
        <w:t>byla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v </w:t>
      </w:r>
      <w:proofErr w:type="spellStart"/>
      <w:r w:rsidRPr="009552D1">
        <w:rPr>
          <w:rFonts w:ascii="Arial" w:eastAsia="Calibri" w:hAnsi="Arial" w:cs="Arial"/>
          <w:lang w:eastAsia="en-US"/>
        </w:rPr>
        <w:t>roce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2020 </w:t>
      </w:r>
      <w:proofErr w:type="spellStart"/>
      <w:r w:rsidRPr="009552D1">
        <w:rPr>
          <w:rFonts w:ascii="Arial" w:eastAsia="Calibri" w:hAnsi="Arial" w:cs="Arial"/>
          <w:lang w:eastAsia="en-US"/>
        </w:rPr>
        <w:t>zahájena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a </w:t>
      </w:r>
      <w:proofErr w:type="spellStart"/>
      <w:r w:rsidRPr="009552D1">
        <w:rPr>
          <w:rFonts w:ascii="Arial" w:eastAsia="Calibri" w:hAnsi="Arial" w:cs="Arial"/>
          <w:lang w:eastAsia="en-US"/>
        </w:rPr>
        <w:t>veřejnou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zakázku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evaluaci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projektů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RIP </w:t>
      </w:r>
      <w:proofErr w:type="spellStart"/>
      <w:r w:rsidRPr="009552D1">
        <w:rPr>
          <w:rFonts w:ascii="Arial" w:eastAsia="Calibri" w:hAnsi="Arial" w:cs="Arial"/>
          <w:lang w:eastAsia="en-US"/>
        </w:rPr>
        <w:t>vyhlásí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ÚP v </w:t>
      </w:r>
      <w:proofErr w:type="spellStart"/>
      <w:r w:rsidRPr="009552D1">
        <w:rPr>
          <w:rFonts w:ascii="Arial" w:eastAsia="Calibri" w:hAnsi="Arial" w:cs="Arial"/>
          <w:lang w:eastAsia="en-US"/>
        </w:rPr>
        <w:t>první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polovině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2021. Pro </w:t>
      </w:r>
      <w:proofErr w:type="spellStart"/>
      <w:r w:rsidRPr="009552D1">
        <w:rPr>
          <w:rFonts w:ascii="Arial" w:eastAsia="Calibri" w:hAnsi="Arial" w:cs="Arial"/>
          <w:lang w:eastAsia="en-US"/>
        </w:rPr>
        <w:t>projekty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RIP </w:t>
      </w:r>
      <w:proofErr w:type="spellStart"/>
      <w:r w:rsidRPr="009552D1">
        <w:rPr>
          <w:rFonts w:ascii="Arial" w:eastAsia="Calibri" w:hAnsi="Arial" w:cs="Arial"/>
          <w:lang w:eastAsia="en-US"/>
        </w:rPr>
        <w:t>soustavně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probíhá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sběr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dat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formou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dvoufázového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dotazníku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měkké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přínosy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u CS, </w:t>
      </w:r>
      <w:proofErr w:type="spellStart"/>
      <w:r w:rsidRPr="009552D1">
        <w:rPr>
          <w:rFonts w:ascii="Arial" w:eastAsia="Calibri" w:hAnsi="Arial" w:cs="Arial"/>
          <w:lang w:eastAsia="en-US"/>
        </w:rPr>
        <w:t>jehož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vyhodnocení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bude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součástí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evaluace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. Pro </w:t>
      </w:r>
      <w:proofErr w:type="spellStart"/>
      <w:r w:rsidRPr="009552D1">
        <w:rPr>
          <w:rFonts w:ascii="Arial" w:eastAsia="Calibri" w:hAnsi="Arial" w:cs="Arial"/>
          <w:lang w:eastAsia="en-US"/>
        </w:rPr>
        <w:t>projekt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EURES </w:t>
      </w:r>
      <w:proofErr w:type="spellStart"/>
      <w:r w:rsidRPr="009552D1">
        <w:rPr>
          <w:rFonts w:ascii="Arial" w:eastAsia="Calibri" w:hAnsi="Arial" w:cs="Arial"/>
          <w:lang w:eastAsia="en-US"/>
        </w:rPr>
        <w:t>vznikl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interně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vytvořený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dotazník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který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je </w:t>
      </w:r>
      <w:proofErr w:type="spellStart"/>
      <w:r w:rsidRPr="009552D1">
        <w:rPr>
          <w:rFonts w:ascii="Arial" w:eastAsia="Calibri" w:hAnsi="Arial" w:cs="Arial"/>
          <w:lang w:eastAsia="en-US"/>
        </w:rPr>
        <w:t>distribuován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mezi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klienty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projektu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od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srpna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2020. </w:t>
      </w:r>
      <w:proofErr w:type="spellStart"/>
      <w:r w:rsidRPr="009552D1">
        <w:rPr>
          <w:rFonts w:ascii="Arial" w:eastAsia="Calibri" w:hAnsi="Arial" w:cs="Arial"/>
          <w:lang w:eastAsia="en-US"/>
        </w:rPr>
        <w:t>Sběr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dat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bude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ukončen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v </w:t>
      </w:r>
      <w:proofErr w:type="spellStart"/>
      <w:r w:rsidRPr="009552D1">
        <w:rPr>
          <w:rFonts w:ascii="Arial" w:eastAsia="Calibri" w:hAnsi="Arial" w:cs="Arial"/>
          <w:lang w:eastAsia="en-US"/>
        </w:rPr>
        <w:t>prvním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čtvrtletí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2021.</w:t>
      </w:r>
    </w:p>
    <w:p w14:paraId="6F86D371" w14:textId="474D1D96" w:rsidR="00120A60" w:rsidRPr="009552D1" w:rsidRDefault="00120A60" w:rsidP="00120A60">
      <w:pPr>
        <w:spacing w:after="120" w:line="264" w:lineRule="auto"/>
        <w:ind w:right="121"/>
        <w:jc w:val="both"/>
        <w:rPr>
          <w:rFonts w:ascii="Arial" w:eastAsia="Calibri" w:hAnsi="Arial" w:cs="Arial"/>
          <w:lang w:eastAsia="en-US"/>
        </w:rPr>
      </w:pPr>
      <w:r w:rsidRPr="009552D1">
        <w:rPr>
          <w:rFonts w:ascii="Arial" w:eastAsia="Calibri" w:hAnsi="Arial" w:cs="Arial"/>
          <w:b/>
          <w:bCs/>
          <w:lang w:eastAsia="en-US"/>
        </w:rPr>
        <w:t xml:space="preserve">03.011 Evaluace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výsledků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pilotní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podpory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mezinárodní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mobility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znevýhodněné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mládeže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>:</w:t>
      </w:r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3Q 2019 </w:t>
      </w:r>
      <w:proofErr w:type="spellStart"/>
      <w:r w:rsidRPr="009552D1">
        <w:rPr>
          <w:rFonts w:ascii="Arial" w:eastAsia="Calibri" w:hAnsi="Arial" w:cs="Arial"/>
          <w:lang w:eastAsia="en-US"/>
        </w:rPr>
        <w:t>byla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dokončena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Závěrečná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zpráva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hodnotící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celkový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dopad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projektů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výzvy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r w:rsidR="003D6A81">
        <w:rPr>
          <w:rFonts w:ascii="Arial" w:eastAsia="Calibri" w:hAnsi="Arial" w:cs="Arial"/>
          <w:lang w:eastAsia="en-US"/>
        </w:rPr>
        <w:t xml:space="preserve">č. </w:t>
      </w:r>
      <w:r w:rsidRPr="00583CF1">
        <w:rPr>
          <w:rFonts w:ascii="Arial" w:eastAsia="Calibri" w:hAnsi="Arial" w:cs="Arial"/>
          <w:b/>
          <w:bCs/>
          <w:lang w:eastAsia="en-US"/>
        </w:rPr>
        <w:t>32</w:t>
      </w:r>
      <w:r w:rsidR="00833271" w:rsidRPr="00833271">
        <w:rPr>
          <w:rFonts w:ascii="Arial" w:eastAsia="Calibri" w:hAnsi="Arial" w:cs="Arial"/>
          <w:lang w:eastAsia="en-US"/>
        </w:rPr>
        <w:t>.</w:t>
      </w:r>
      <w:r w:rsidR="00583CF1" w:rsidRPr="00833271">
        <w:rPr>
          <w:rFonts w:ascii="Arial" w:eastAsia="Calibri" w:hAnsi="Arial" w:cs="Arial"/>
          <w:lang w:eastAsia="en-US"/>
        </w:rPr>
        <w:t xml:space="preserve"> </w:t>
      </w:r>
      <w:r w:rsidRPr="009552D1">
        <w:rPr>
          <w:rFonts w:ascii="Arial" w:eastAsia="Calibri" w:hAnsi="Arial" w:cs="Arial"/>
          <w:lang w:eastAsia="en-US"/>
        </w:rPr>
        <w:t xml:space="preserve">V </w:t>
      </w:r>
      <w:proofErr w:type="spellStart"/>
      <w:r w:rsidRPr="009552D1">
        <w:rPr>
          <w:rFonts w:ascii="Arial" w:eastAsia="Calibri" w:hAnsi="Arial" w:cs="Arial"/>
          <w:lang w:eastAsia="en-US"/>
        </w:rPr>
        <w:t>roce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2020 se </w:t>
      </w:r>
      <w:proofErr w:type="spellStart"/>
      <w:r w:rsidRPr="009552D1">
        <w:rPr>
          <w:rFonts w:ascii="Arial" w:eastAsia="Calibri" w:hAnsi="Arial" w:cs="Arial"/>
          <w:lang w:eastAsia="en-US"/>
        </w:rPr>
        <w:t>již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hodnocení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podpory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mezinárodní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mobility </w:t>
      </w:r>
      <w:proofErr w:type="spellStart"/>
      <w:r w:rsidRPr="009552D1">
        <w:rPr>
          <w:rFonts w:ascii="Arial" w:eastAsia="Calibri" w:hAnsi="Arial" w:cs="Arial"/>
          <w:lang w:eastAsia="en-US"/>
        </w:rPr>
        <w:t>soustředilo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projekty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výzvě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r w:rsidR="003D6A81">
        <w:rPr>
          <w:rFonts w:ascii="Arial" w:eastAsia="Calibri" w:hAnsi="Arial" w:cs="Arial"/>
          <w:lang w:eastAsia="en-US"/>
        </w:rPr>
        <w:t xml:space="preserve">č. </w:t>
      </w:r>
      <w:r w:rsidRPr="00833271">
        <w:rPr>
          <w:rFonts w:ascii="Arial" w:eastAsia="Calibri" w:hAnsi="Arial" w:cs="Arial"/>
          <w:b/>
          <w:bCs/>
          <w:lang w:eastAsia="en-US"/>
        </w:rPr>
        <w:t>59</w:t>
      </w:r>
      <w:r w:rsidR="00833271" w:rsidRPr="00833271">
        <w:rPr>
          <w:rFonts w:ascii="Arial" w:eastAsia="Calibri" w:hAnsi="Arial" w:cs="Arial"/>
          <w:lang w:eastAsia="en-US"/>
        </w:rPr>
        <w:t xml:space="preserve">. </w:t>
      </w:r>
      <w:r w:rsidRPr="009552D1">
        <w:rPr>
          <w:rFonts w:ascii="Arial" w:eastAsia="Calibri" w:hAnsi="Arial" w:cs="Arial"/>
          <w:lang w:eastAsia="en-US"/>
        </w:rPr>
        <w:t xml:space="preserve">Od </w:t>
      </w:r>
      <w:proofErr w:type="spellStart"/>
      <w:r w:rsidRPr="009552D1">
        <w:rPr>
          <w:rFonts w:ascii="Arial" w:eastAsia="Calibri" w:hAnsi="Arial" w:cs="Arial"/>
          <w:lang w:eastAsia="en-US"/>
        </w:rPr>
        <w:t>června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2019 je </w:t>
      </w:r>
      <w:proofErr w:type="spellStart"/>
      <w:r w:rsidRPr="009552D1">
        <w:rPr>
          <w:rFonts w:ascii="Arial" w:eastAsia="Calibri" w:hAnsi="Arial" w:cs="Arial"/>
          <w:lang w:eastAsia="en-US"/>
        </w:rPr>
        <w:t>spuštěn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vstupní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dotazník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mapující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postoje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podpořených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osob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samotném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začátku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intervence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a od </w:t>
      </w:r>
      <w:proofErr w:type="spellStart"/>
      <w:r w:rsidRPr="009552D1">
        <w:rPr>
          <w:rFonts w:ascii="Arial" w:eastAsia="Calibri" w:hAnsi="Arial" w:cs="Arial"/>
          <w:lang w:eastAsia="en-US"/>
        </w:rPr>
        <w:t>srpna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2019 </w:t>
      </w:r>
      <w:proofErr w:type="spellStart"/>
      <w:r w:rsidRPr="009552D1">
        <w:rPr>
          <w:rFonts w:ascii="Arial" w:eastAsia="Calibri" w:hAnsi="Arial" w:cs="Arial"/>
          <w:lang w:eastAsia="en-US"/>
        </w:rPr>
        <w:t>dotazník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průběžný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který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sbírá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data </w:t>
      </w:r>
      <w:proofErr w:type="spellStart"/>
      <w:r w:rsidRPr="009552D1">
        <w:rPr>
          <w:rFonts w:ascii="Arial" w:eastAsia="Calibri" w:hAnsi="Arial" w:cs="Arial"/>
          <w:lang w:eastAsia="en-US"/>
        </w:rPr>
        <w:t>ve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fázi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kdy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jsou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podpořené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osoby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stáži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nebo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těsně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po </w:t>
      </w:r>
      <w:proofErr w:type="spellStart"/>
      <w:r w:rsidRPr="009552D1">
        <w:rPr>
          <w:rFonts w:ascii="Arial" w:eastAsia="Calibri" w:hAnsi="Arial" w:cs="Arial"/>
          <w:lang w:eastAsia="en-US"/>
        </w:rPr>
        <w:t>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tedy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v </w:t>
      </w:r>
      <w:proofErr w:type="spellStart"/>
      <w:r w:rsidRPr="009552D1">
        <w:rPr>
          <w:rFonts w:ascii="Arial" w:eastAsia="Calibri" w:hAnsi="Arial" w:cs="Arial"/>
          <w:lang w:eastAsia="en-US"/>
        </w:rPr>
        <w:t>situaci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kdy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již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část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intervence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proběhla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. V </w:t>
      </w:r>
      <w:proofErr w:type="spellStart"/>
      <w:r w:rsidRPr="009552D1">
        <w:rPr>
          <w:rFonts w:ascii="Arial" w:eastAsia="Calibri" w:hAnsi="Arial" w:cs="Arial"/>
          <w:lang w:eastAsia="en-US"/>
        </w:rPr>
        <w:t>říjnu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2020 </w:t>
      </w:r>
      <w:proofErr w:type="spellStart"/>
      <w:r w:rsidRPr="009552D1">
        <w:rPr>
          <w:rFonts w:ascii="Arial" w:eastAsia="Calibri" w:hAnsi="Arial" w:cs="Arial"/>
          <w:lang w:eastAsia="en-US"/>
        </w:rPr>
        <w:t>byl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spuštěn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závěrečný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dotazník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který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mapuje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postoje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a </w:t>
      </w:r>
      <w:proofErr w:type="spellStart"/>
      <w:r w:rsidRPr="009552D1">
        <w:rPr>
          <w:rFonts w:ascii="Arial" w:eastAsia="Calibri" w:hAnsi="Arial" w:cs="Arial"/>
          <w:lang w:eastAsia="en-US"/>
        </w:rPr>
        <w:t>postavení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podpořených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osob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trhu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práce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po </w:t>
      </w:r>
      <w:proofErr w:type="spellStart"/>
      <w:r w:rsidRPr="009552D1">
        <w:rPr>
          <w:rFonts w:ascii="Arial" w:eastAsia="Calibri" w:hAnsi="Arial" w:cs="Arial"/>
          <w:lang w:eastAsia="en-US"/>
        </w:rPr>
        <w:t>ukončení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jejich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účasti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projektu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. </w:t>
      </w:r>
      <w:proofErr w:type="spellStart"/>
      <w:r w:rsidRPr="009552D1">
        <w:rPr>
          <w:rFonts w:ascii="Arial" w:eastAsia="Calibri" w:hAnsi="Arial" w:cs="Arial"/>
          <w:lang w:eastAsia="en-US"/>
        </w:rPr>
        <w:t>Zároveň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byl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spuštěn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dotazník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jehož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respondenty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jsou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osoby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které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z </w:t>
      </w:r>
      <w:proofErr w:type="spellStart"/>
      <w:r w:rsidRPr="009552D1">
        <w:rPr>
          <w:rFonts w:ascii="Arial" w:eastAsia="Calibri" w:hAnsi="Arial" w:cs="Arial"/>
          <w:lang w:eastAsia="en-US"/>
        </w:rPr>
        <w:t>různých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možných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důvodů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zahraniční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stáž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navzdory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absolvované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přípravné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fázi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nevyjely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. V </w:t>
      </w:r>
      <w:proofErr w:type="spellStart"/>
      <w:r w:rsidRPr="009552D1">
        <w:rPr>
          <w:rFonts w:ascii="Arial" w:eastAsia="Calibri" w:hAnsi="Arial" w:cs="Arial"/>
          <w:lang w:eastAsia="en-US"/>
        </w:rPr>
        <w:t>průběhu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prvního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pololetí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2021 </w:t>
      </w:r>
      <w:proofErr w:type="spellStart"/>
      <w:r w:rsidRPr="009552D1">
        <w:rPr>
          <w:rFonts w:ascii="Arial" w:eastAsia="Calibri" w:hAnsi="Arial" w:cs="Arial"/>
          <w:lang w:eastAsia="en-US"/>
        </w:rPr>
        <w:t>dojde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k </w:t>
      </w:r>
      <w:proofErr w:type="spellStart"/>
      <w:r w:rsidRPr="009552D1">
        <w:rPr>
          <w:rFonts w:ascii="Arial" w:eastAsia="Calibri" w:hAnsi="Arial" w:cs="Arial"/>
          <w:lang w:eastAsia="en-US"/>
        </w:rPr>
        <w:t>vyhlášení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veřejné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zakázky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kvalitativní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došetření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. </w:t>
      </w:r>
    </w:p>
    <w:p w14:paraId="226A9368" w14:textId="451F9F1D" w:rsidR="00120A60" w:rsidRPr="009552D1" w:rsidRDefault="00120A60" w:rsidP="00120A60">
      <w:pPr>
        <w:spacing w:after="120" w:line="264" w:lineRule="auto"/>
        <w:ind w:right="121"/>
        <w:jc w:val="both"/>
        <w:rPr>
          <w:rFonts w:ascii="Arial" w:eastAsia="Calibri" w:hAnsi="Arial" w:cs="Arial"/>
          <w:lang w:eastAsia="en-US"/>
        </w:rPr>
      </w:pPr>
      <w:r w:rsidRPr="009552D1">
        <w:rPr>
          <w:rFonts w:ascii="Arial" w:eastAsia="Calibri" w:hAnsi="Arial" w:cs="Arial"/>
          <w:b/>
          <w:bCs/>
          <w:lang w:eastAsia="en-US"/>
        </w:rPr>
        <w:t xml:space="preserve">03.015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Vyhodnocení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výsledků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podpory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sociálních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inovací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v PO3 OPZ:</w:t>
      </w:r>
      <w:r w:rsidRPr="009552D1">
        <w:rPr>
          <w:rFonts w:ascii="Arial" w:eastAsia="Calibri" w:hAnsi="Arial" w:cs="Arial"/>
          <w:lang w:eastAsia="en-US"/>
        </w:rPr>
        <w:t xml:space="preserve"> V </w:t>
      </w:r>
      <w:proofErr w:type="spellStart"/>
      <w:r w:rsidRPr="009552D1">
        <w:rPr>
          <w:rFonts w:ascii="Arial" w:eastAsia="Calibri" w:hAnsi="Arial" w:cs="Arial"/>
          <w:lang w:eastAsia="en-US"/>
        </w:rPr>
        <w:t>rámci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evaluace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byla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v </w:t>
      </w:r>
      <w:proofErr w:type="spellStart"/>
      <w:r w:rsidRPr="009552D1">
        <w:rPr>
          <w:rFonts w:ascii="Arial" w:eastAsia="Calibri" w:hAnsi="Arial" w:cs="Arial"/>
          <w:lang w:eastAsia="en-US"/>
        </w:rPr>
        <w:t>roce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2020 </w:t>
      </w:r>
      <w:proofErr w:type="spellStart"/>
      <w:r w:rsidRPr="009552D1">
        <w:rPr>
          <w:rFonts w:ascii="Arial" w:eastAsia="Calibri" w:hAnsi="Arial" w:cs="Arial"/>
          <w:lang w:eastAsia="en-US"/>
        </w:rPr>
        <w:t>dokončena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veřejná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zakázka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Kvalitativní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šetření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inovačních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projektů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PO3 OPZ. V </w:t>
      </w:r>
      <w:proofErr w:type="spellStart"/>
      <w:r w:rsidRPr="009552D1">
        <w:rPr>
          <w:rFonts w:ascii="Arial" w:eastAsia="Calibri" w:hAnsi="Arial" w:cs="Arial"/>
          <w:lang w:eastAsia="en-US"/>
        </w:rPr>
        <w:t>červnu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byla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zveřejněna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Zpráva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z </w:t>
      </w:r>
      <w:proofErr w:type="spellStart"/>
      <w:r w:rsidRPr="009552D1">
        <w:rPr>
          <w:rFonts w:ascii="Arial" w:eastAsia="Calibri" w:hAnsi="Arial" w:cs="Arial"/>
          <w:lang w:eastAsia="en-US"/>
        </w:rPr>
        <w:t>Etapy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II, </w:t>
      </w:r>
      <w:proofErr w:type="spellStart"/>
      <w:r w:rsidRPr="009552D1">
        <w:rPr>
          <w:rFonts w:ascii="Arial" w:eastAsia="Calibri" w:hAnsi="Arial" w:cs="Arial"/>
          <w:lang w:eastAsia="en-US"/>
        </w:rPr>
        <w:t>která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navázala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přechozích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šetření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dalšími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10 </w:t>
      </w:r>
      <w:proofErr w:type="spellStart"/>
      <w:r w:rsidRPr="009552D1">
        <w:rPr>
          <w:rFonts w:ascii="Arial" w:eastAsia="Calibri" w:hAnsi="Arial" w:cs="Arial"/>
          <w:lang w:eastAsia="en-US"/>
        </w:rPr>
        <w:t>rozhovory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s </w:t>
      </w:r>
      <w:proofErr w:type="spellStart"/>
      <w:r w:rsidRPr="009552D1">
        <w:rPr>
          <w:rFonts w:ascii="Arial" w:eastAsia="Calibri" w:hAnsi="Arial" w:cs="Arial"/>
          <w:lang w:eastAsia="en-US"/>
        </w:rPr>
        <w:t>respondenty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z </w:t>
      </w:r>
      <w:proofErr w:type="spellStart"/>
      <w:r w:rsidRPr="009552D1">
        <w:rPr>
          <w:rFonts w:ascii="Arial" w:eastAsia="Calibri" w:hAnsi="Arial" w:cs="Arial"/>
          <w:lang w:eastAsia="en-US"/>
        </w:rPr>
        <w:t>vybraných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5 </w:t>
      </w:r>
      <w:proofErr w:type="spellStart"/>
      <w:r w:rsidRPr="009552D1">
        <w:rPr>
          <w:rFonts w:ascii="Arial" w:eastAsia="Calibri" w:hAnsi="Arial" w:cs="Arial"/>
          <w:lang w:eastAsia="en-US"/>
        </w:rPr>
        <w:t>projektů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. </w:t>
      </w:r>
      <w:proofErr w:type="spellStart"/>
      <w:r w:rsidRPr="009552D1">
        <w:rPr>
          <w:rFonts w:ascii="Arial" w:eastAsia="Calibri" w:hAnsi="Arial" w:cs="Arial"/>
          <w:lang w:eastAsia="en-US"/>
        </w:rPr>
        <w:t>Ve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stejném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měsíci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byla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podepsána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smlouva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s </w:t>
      </w:r>
      <w:proofErr w:type="spellStart"/>
      <w:r w:rsidRPr="009552D1">
        <w:rPr>
          <w:rFonts w:ascii="Arial" w:eastAsia="Calibri" w:hAnsi="Arial" w:cs="Arial"/>
          <w:lang w:eastAsia="en-US"/>
        </w:rPr>
        <w:t>dodavatelem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další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zakázku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Kvalitativní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šetření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inovačních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projektů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PO3 OPZ – 2. </w:t>
      </w:r>
      <w:proofErr w:type="spellStart"/>
      <w:r w:rsidRPr="009552D1">
        <w:rPr>
          <w:rFonts w:ascii="Arial" w:eastAsia="Calibri" w:hAnsi="Arial" w:cs="Arial"/>
          <w:lang w:eastAsia="en-US"/>
        </w:rPr>
        <w:t>vlna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. V </w:t>
      </w:r>
      <w:proofErr w:type="spellStart"/>
      <w:r w:rsidRPr="009552D1">
        <w:rPr>
          <w:rFonts w:ascii="Arial" w:eastAsia="Calibri" w:hAnsi="Arial" w:cs="Arial"/>
          <w:lang w:eastAsia="en-US"/>
        </w:rPr>
        <w:t>srpnu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byla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akceptována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vstupní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zpráva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v </w:t>
      </w:r>
      <w:proofErr w:type="spellStart"/>
      <w:r w:rsidRPr="009552D1">
        <w:rPr>
          <w:rFonts w:ascii="Arial" w:eastAsia="Calibri" w:hAnsi="Arial" w:cs="Arial"/>
          <w:lang w:eastAsia="en-US"/>
        </w:rPr>
        <w:t>prosinci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pak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Zpráva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z </w:t>
      </w:r>
      <w:proofErr w:type="spellStart"/>
      <w:r w:rsidRPr="009552D1">
        <w:rPr>
          <w:rFonts w:ascii="Arial" w:eastAsia="Calibri" w:hAnsi="Arial" w:cs="Arial"/>
          <w:lang w:eastAsia="en-US"/>
        </w:rPr>
        <w:t>Etapy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I, </w:t>
      </w:r>
      <w:proofErr w:type="spellStart"/>
      <w:r w:rsidRPr="009552D1">
        <w:rPr>
          <w:rFonts w:ascii="Arial" w:eastAsia="Calibri" w:hAnsi="Arial" w:cs="Arial"/>
          <w:lang w:eastAsia="en-US"/>
        </w:rPr>
        <w:t>která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shrnovala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závěry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56 </w:t>
      </w:r>
      <w:proofErr w:type="spellStart"/>
      <w:r w:rsidRPr="009552D1">
        <w:rPr>
          <w:rFonts w:ascii="Arial" w:eastAsia="Calibri" w:hAnsi="Arial" w:cs="Arial"/>
          <w:lang w:eastAsia="en-US"/>
        </w:rPr>
        <w:t>rozhovorů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s </w:t>
      </w:r>
      <w:proofErr w:type="spellStart"/>
      <w:r w:rsidRPr="009552D1">
        <w:rPr>
          <w:rFonts w:ascii="Arial" w:eastAsia="Calibri" w:hAnsi="Arial" w:cs="Arial"/>
          <w:lang w:eastAsia="en-US"/>
        </w:rPr>
        <w:t>respondenty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z </w:t>
      </w:r>
      <w:proofErr w:type="spellStart"/>
      <w:r w:rsidRPr="009552D1">
        <w:rPr>
          <w:rFonts w:ascii="Arial" w:eastAsia="Calibri" w:hAnsi="Arial" w:cs="Arial"/>
          <w:lang w:eastAsia="en-US"/>
        </w:rPr>
        <w:t>dalších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9 </w:t>
      </w:r>
      <w:proofErr w:type="spellStart"/>
      <w:r w:rsidRPr="009552D1">
        <w:rPr>
          <w:rFonts w:ascii="Arial" w:eastAsia="Calibri" w:hAnsi="Arial" w:cs="Arial"/>
          <w:lang w:eastAsia="en-US"/>
        </w:rPr>
        <w:t>vybraných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projektů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. </w:t>
      </w:r>
      <w:proofErr w:type="spellStart"/>
      <w:r w:rsidRPr="009552D1">
        <w:rPr>
          <w:rFonts w:ascii="Arial" w:eastAsia="Calibri" w:hAnsi="Arial" w:cs="Arial"/>
          <w:lang w:eastAsia="en-US"/>
        </w:rPr>
        <w:t>Interně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bylo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zahájeno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zpracování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případových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studií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vybraných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inovačních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projektů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které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jsou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spolu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s </w:t>
      </w:r>
      <w:proofErr w:type="spellStart"/>
      <w:r w:rsidRPr="009552D1">
        <w:rPr>
          <w:rFonts w:ascii="Arial" w:eastAsia="Calibri" w:hAnsi="Arial" w:cs="Arial"/>
          <w:lang w:eastAsia="en-US"/>
        </w:rPr>
        <w:t>dalšími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metodami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součástí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celkového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vyhodnocení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jehož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základě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budou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formulovány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souhrnné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závěry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a </w:t>
      </w:r>
      <w:proofErr w:type="spellStart"/>
      <w:r w:rsidRPr="009552D1">
        <w:rPr>
          <w:rFonts w:ascii="Arial" w:eastAsia="Calibri" w:hAnsi="Arial" w:cs="Arial"/>
          <w:lang w:eastAsia="en-US"/>
        </w:rPr>
        <w:t>doporučení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pro </w:t>
      </w:r>
      <w:proofErr w:type="spellStart"/>
      <w:r w:rsidRPr="009552D1">
        <w:rPr>
          <w:rFonts w:ascii="Arial" w:eastAsia="Calibri" w:hAnsi="Arial" w:cs="Arial"/>
          <w:lang w:eastAsia="en-US"/>
        </w:rPr>
        <w:t>nastavení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implementace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podpory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sociálních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inovací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v OPZ+.</w:t>
      </w:r>
    </w:p>
    <w:p w14:paraId="6DA5D246" w14:textId="7649A21A" w:rsidR="00120A60" w:rsidRPr="009552D1" w:rsidRDefault="00120A60" w:rsidP="00120A60">
      <w:pPr>
        <w:spacing w:after="120" w:line="264" w:lineRule="auto"/>
        <w:ind w:right="121"/>
        <w:jc w:val="both"/>
        <w:rPr>
          <w:rFonts w:ascii="Arial" w:eastAsia="Calibri" w:hAnsi="Arial" w:cs="Arial"/>
          <w:lang w:eastAsia="en-US"/>
        </w:rPr>
      </w:pPr>
      <w:r w:rsidRPr="009552D1">
        <w:rPr>
          <w:rFonts w:ascii="Arial" w:eastAsia="Calibri" w:hAnsi="Arial" w:cs="Arial"/>
          <w:b/>
          <w:bCs/>
          <w:lang w:eastAsia="en-US"/>
        </w:rPr>
        <w:lastRenderedPageBreak/>
        <w:t xml:space="preserve">03.041 Evaluace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výzev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r w:rsidR="009552D1">
        <w:rPr>
          <w:rFonts w:ascii="Arial" w:eastAsia="Calibri" w:hAnsi="Arial" w:cs="Arial"/>
          <w:b/>
          <w:bCs/>
          <w:lang w:eastAsia="en-US"/>
        </w:rPr>
        <w:t xml:space="preserve">č. </w:t>
      </w:r>
      <w:r w:rsidRPr="009552D1">
        <w:rPr>
          <w:rFonts w:ascii="Arial" w:eastAsia="Calibri" w:hAnsi="Arial" w:cs="Arial"/>
          <w:b/>
          <w:bCs/>
          <w:lang w:eastAsia="en-US"/>
        </w:rPr>
        <w:t xml:space="preserve">33 a 34 OPZ pro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územní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samosprávné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celky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>:</w:t>
      </w:r>
      <w:r w:rsidRPr="009552D1">
        <w:rPr>
          <w:rFonts w:ascii="Arial" w:eastAsia="Calibri" w:hAnsi="Arial" w:cs="Arial"/>
          <w:lang w:eastAsia="en-US"/>
        </w:rPr>
        <w:t xml:space="preserve"> V </w:t>
      </w:r>
      <w:proofErr w:type="spellStart"/>
      <w:r w:rsidRPr="009552D1">
        <w:rPr>
          <w:rFonts w:ascii="Arial" w:eastAsia="Calibri" w:hAnsi="Arial" w:cs="Arial"/>
          <w:lang w:eastAsia="en-US"/>
        </w:rPr>
        <w:t>roce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2020 </w:t>
      </w:r>
      <w:proofErr w:type="spellStart"/>
      <w:r w:rsidRPr="009552D1">
        <w:rPr>
          <w:rFonts w:ascii="Arial" w:eastAsia="Calibri" w:hAnsi="Arial" w:cs="Arial"/>
          <w:lang w:eastAsia="en-US"/>
        </w:rPr>
        <w:t>probíhalo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kvalitativní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došetření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formou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zpracování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případových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studií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externím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dodavatelem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. </w:t>
      </w:r>
      <w:proofErr w:type="spellStart"/>
      <w:r w:rsidRPr="009552D1">
        <w:rPr>
          <w:rFonts w:ascii="Arial" w:eastAsia="Calibri" w:hAnsi="Arial" w:cs="Arial"/>
          <w:lang w:eastAsia="en-US"/>
        </w:rPr>
        <w:t>Veřejná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zakázka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s </w:t>
      </w:r>
      <w:proofErr w:type="spellStart"/>
      <w:r w:rsidRPr="009552D1">
        <w:rPr>
          <w:rFonts w:ascii="Arial" w:eastAsia="Calibri" w:hAnsi="Arial" w:cs="Arial"/>
          <w:lang w:eastAsia="en-US"/>
        </w:rPr>
        <w:t>názvem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Zpracování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případových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studií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projektů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podpořených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výzvách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č. </w:t>
      </w:r>
      <w:r w:rsidRPr="00833271">
        <w:rPr>
          <w:rFonts w:ascii="Arial" w:eastAsia="Calibri" w:hAnsi="Arial" w:cs="Arial"/>
          <w:b/>
          <w:bCs/>
          <w:lang w:eastAsia="en-US"/>
        </w:rPr>
        <w:t>33</w:t>
      </w:r>
      <w:r w:rsidRPr="009552D1">
        <w:rPr>
          <w:rFonts w:ascii="Arial" w:eastAsia="Calibri" w:hAnsi="Arial" w:cs="Arial"/>
          <w:lang w:eastAsia="en-US"/>
        </w:rPr>
        <w:t xml:space="preserve"> a </w:t>
      </w:r>
      <w:r w:rsidRPr="00833271">
        <w:rPr>
          <w:rFonts w:ascii="Arial" w:eastAsia="Calibri" w:hAnsi="Arial" w:cs="Arial"/>
          <w:b/>
          <w:bCs/>
          <w:lang w:eastAsia="en-US"/>
        </w:rPr>
        <w:t>34</w:t>
      </w:r>
      <w:r w:rsidRPr="009552D1">
        <w:rPr>
          <w:rFonts w:ascii="Arial" w:eastAsia="Calibri" w:hAnsi="Arial" w:cs="Arial"/>
          <w:lang w:eastAsia="en-US"/>
        </w:rPr>
        <w:t xml:space="preserve"> OPZ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podporu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územních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samosprávných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celků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byla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vyhlášena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v </w:t>
      </w:r>
      <w:proofErr w:type="spellStart"/>
      <w:r w:rsidRPr="009552D1">
        <w:rPr>
          <w:rFonts w:ascii="Arial" w:eastAsia="Calibri" w:hAnsi="Arial" w:cs="Arial"/>
          <w:lang w:eastAsia="en-US"/>
        </w:rPr>
        <w:t>únoru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smlouva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s </w:t>
      </w:r>
      <w:proofErr w:type="spellStart"/>
      <w:r w:rsidRPr="009552D1">
        <w:rPr>
          <w:rFonts w:ascii="Arial" w:eastAsia="Calibri" w:hAnsi="Arial" w:cs="Arial"/>
          <w:lang w:eastAsia="en-US"/>
        </w:rPr>
        <w:t>dodavatelem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podepsána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v </w:t>
      </w:r>
      <w:proofErr w:type="spellStart"/>
      <w:r w:rsidRPr="009552D1">
        <w:rPr>
          <w:rFonts w:ascii="Arial" w:eastAsia="Calibri" w:hAnsi="Arial" w:cs="Arial"/>
          <w:lang w:eastAsia="en-US"/>
        </w:rPr>
        <w:t>červnu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a </w:t>
      </w:r>
      <w:proofErr w:type="spellStart"/>
      <w:r w:rsidRPr="009552D1">
        <w:rPr>
          <w:rFonts w:ascii="Arial" w:eastAsia="Calibri" w:hAnsi="Arial" w:cs="Arial"/>
          <w:lang w:eastAsia="en-US"/>
        </w:rPr>
        <w:t>vstupní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zpráva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akceptována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v září. </w:t>
      </w:r>
      <w:proofErr w:type="spellStart"/>
      <w:r w:rsidRPr="009552D1">
        <w:rPr>
          <w:rFonts w:ascii="Arial" w:eastAsia="Calibri" w:hAnsi="Arial" w:cs="Arial"/>
          <w:lang w:eastAsia="en-US"/>
        </w:rPr>
        <w:t>Dodavatel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stihnul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realizovat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šetření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stejně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jako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zpracovat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většinu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případových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studií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před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koncem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roku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2020, </w:t>
      </w:r>
      <w:proofErr w:type="spellStart"/>
      <w:r w:rsidRPr="009552D1">
        <w:rPr>
          <w:rFonts w:ascii="Arial" w:eastAsia="Calibri" w:hAnsi="Arial" w:cs="Arial"/>
          <w:lang w:eastAsia="en-US"/>
        </w:rPr>
        <w:t>kompletně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budou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zpracovány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v </w:t>
      </w:r>
      <w:proofErr w:type="spellStart"/>
      <w:r w:rsidRPr="009552D1">
        <w:rPr>
          <w:rFonts w:ascii="Arial" w:eastAsia="Calibri" w:hAnsi="Arial" w:cs="Arial"/>
          <w:lang w:eastAsia="en-US"/>
        </w:rPr>
        <w:t>závěrečné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zprávě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začátku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dalšího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roku</w:t>
      </w:r>
      <w:proofErr w:type="spellEnd"/>
      <w:r w:rsidRPr="009552D1">
        <w:rPr>
          <w:rFonts w:ascii="Arial" w:eastAsia="Calibri" w:hAnsi="Arial" w:cs="Arial"/>
          <w:lang w:eastAsia="en-US"/>
        </w:rPr>
        <w:t>.</w:t>
      </w:r>
    </w:p>
    <w:p w14:paraId="0D80AAF0" w14:textId="0C941BB3" w:rsidR="00120A60" w:rsidRPr="009552D1" w:rsidRDefault="00120A60" w:rsidP="00120A60">
      <w:pPr>
        <w:spacing w:after="120" w:line="264" w:lineRule="auto"/>
        <w:ind w:right="121"/>
        <w:jc w:val="both"/>
        <w:rPr>
          <w:rFonts w:ascii="Arial" w:eastAsia="Calibri" w:hAnsi="Arial" w:cs="Arial"/>
          <w:lang w:eastAsia="en-US"/>
        </w:rPr>
      </w:pPr>
      <w:r w:rsidRPr="009552D1">
        <w:rPr>
          <w:rFonts w:ascii="Arial" w:eastAsia="Calibri" w:hAnsi="Arial" w:cs="Arial"/>
          <w:b/>
          <w:bCs/>
          <w:lang w:eastAsia="en-US"/>
        </w:rPr>
        <w:t xml:space="preserve">03.042 Evaluace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dětských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skupin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II:</w:t>
      </w:r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navázala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Evaluaci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dětských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skupin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a </w:t>
      </w:r>
      <w:proofErr w:type="spellStart"/>
      <w:r w:rsidRPr="009552D1">
        <w:rPr>
          <w:rFonts w:ascii="Arial" w:eastAsia="Calibri" w:hAnsi="Arial" w:cs="Arial"/>
          <w:lang w:eastAsia="en-US"/>
        </w:rPr>
        <w:t>dětských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klubů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I. V </w:t>
      </w:r>
      <w:proofErr w:type="spellStart"/>
      <w:r w:rsidRPr="009552D1">
        <w:rPr>
          <w:rFonts w:ascii="Arial" w:eastAsia="Calibri" w:hAnsi="Arial" w:cs="Arial"/>
          <w:lang w:eastAsia="en-US"/>
        </w:rPr>
        <w:t>průběhu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roku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2019 </w:t>
      </w:r>
      <w:proofErr w:type="spellStart"/>
      <w:r w:rsidRPr="009552D1">
        <w:rPr>
          <w:rFonts w:ascii="Arial" w:eastAsia="Calibri" w:hAnsi="Arial" w:cs="Arial"/>
          <w:lang w:eastAsia="en-US"/>
        </w:rPr>
        <w:t>bylo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interně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realizováno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dotazníkové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šetření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mezi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cílovou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skupinou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(</w:t>
      </w:r>
      <w:proofErr w:type="spellStart"/>
      <w:r w:rsidRPr="009552D1">
        <w:rPr>
          <w:rFonts w:ascii="Arial" w:eastAsia="Calibri" w:hAnsi="Arial" w:cs="Arial"/>
          <w:lang w:eastAsia="en-US"/>
        </w:rPr>
        <w:t>rodiče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dětí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navštěvujících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DS). Data z </w:t>
      </w:r>
      <w:proofErr w:type="spellStart"/>
      <w:r w:rsidRPr="009552D1">
        <w:rPr>
          <w:rFonts w:ascii="Arial" w:eastAsia="Calibri" w:hAnsi="Arial" w:cs="Arial"/>
          <w:lang w:eastAsia="en-US"/>
        </w:rPr>
        <w:t>tohoto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dotazníkového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šetření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byla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v </w:t>
      </w:r>
      <w:proofErr w:type="spellStart"/>
      <w:r w:rsidRPr="009552D1">
        <w:rPr>
          <w:rFonts w:ascii="Arial" w:eastAsia="Calibri" w:hAnsi="Arial" w:cs="Arial"/>
          <w:lang w:eastAsia="en-US"/>
        </w:rPr>
        <w:t>roce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2020 </w:t>
      </w:r>
      <w:proofErr w:type="spellStart"/>
      <w:r w:rsidRPr="009552D1">
        <w:rPr>
          <w:rFonts w:ascii="Arial" w:eastAsia="Calibri" w:hAnsi="Arial" w:cs="Arial"/>
          <w:lang w:eastAsia="en-US"/>
        </w:rPr>
        <w:t>vyhodnocena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výsledky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studie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však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budou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vzhledem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ke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komplikacím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způsobených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pandemií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C</w:t>
      </w:r>
      <w:r w:rsidR="00833271">
        <w:rPr>
          <w:rFonts w:ascii="Arial" w:eastAsia="Calibri" w:hAnsi="Arial" w:cs="Arial"/>
          <w:lang w:eastAsia="en-US"/>
        </w:rPr>
        <w:t>OVID</w:t>
      </w:r>
      <w:r w:rsidRPr="009552D1">
        <w:rPr>
          <w:rFonts w:ascii="Arial" w:eastAsia="Calibri" w:hAnsi="Arial" w:cs="Arial"/>
          <w:lang w:eastAsia="en-US"/>
        </w:rPr>
        <w:t xml:space="preserve">-19 </w:t>
      </w:r>
      <w:proofErr w:type="spellStart"/>
      <w:r w:rsidRPr="009552D1">
        <w:rPr>
          <w:rFonts w:ascii="Arial" w:eastAsia="Calibri" w:hAnsi="Arial" w:cs="Arial"/>
          <w:lang w:eastAsia="en-US"/>
        </w:rPr>
        <w:t>zveřejněny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až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v </w:t>
      </w:r>
      <w:proofErr w:type="spellStart"/>
      <w:r w:rsidRPr="009552D1">
        <w:rPr>
          <w:rFonts w:ascii="Arial" w:eastAsia="Calibri" w:hAnsi="Arial" w:cs="Arial"/>
          <w:lang w:eastAsia="en-US"/>
        </w:rPr>
        <w:t>průběhu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roku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2021.</w:t>
      </w:r>
    </w:p>
    <w:p w14:paraId="1C2A750F" w14:textId="19F65CBD" w:rsidR="00120A60" w:rsidRPr="009552D1" w:rsidRDefault="00120A60" w:rsidP="00120A60">
      <w:pPr>
        <w:spacing w:after="120" w:line="264" w:lineRule="auto"/>
        <w:ind w:right="121"/>
        <w:jc w:val="both"/>
        <w:rPr>
          <w:rFonts w:ascii="Arial" w:eastAsia="Calibri" w:hAnsi="Arial" w:cs="Arial"/>
          <w:lang w:eastAsia="en-US"/>
        </w:rPr>
      </w:pPr>
      <w:r w:rsidRPr="009552D1">
        <w:rPr>
          <w:rFonts w:ascii="Arial" w:eastAsia="Calibri" w:hAnsi="Arial" w:cs="Arial"/>
          <w:b/>
          <w:bCs/>
          <w:lang w:eastAsia="en-US"/>
        </w:rPr>
        <w:t xml:space="preserve">03.043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Analýza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situace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v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oblasti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transformace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pobytových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sociálních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služeb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gramStart"/>
      <w:r w:rsidRPr="009552D1">
        <w:rPr>
          <w:rFonts w:ascii="Arial" w:eastAsia="Calibri" w:hAnsi="Arial" w:cs="Arial"/>
          <w:b/>
          <w:bCs/>
          <w:lang w:eastAsia="en-US"/>
        </w:rPr>
        <w:t>a</w:t>
      </w:r>
      <w:proofErr w:type="gram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evaluace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výzev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OPZ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podporu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transformace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>:</w:t>
      </w:r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Analýza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služeb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je </w:t>
      </w:r>
      <w:proofErr w:type="spellStart"/>
      <w:r w:rsidRPr="009552D1">
        <w:rPr>
          <w:rFonts w:ascii="Arial" w:eastAsia="Calibri" w:hAnsi="Arial" w:cs="Arial"/>
          <w:lang w:eastAsia="en-US"/>
        </w:rPr>
        <w:t>realizována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základě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syntézy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dostupných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dat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MPSV a </w:t>
      </w:r>
      <w:proofErr w:type="spellStart"/>
      <w:r w:rsidRPr="009552D1">
        <w:rPr>
          <w:rFonts w:ascii="Arial" w:eastAsia="Calibri" w:hAnsi="Arial" w:cs="Arial"/>
          <w:lang w:eastAsia="en-US"/>
        </w:rPr>
        <w:t>vlastního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sběru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. V </w:t>
      </w:r>
      <w:proofErr w:type="spellStart"/>
      <w:r w:rsidRPr="009552D1">
        <w:rPr>
          <w:rFonts w:ascii="Arial" w:eastAsia="Calibri" w:hAnsi="Arial" w:cs="Arial"/>
          <w:lang w:eastAsia="en-US"/>
        </w:rPr>
        <w:t>roce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2020 </w:t>
      </w:r>
      <w:proofErr w:type="spellStart"/>
      <w:r w:rsidRPr="009552D1">
        <w:rPr>
          <w:rFonts w:ascii="Arial" w:eastAsia="Calibri" w:hAnsi="Arial" w:cs="Arial"/>
          <w:lang w:eastAsia="en-US"/>
        </w:rPr>
        <w:t>byla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zahájena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etapa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Vyhodnocení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nastavení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a </w:t>
      </w:r>
      <w:proofErr w:type="spellStart"/>
      <w:r w:rsidRPr="009552D1">
        <w:rPr>
          <w:rFonts w:ascii="Arial" w:eastAsia="Calibri" w:hAnsi="Arial" w:cs="Arial"/>
          <w:lang w:eastAsia="en-US"/>
        </w:rPr>
        <w:t>výsledků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výzev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r w:rsidR="003D6A81">
        <w:rPr>
          <w:rFonts w:ascii="Arial" w:eastAsia="Calibri" w:hAnsi="Arial" w:cs="Arial"/>
          <w:lang w:eastAsia="en-US"/>
        </w:rPr>
        <w:t xml:space="preserve">č. </w:t>
      </w:r>
      <w:r w:rsidRPr="00833271">
        <w:rPr>
          <w:rFonts w:ascii="Arial" w:eastAsia="Calibri" w:hAnsi="Arial" w:cs="Arial"/>
          <w:b/>
          <w:bCs/>
          <w:lang w:eastAsia="en-US"/>
        </w:rPr>
        <w:t xml:space="preserve">37, 66 </w:t>
      </w:r>
      <w:proofErr w:type="gramStart"/>
      <w:r w:rsidRPr="00833271">
        <w:rPr>
          <w:rFonts w:ascii="Arial" w:eastAsia="Calibri" w:hAnsi="Arial" w:cs="Arial"/>
          <w:b/>
          <w:bCs/>
          <w:lang w:eastAsia="en-US"/>
        </w:rPr>
        <w:t>a</w:t>
      </w:r>
      <w:proofErr w:type="gramEnd"/>
      <w:r w:rsidRPr="00833271">
        <w:rPr>
          <w:rFonts w:ascii="Arial" w:eastAsia="Calibri" w:hAnsi="Arial" w:cs="Arial"/>
          <w:b/>
          <w:bCs/>
          <w:lang w:eastAsia="en-US"/>
        </w:rPr>
        <w:t xml:space="preserve"> 89</w:t>
      </w:r>
      <w:r w:rsidRPr="009552D1">
        <w:rPr>
          <w:rFonts w:ascii="Arial" w:eastAsia="Calibri" w:hAnsi="Arial" w:cs="Arial"/>
          <w:lang w:eastAsia="en-US"/>
        </w:rPr>
        <w:t xml:space="preserve"> OPZ a v </w:t>
      </w:r>
      <w:proofErr w:type="spellStart"/>
      <w:r w:rsidRPr="009552D1">
        <w:rPr>
          <w:rFonts w:ascii="Arial" w:eastAsia="Calibri" w:hAnsi="Arial" w:cs="Arial"/>
          <w:lang w:eastAsia="en-US"/>
        </w:rPr>
        <w:t>souvislosti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s </w:t>
      </w:r>
      <w:proofErr w:type="spellStart"/>
      <w:r w:rsidRPr="009552D1">
        <w:rPr>
          <w:rFonts w:ascii="Arial" w:eastAsia="Calibri" w:hAnsi="Arial" w:cs="Arial"/>
          <w:lang w:eastAsia="en-US"/>
        </w:rPr>
        <w:t>tím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vyhlášena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veřejná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zakázka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Kvalitativní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šetření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projektů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výzvách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transformaci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pobytových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sociálních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služeb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. V </w:t>
      </w:r>
      <w:proofErr w:type="spellStart"/>
      <w:r w:rsidRPr="009552D1">
        <w:rPr>
          <w:rFonts w:ascii="Arial" w:eastAsia="Calibri" w:hAnsi="Arial" w:cs="Arial"/>
          <w:lang w:eastAsia="en-US"/>
        </w:rPr>
        <w:t>srpnu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byla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podepsána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smlouva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s </w:t>
      </w:r>
      <w:proofErr w:type="spellStart"/>
      <w:r w:rsidRPr="009552D1">
        <w:rPr>
          <w:rFonts w:ascii="Arial" w:eastAsia="Calibri" w:hAnsi="Arial" w:cs="Arial"/>
          <w:lang w:eastAsia="en-US"/>
        </w:rPr>
        <w:t>dodavatelem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a v </w:t>
      </w:r>
      <w:proofErr w:type="spellStart"/>
      <w:r w:rsidRPr="009552D1">
        <w:rPr>
          <w:rFonts w:ascii="Arial" w:eastAsia="Calibri" w:hAnsi="Arial" w:cs="Arial"/>
          <w:lang w:eastAsia="en-US"/>
        </w:rPr>
        <w:t>říjnu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akceptována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Vstupní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zpráva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. Do </w:t>
      </w:r>
      <w:proofErr w:type="spellStart"/>
      <w:r w:rsidRPr="009552D1">
        <w:rPr>
          <w:rFonts w:ascii="Arial" w:eastAsia="Calibri" w:hAnsi="Arial" w:cs="Arial"/>
          <w:lang w:eastAsia="en-US"/>
        </w:rPr>
        <w:t>konce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roku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dodavatel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realizoval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51 </w:t>
      </w:r>
      <w:proofErr w:type="spellStart"/>
      <w:r w:rsidRPr="009552D1">
        <w:rPr>
          <w:rFonts w:ascii="Arial" w:eastAsia="Calibri" w:hAnsi="Arial" w:cs="Arial"/>
          <w:lang w:eastAsia="en-US"/>
        </w:rPr>
        <w:t>rozhovorů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s </w:t>
      </w:r>
      <w:proofErr w:type="spellStart"/>
      <w:r w:rsidRPr="009552D1">
        <w:rPr>
          <w:rFonts w:ascii="Arial" w:eastAsia="Calibri" w:hAnsi="Arial" w:cs="Arial"/>
          <w:lang w:eastAsia="en-US"/>
        </w:rPr>
        <w:t>respondenty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zařízení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pobytových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sociálních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služeb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podpořených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výzvách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OPZ.</w:t>
      </w:r>
    </w:p>
    <w:p w14:paraId="23D978F2" w14:textId="22510224" w:rsidR="00120A60" w:rsidRPr="009552D1" w:rsidRDefault="00120A60" w:rsidP="00120A60">
      <w:pPr>
        <w:spacing w:after="120" w:line="264" w:lineRule="auto"/>
        <w:ind w:right="121"/>
        <w:jc w:val="both"/>
        <w:rPr>
          <w:rFonts w:ascii="Arial" w:eastAsia="Calibri" w:hAnsi="Arial" w:cs="Arial"/>
          <w:lang w:eastAsia="en-US"/>
        </w:rPr>
      </w:pPr>
      <w:r w:rsidRPr="009552D1">
        <w:rPr>
          <w:rFonts w:ascii="Arial" w:eastAsia="Calibri" w:hAnsi="Arial" w:cs="Arial"/>
          <w:b/>
          <w:bCs/>
          <w:lang w:eastAsia="en-US"/>
        </w:rPr>
        <w:t xml:space="preserve">03.044 Evaluace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výsledků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výzvy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Podpora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programu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Housing First (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Bydlení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především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>):</w:t>
      </w:r>
      <w:r w:rsidRPr="009552D1">
        <w:rPr>
          <w:rFonts w:ascii="Arial" w:eastAsia="Calibri" w:hAnsi="Arial" w:cs="Arial"/>
          <w:lang w:eastAsia="en-US"/>
        </w:rPr>
        <w:t xml:space="preserve"> V </w:t>
      </w:r>
      <w:proofErr w:type="spellStart"/>
      <w:r w:rsidRPr="009552D1">
        <w:rPr>
          <w:rFonts w:ascii="Arial" w:eastAsia="Calibri" w:hAnsi="Arial" w:cs="Arial"/>
          <w:lang w:eastAsia="en-US"/>
        </w:rPr>
        <w:t>roce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2020 </w:t>
      </w:r>
      <w:proofErr w:type="spellStart"/>
      <w:r w:rsidRPr="009552D1">
        <w:rPr>
          <w:rFonts w:ascii="Arial" w:eastAsia="Calibri" w:hAnsi="Arial" w:cs="Arial"/>
          <w:lang w:eastAsia="en-US"/>
        </w:rPr>
        <w:t>pokračoval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sběr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dat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pro </w:t>
      </w:r>
      <w:proofErr w:type="spellStart"/>
      <w:r w:rsidRPr="009552D1">
        <w:rPr>
          <w:rFonts w:ascii="Arial" w:eastAsia="Calibri" w:hAnsi="Arial" w:cs="Arial"/>
          <w:lang w:eastAsia="en-US"/>
        </w:rPr>
        <w:t>evaluaci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výzvy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č. </w:t>
      </w:r>
      <w:r w:rsidRPr="00833271">
        <w:rPr>
          <w:rFonts w:ascii="Arial" w:eastAsia="Calibri" w:hAnsi="Arial" w:cs="Arial"/>
          <w:b/>
          <w:bCs/>
          <w:lang w:eastAsia="en-US"/>
        </w:rPr>
        <w:t>108</w:t>
      </w:r>
      <w:r w:rsidR="00833271">
        <w:rPr>
          <w:rFonts w:ascii="Arial" w:eastAsia="Calibri" w:hAnsi="Arial" w:cs="Arial"/>
          <w:lang w:eastAsia="en-US"/>
        </w:rPr>
        <w:t xml:space="preserve"> </w:t>
      </w:r>
      <w:r w:rsidR="003D6A81" w:rsidRPr="00833271">
        <w:rPr>
          <w:rFonts w:ascii="Arial" w:eastAsia="Calibri" w:hAnsi="Arial" w:cs="Arial"/>
          <w:b/>
          <w:bCs/>
          <w:lang w:eastAsia="en-US"/>
        </w:rPr>
        <w:t>“</w:t>
      </w:r>
      <w:proofErr w:type="spellStart"/>
      <w:r w:rsidRPr="00833271">
        <w:rPr>
          <w:rFonts w:ascii="Arial" w:eastAsia="Calibri" w:hAnsi="Arial" w:cs="Arial"/>
          <w:b/>
          <w:bCs/>
          <w:lang w:eastAsia="en-US"/>
        </w:rPr>
        <w:t>Podpora</w:t>
      </w:r>
      <w:proofErr w:type="spellEnd"/>
      <w:r w:rsidRPr="0083327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833271">
        <w:rPr>
          <w:rFonts w:ascii="Arial" w:eastAsia="Calibri" w:hAnsi="Arial" w:cs="Arial"/>
          <w:b/>
          <w:bCs/>
          <w:lang w:eastAsia="en-US"/>
        </w:rPr>
        <w:t>programu</w:t>
      </w:r>
      <w:proofErr w:type="spellEnd"/>
      <w:r w:rsidRPr="00833271">
        <w:rPr>
          <w:rFonts w:ascii="Arial" w:eastAsia="Calibri" w:hAnsi="Arial" w:cs="Arial"/>
          <w:b/>
          <w:bCs/>
          <w:lang w:eastAsia="en-US"/>
        </w:rPr>
        <w:t xml:space="preserve"> Housing First</w:t>
      </w:r>
      <w:r w:rsidR="003D6A81" w:rsidRPr="00833271">
        <w:rPr>
          <w:rFonts w:ascii="Arial" w:eastAsia="Calibri" w:hAnsi="Arial" w:cs="Arial"/>
          <w:b/>
          <w:bCs/>
          <w:lang w:eastAsia="en-US"/>
        </w:rPr>
        <w:t xml:space="preserve"> (</w:t>
      </w:r>
      <w:proofErr w:type="spellStart"/>
      <w:r w:rsidR="003D6A81" w:rsidRPr="00833271">
        <w:rPr>
          <w:rFonts w:ascii="Arial" w:eastAsia="Calibri" w:hAnsi="Arial" w:cs="Arial"/>
          <w:b/>
          <w:bCs/>
          <w:lang w:eastAsia="en-US"/>
        </w:rPr>
        <w:t>bydlení</w:t>
      </w:r>
      <w:proofErr w:type="spellEnd"/>
      <w:r w:rsidR="003D6A81" w:rsidRPr="0083327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="003D6A81" w:rsidRPr="00833271">
        <w:rPr>
          <w:rFonts w:ascii="Arial" w:eastAsia="Calibri" w:hAnsi="Arial" w:cs="Arial"/>
          <w:b/>
          <w:bCs/>
          <w:lang w:eastAsia="en-US"/>
        </w:rPr>
        <w:t>především</w:t>
      </w:r>
      <w:proofErr w:type="spellEnd"/>
      <w:r w:rsidR="003D6A81" w:rsidRPr="00833271">
        <w:rPr>
          <w:rFonts w:ascii="Arial" w:eastAsia="Calibri" w:hAnsi="Arial" w:cs="Arial"/>
          <w:b/>
          <w:bCs/>
          <w:lang w:eastAsia="en-US"/>
        </w:rPr>
        <w:t>)”</w:t>
      </w:r>
      <w:r w:rsidRPr="009552D1">
        <w:rPr>
          <w:rFonts w:ascii="Arial" w:eastAsia="Calibri" w:hAnsi="Arial" w:cs="Arial"/>
          <w:lang w:eastAsia="en-US"/>
        </w:rPr>
        <w:t xml:space="preserve">. </w:t>
      </w:r>
      <w:proofErr w:type="spellStart"/>
      <w:r w:rsidRPr="009552D1">
        <w:rPr>
          <w:rFonts w:ascii="Arial" w:eastAsia="Calibri" w:hAnsi="Arial" w:cs="Arial"/>
          <w:lang w:eastAsia="en-US"/>
        </w:rPr>
        <w:t>Jednalo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se </w:t>
      </w:r>
      <w:proofErr w:type="spellStart"/>
      <w:r w:rsidRPr="009552D1">
        <w:rPr>
          <w:rFonts w:ascii="Arial" w:eastAsia="Calibri" w:hAnsi="Arial" w:cs="Arial"/>
          <w:lang w:eastAsia="en-US"/>
        </w:rPr>
        <w:t>především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o </w:t>
      </w:r>
      <w:proofErr w:type="spellStart"/>
      <w:r w:rsidRPr="009552D1">
        <w:rPr>
          <w:rFonts w:ascii="Arial" w:eastAsia="Calibri" w:hAnsi="Arial" w:cs="Arial"/>
          <w:lang w:eastAsia="en-US"/>
        </w:rPr>
        <w:t>sběr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dotazníků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u </w:t>
      </w:r>
      <w:proofErr w:type="spellStart"/>
      <w:r w:rsidRPr="009552D1">
        <w:rPr>
          <w:rFonts w:ascii="Arial" w:eastAsia="Calibri" w:hAnsi="Arial" w:cs="Arial"/>
          <w:lang w:eastAsia="en-US"/>
        </w:rPr>
        <w:t>podpořených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domácností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před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nastěhováním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do </w:t>
      </w:r>
      <w:proofErr w:type="spellStart"/>
      <w:r w:rsidRPr="009552D1">
        <w:rPr>
          <w:rFonts w:ascii="Arial" w:eastAsia="Calibri" w:hAnsi="Arial" w:cs="Arial"/>
          <w:lang w:eastAsia="en-US"/>
        </w:rPr>
        <w:t>bytu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. </w:t>
      </w:r>
      <w:proofErr w:type="spellStart"/>
      <w:r w:rsidRPr="009552D1">
        <w:rPr>
          <w:rFonts w:ascii="Arial" w:eastAsia="Calibri" w:hAnsi="Arial" w:cs="Arial"/>
          <w:lang w:eastAsia="en-US"/>
        </w:rPr>
        <w:t>Ke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konci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roku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2020 </w:t>
      </w:r>
      <w:proofErr w:type="spellStart"/>
      <w:r w:rsidRPr="009552D1">
        <w:rPr>
          <w:rFonts w:ascii="Arial" w:eastAsia="Calibri" w:hAnsi="Arial" w:cs="Arial"/>
          <w:lang w:eastAsia="en-US"/>
        </w:rPr>
        <w:t>začal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také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sběr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dotazníků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po 12 </w:t>
      </w:r>
      <w:proofErr w:type="spellStart"/>
      <w:r w:rsidRPr="009552D1">
        <w:rPr>
          <w:rFonts w:ascii="Arial" w:eastAsia="Calibri" w:hAnsi="Arial" w:cs="Arial"/>
          <w:lang w:eastAsia="en-US"/>
        </w:rPr>
        <w:t>měsících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od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nastěhování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domácností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. </w:t>
      </w:r>
      <w:proofErr w:type="spellStart"/>
      <w:r w:rsidRPr="009552D1">
        <w:rPr>
          <w:rFonts w:ascii="Arial" w:eastAsia="Calibri" w:hAnsi="Arial" w:cs="Arial"/>
          <w:lang w:eastAsia="en-US"/>
        </w:rPr>
        <w:t>Dotazování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domácností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je </w:t>
      </w:r>
      <w:proofErr w:type="spellStart"/>
      <w:r w:rsidRPr="009552D1">
        <w:rPr>
          <w:rFonts w:ascii="Arial" w:eastAsia="Calibri" w:hAnsi="Arial" w:cs="Arial"/>
          <w:lang w:eastAsia="en-US"/>
        </w:rPr>
        <w:t>naplánováno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do </w:t>
      </w:r>
      <w:proofErr w:type="spellStart"/>
      <w:r w:rsidRPr="009552D1">
        <w:rPr>
          <w:rFonts w:ascii="Arial" w:eastAsia="Calibri" w:hAnsi="Arial" w:cs="Arial"/>
          <w:lang w:eastAsia="en-US"/>
        </w:rPr>
        <w:t>dalších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let, </w:t>
      </w:r>
      <w:proofErr w:type="spellStart"/>
      <w:r w:rsidRPr="009552D1">
        <w:rPr>
          <w:rFonts w:ascii="Arial" w:eastAsia="Calibri" w:hAnsi="Arial" w:cs="Arial"/>
          <w:lang w:eastAsia="en-US"/>
        </w:rPr>
        <w:t>kdy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bude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kontinuálně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probíhat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vyplňování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dotazníků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po 12 a po 24 </w:t>
      </w:r>
      <w:proofErr w:type="spellStart"/>
      <w:r w:rsidRPr="009552D1">
        <w:rPr>
          <w:rFonts w:ascii="Arial" w:eastAsia="Calibri" w:hAnsi="Arial" w:cs="Arial"/>
          <w:lang w:eastAsia="en-US"/>
        </w:rPr>
        <w:t>měsících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od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nastěhování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(u </w:t>
      </w:r>
      <w:proofErr w:type="spellStart"/>
      <w:r w:rsidRPr="009552D1">
        <w:rPr>
          <w:rFonts w:ascii="Arial" w:eastAsia="Calibri" w:hAnsi="Arial" w:cs="Arial"/>
          <w:lang w:eastAsia="en-US"/>
        </w:rPr>
        <w:t>projektů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které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budou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začínat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se </w:t>
      </w:r>
      <w:proofErr w:type="spellStart"/>
      <w:r w:rsidRPr="009552D1">
        <w:rPr>
          <w:rFonts w:ascii="Arial" w:eastAsia="Calibri" w:hAnsi="Arial" w:cs="Arial"/>
          <w:lang w:eastAsia="en-US"/>
        </w:rPr>
        <w:t>zabydlováním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bude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probíhat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vyplňování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dotazníků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před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nastěhováním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). </w:t>
      </w:r>
      <w:proofErr w:type="spellStart"/>
      <w:r w:rsidRPr="009552D1">
        <w:rPr>
          <w:rFonts w:ascii="Arial" w:eastAsia="Calibri" w:hAnsi="Arial" w:cs="Arial"/>
          <w:lang w:eastAsia="en-US"/>
        </w:rPr>
        <w:t>Dotazníky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pro </w:t>
      </w:r>
      <w:proofErr w:type="spellStart"/>
      <w:r w:rsidRPr="009552D1">
        <w:rPr>
          <w:rFonts w:ascii="Arial" w:eastAsia="Calibri" w:hAnsi="Arial" w:cs="Arial"/>
          <w:lang w:eastAsia="en-US"/>
        </w:rPr>
        <w:t>domácnosti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jsou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zaměřené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více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oblastí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života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konkrétně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spokojenost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s </w:t>
      </w:r>
      <w:proofErr w:type="spellStart"/>
      <w:r w:rsidRPr="009552D1">
        <w:rPr>
          <w:rFonts w:ascii="Arial" w:eastAsia="Calibri" w:hAnsi="Arial" w:cs="Arial"/>
          <w:lang w:eastAsia="en-US"/>
        </w:rPr>
        <w:t>bydlením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zaměstnání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a </w:t>
      </w:r>
      <w:proofErr w:type="spellStart"/>
      <w:r w:rsidRPr="009552D1">
        <w:rPr>
          <w:rFonts w:ascii="Arial" w:eastAsia="Calibri" w:hAnsi="Arial" w:cs="Arial"/>
          <w:lang w:eastAsia="en-US"/>
        </w:rPr>
        <w:t>finanční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situaci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domácností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fyzické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a </w:t>
      </w:r>
      <w:proofErr w:type="spellStart"/>
      <w:r w:rsidRPr="009552D1">
        <w:rPr>
          <w:rFonts w:ascii="Arial" w:eastAsia="Calibri" w:hAnsi="Arial" w:cs="Arial"/>
          <w:lang w:eastAsia="en-US"/>
        </w:rPr>
        <w:t>psychické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zdraví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komunitní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integraci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vybrané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životní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podmínky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dětí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aj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. V </w:t>
      </w:r>
      <w:proofErr w:type="spellStart"/>
      <w:r w:rsidRPr="009552D1">
        <w:rPr>
          <w:rFonts w:ascii="Arial" w:eastAsia="Calibri" w:hAnsi="Arial" w:cs="Arial"/>
          <w:lang w:eastAsia="en-US"/>
        </w:rPr>
        <w:t>případech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kdy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domácnosti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opustí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byt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poskytnutý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v </w:t>
      </w:r>
      <w:proofErr w:type="spellStart"/>
      <w:r w:rsidRPr="009552D1">
        <w:rPr>
          <w:rFonts w:ascii="Arial" w:eastAsia="Calibri" w:hAnsi="Arial" w:cs="Arial"/>
          <w:lang w:eastAsia="en-US"/>
        </w:rPr>
        <w:t>rámci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projektu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budou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s </w:t>
      </w:r>
      <w:proofErr w:type="spellStart"/>
      <w:r w:rsidRPr="009552D1">
        <w:rPr>
          <w:rFonts w:ascii="Arial" w:eastAsia="Calibri" w:hAnsi="Arial" w:cs="Arial"/>
          <w:lang w:eastAsia="en-US"/>
        </w:rPr>
        <w:t>nimi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vyplňovány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dotazníky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k </w:t>
      </w:r>
      <w:proofErr w:type="spellStart"/>
      <w:r w:rsidRPr="009552D1">
        <w:rPr>
          <w:rFonts w:ascii="Arial" w:eastAsia="Calibri" w:hAnsi="Arial" w:cs="Arial"/>
          <w:lang w:eastAsia="en-US"/>
        </w:rPr>
        <w:t>ukončení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bydlení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ve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kterých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budou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zjišťovány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důvody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jejich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stěhování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z </w:t>
      </w:r>
      <w:proofErr w:type="spellStart"/>
      <w:r w:rsidRPr="009552D1">
        <w:rPr>
          <w:rFonts w:ascii="Arial" w:eastAsia="Calibri" w:hAnsi="Arial" w:cs="Arial"/>
          <w:lang w:eastAsia="en-US"/>
        </w:rPr>
        <w:t>bytu</w:t>
      </w:r>
      <w:proofErr w:type="spellEnd"/>
      <w:r w:rsidRPr="009552D1">
        <w:rPr>
          <w:rFonts w:ascii="Arial" w:eastAsia="Calibri" w:hAnsi="Arial" w:cs="Arial"/>
          <w:lang w:eastAsia="en-US"/>
        </w:rPr>
        <w:t>.</w:t>
      </w:r>
    </w:p>
    <w:p w14:paraId="6901B41A" w14:textId="6927EA48" w:rsidR="00120A60" w:rsidRPr="009552D1" w:rsidRDefault="00120A60" w:rsidP="00120A60">
      <w:pPr>
        <w:spacing w:after="120" w:line="264" w:lineRule="auto"/>
        <w:ind w:right="121"/>
        <w:jc w:val="both"/>
        <w:rPr>
          <w:rFonts w:ascii="Arial" w:eastAsia="Calibri" w:hAnsi="Arial" w:cs="Arial"/>
          <w:lang w:eastAsia="en-US"/>
        </w:rPr>
      </w:pPr>
      <w:r w:rsidRPr="009552D1">
        <w:rPr>
          <w:rFonts w:ascii="Arial" w:eastAsia="Calibri" w:hAnsi="Arial" w:cs="Arial"/>
          <w:b/>
          <w:bCs/>
          <w:lang w:eastAsia="en-US"/>
        </w:rPr>
        <w:t xml:space="preserve">03.046 Evaluace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soutěžních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projektů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v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rámci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IP1.2:</w:t>
      </w:r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Cílem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evaluace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výzev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zaměřených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snížení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rozdílů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v </w:t>
      </w:r>
      <w:proofErr w:type="spellStart"/>
      <w:r w:rsidRPr="009552D1">
        <w:rPr>
          <w:rFonts w:ascii="Arial" w:eastAsia="Calibri" w:hAnsi="Arial" w:cs="Arial"/>
          <w:lang w:eastAsia="en-US"/>
        </w:rPr>
        <w:t>postavení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žen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a </w:t>
      </w:r>
      <w:proofErr w:type="spellStart"/>
      <w:r w:rsidRPr="009552D1">
        <w:rPr>
          <w:rFonts w:ascii="Arial" w:eastAsia="Calibri" w:hAnsi="Arial" w:cs="Arial"/>
          <w:lang w:eastAsia="en-US"/>
        </w:rPr>
        <w:t>mužů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trhu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práce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je </w:t>
      </w:r>
      <w:proofErr w:type="spellStart"/>
      <w:r w:rsidRPr="009552D1">
        <w:rPr>
          <w:rFonts w:ascii="Arial" w:eastAsia="Calibri" w:hAnsi="Arial" w:cs="Arial"/>
          <w:lang w:eastAsia="en-US"/>
        </w:rPr>
        <w:t>zmapovat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charakteristiky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podpořených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osob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hodnocení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absolvovaných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projektových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aktivit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a </w:t>
      </w:r>
      <w:proofErr w:type="spellStart"/>
      <w:r w:rsidRPr="009552D1">
        <w:rPr>
          <w:rFonts w:ascii="Arial" w:eastAsia="Calibri" w:hAnsi="Arial" w:cs="Arial"/>
          <w:lang w:eastAsia="en-US"/>
        </w:rPr>
        <w:t>přínosy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intervence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postavení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osob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trhu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práce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. Evaluace je </w:t>
      </w:r>
      <w:proofErr w:type="spellStart"/>
      <w:r w:rsidRPr="009552D1">
        <w:rPr>
          <w:rFonts w:ascii="Arial" w:eastAsia="Calibri" w:hAnsi="Arial" w:cs="Arial"/>
          <w:lang w:eastAsia="en-US"/>
        </w:rPr>
        <w:t>založena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analýze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existujících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dat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z IS ESF a </w:t>
      </w:r>
      <w:proofErr w:type="spellStart"/>
      <w:r w:rsidRPr="009552D1">
        <w:rPr>
          <w:rFonts w:ascii="Arial" w:eastAsia="Calibri" w:hAnsi="Arial" w:cs="Arial"/>
          <w:lang w:eastAsia="en-US"/>
        </w:rPr>
        <w:t>dat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z </w:t>
      </w:r>
      <w:proofErr w:type="spellStart"/>
      <w:r w:rsidRPr="009552D1">
        <w:rPr>
          <w:rFonts w:ascii="Arial" w:eastAsia="Calibri" w:hAnsi="Arial" w:cs="Arial"/>
          <w:lang w:eastAsia="en-US"/>
        </w:rPr>
        <w:t>dotazníkového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šetření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ZoR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(</w:t>
      </w:r>
      <w:proofErr w:type="spellStart"/>
      <w:r w:rsidRPr="009552D1">
        <w:rPr>
          <w:rFonts w:ascii="Arial" w:eastAsia="Calibri" w:hAnsi="Arial" w:cs="Arial"/>
          <w:lang w:eastAsia="en-US"/>
        </w:rPr>
        <w:t>výzvy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č. 61 a 62) a </w:t>
      </w:r>
      <w:proofErr w:type="spellStart"/>
      <w:r w:rsidRPr="009552D1">
        <w:rPr>
          <w:rFonts w:ascii="Arial" w:eastAsia="Calibri" w:hAnsi="Arial" w:cs="Arial"/>
          <w:lang w:eastAsia="en-US"/>
        </w:rPr>
        <w:t>dále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datech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získaných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z </w:t>
      </w:r>
      <w:proofErr w:type="spellStart"/>
      <w:r w:rsidRPr="009552D1">
        <w:rPr>
          <w:rFonts w:ascii="Arial" w:eastAsia="Calibri" w:hAnsi="Arial" w:cs="Arial"/>
          <w:lang w:eastAsia="en-US"/>
        </w:rPr>
        <w:t>dotazníkového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šetření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mezi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podpořenými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osobami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(</w:t>
      </w:r>
      <w:proofErr w:type="spellStart"/>
      <w:r w:rsidRPr="009552D1">
        <w:rPr>
          <w:rFonts w:ascii="Arial" w:eastAsia="Calibri" w:hAnsi="Arial" w:cs="Arial"/>
          <w:lang w:eastAsia="en-US"/>
        </w:rPr>
        <w:t>výzva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č. 81). </w:t>
      </w:r>
      <w:proofErr w:type="spellStart"/>
      <w:r w:rsidRPr="009552D1">
        <w:rPr>
          <w:rFonts w:ascii="Arial" w:eastAsia="Calibri" w:hAnsi="Arial" w:cs="Arial"/>
          <w:lang w:eastAsia="en-US"/>
        </w:rPr>
        <w:t>Ve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čtvrtém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čtvrtletí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roku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2020 </w:t>
      </w:r>
      <w:proofErr w:type="spellStart"/>
      <w:r w:rsidRPr="009552D1">
        <w:rPr>
          <w:rFonts w:ascii="Arial" w:eastAsia="Calibri" w:hAnsi="Arial" w:cs="Arial"/>
          <w:lang w:eastAsia="en-US"/>
        </w:rPr>
        <w:t>byla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zahájena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analýza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dostupných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dat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(IS ESF, </w:t>
      </w:r>
      <w:proofErr w:type="spellStart"/>
      <w:r w:rsidRPr="009552D1">
        <w:rPr>
          <w:rFonts w:ascii="Arial" w:eastAsia="Calibri" w:hAnsi="Arial" w:cs="Arial"/>
          <w:lang w:eastAsia="en-US"/>
        </w:rPr>
        <w:t>ZoR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) a </w:t>
      </w:r>
      <w:proofErr w:type="spellStart"/>
      <w:r w:rsidRPr="009552D1">
        <w:rPr>
          <w:rFonts w:ascii="Arial" w:eastAsia="Calibri" w:hAnsi="Arial" w:cs="Arial"/>
          <w:lang w:eastAsia="en-US"/>
        </w:rPr>
        <w:t>příprava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dotazníku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pro </w:t>
      </w:r>
      <w:proofErr w:type="spellStart"/>
      <w:r w:rsidRPr="009552D1">
        <w:rPr>
          <w:rFonts w:ascii="Arial" w:eastAsia="Calibri" w:hAnsi="Arial" w:cs="Arial"/>
          <w:lang w:eastAsia="en-US"/>
        </w:rPr>
        <w:t>podpořené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osoby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u </w:t>
      </w:r>
      <w:proofErr w:type="spellStart"/>
      <w:r w:rsidRPr="009552D1">
        <w:rPr>
          <w:rFonts w:ascii="Arial" w:eastAsia="Calibri" w:hAnsi="Arial" w:cs="Arial"/>
          <w:lang w:eastAsia="en-US"/>
        </w:rPr>
        <w:t>něhož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bude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sběr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dat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probíhat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v </w:t>
      </w:r>
      <w:proofErr w:type="spellStart"/>
      <w:r w:rsidRPr="009552D1">
        <w:rPr>
          <w:rFonts w:ascii="Arial" w:eastAsia="Calibri" w:hAnsi="Arial" w:cs="Arial"/>
          <w:lang w:eastAsia="en-US"/>
        </w:rPr>
        <w:t>roce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2020. V </w:t>
      </w:r>
      <w:proofErr w:type="spellStart"/>
      <w:r w:rsidRPr="009552D1">
        <w:rPr>
          <w:rFonts w:ascii="Arial" w:eastAsia="Calibri" w:hAnsi="Arial" w:cs="Arial"/>
          <w:lang w:eastAsia="en-US"/>
        </w:rPr>
        <w:t>prvním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pololetí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2021 </w:t>
      </w:r>
      <w:proofErr w:type="spellStart"/>
      <w:r w:rsidRPr="009552D1">
        <w:rPr>
          <w:rFonts w:ascii="Arial" w:eastAsia="Calibri" w:hAnsi="Arial" w:cs="Arial"/>
          <w:lang w:eastAsia="en-US"/>
        </w:rPr>
        <w:t>bude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finalizována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evaluační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zpráva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obsahující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závěry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analýzy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dostupných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dat.</w:t>
      </w:r>
    </w:p>
    <w:p w14:paraId="016741A2" w14:textId="38161E59" w:rsidR="00120A60" w:rsidRPr="009552D1" w:rsidRDefault="00120A60" w:rsidP="00120A60">
      <w:pPr>
        <w:spacing w:after="120" w:line="264" w:lineRule="auto"/>
        <w:ind w:right="121"/>
        <w:jc w:val="both"/>
        <w:rPr>
          <w:rFonts w:ascii="Arial" w:eastAsia="Calibri" w:hAnsi="Arial" w:cs="Arial"/>
          <w:lang w:eastAsia="en-US"/>
        </w:rPr>
      </w:pPr>
      <w:r w:rsidRPr="009552D1">
        <w:rPr>
          <w:rFonts w:ascii="Arial" w:eastAsia="Calibri" w:hAnsi="Arial" w:cs="Arial"/>
          <w:b/>
          <w:bCs/>
          <w:lang w:eastAsia="en-US"/>
        </w:rPr>
        <w:t xml:space="preserve">03.045 Evaluace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výzvy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č. 130 -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genderové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re-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audity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>:</w:t>
      </w:r>
      <w:r w:rsidRPr="009552D1">
        <w:rPr>
          <w:rFonts w:ascii="Arial" w:eastAsia="Calibri" w:hAnsi="Arial" w:cs="Arial"/>
          <w:lang w:eastAsia="en-US"/>
        </w:rPr>
        <w:t xml:space="preserve"> V </w:t>
      </w:r>
      <w:proofErr w:type="spellStart"/>
      <w:r w:rsidRPr="009552D1">
        <w:rPr>
          <w:rFonts w:ascii="Arial" w:eastAsia="Calibri" w:hAnsi="Arial" w:cs="Arial"/>
          <w:lang w:eastAsia="en-US"/>
        </w:rPr>
        <w:t>roce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2020 </w:t>
      </w:r>
      <w:proofErr w:type="spellStart"/>
      <w:r w:rsidRPr="009552D1">
        <w:rPr>
          <w:rFonts w:ascii="Arial" w:eastAsia="Calibri" w:hAnsi="Arial" w:cs="Arial"/>
          <w:lang w:eastAsia="en-US"/>
        </w:rPr>
        <w:t>byla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připravena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zadávací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dokumentace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pro </w:t>
      </w:r>
      <w:proofErr w:type="spellStart"/>
      <w:r w:rsidRPr="009552D1">
        <w:rPr>
          <w:rFonts w:ascii="Arial" w:eastAsia="Calibri" w:hAnsi="Arial" w:cs="Arial"/>
          <w:lang w:eastAsia="en-US"/>
        </w:rPr>
        <w:t>veřejnou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zakázku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provedení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externí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evaluace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přínosů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výzvy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č. </w:t>
      </w:r>
      <w:r w:rsidRPr="00833271">
        <w:rPr>
          <w:rFonts w:ascii="Arial" w:eastAsia="Calibri" w:hAnsi="Arial" w:cs="Arial"/>
          <w:b/>
          <w:bCs/>
          <w:lang w:eastAsia="en-US"/>
        </w:rPr>
        <w:t>130</w:t>
      </w:r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implementaci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doporučení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genderových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auditů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u </w:t>
      </w:r>
      <w:proofErr w:type="spellStart"/>
      <w:r w:rsidRPr="009552D1">
        <w:rPr>
          <w:rFonts w:ascii="Arial" w:eastAsia="Calibri" w:hAnsi="Arial" w:cs="Arial"/>
          <w:lang w:eastAsia="en-US"/>
        </w:rPr>
        <w:t>zaměstnavatelů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mimo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Prahu. </w:t>
      </w:r>
      <w:proofErr w:type="spellStart"/>
      <w:r w:rsidRPr="009552D1">
        <w:rPr>
          <w:rFonts w:ascii="Arial" w:eastAsia="Calibri" w:hAnsi="Arial" w:cs="Arial"/>
          <w:lang w:eastAsia="en-US"/>
        </w:rPr>
        <w:t>Veřejná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zakázka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vypracování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osmi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případových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studií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vybraných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podpořených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projektů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a </w:t>
      </w:r>
      <w:proofErr w:type="spellStart"/>
      <w:r w:rsidRPr="009552D1">
        <w:rPr>
          <w:rFonts w:ascii="Arial" w:eastAsia="Calibri" w:hAnsi="Arial" w:cs="Arial"/>
          <w:lang w:eastAsia="en-US"/>
        </w:rPr>
        <w:t>souhrnné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analytické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studie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byla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vyhlášena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počátku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roku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2021.</w:t>
      </w:r>
    </w:p>
    <w:p w14:paraId="7BF020F2" w14:textId="1BCD76D2" w:rsidR="00120A60" w:rsidRDefault="00120A60" w:rsidP="00120A60">
      <w:pPr>
        <w:spacing w:after="120" w:line="264" w:lineRule="auto"/>
        <w:ind w:right="121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552D1">
        <w:rPr>
          <w:rFonts w:ascii="Arial" w:eastAsia="Calibri" w:hAnsi="Arial" w:cs="Arial"/>
          <w:b/>
          <w:bCs/>
          <w:lang w:eastAsia="en-US"/>
        </w:rPr>
        <w:t xml:space="preserve">03.047 Evaluace </w:t>
      </w:r>
      <w:proofErr w:type="spellStart"/>
      <w:r w:rsidRPr="009552D1">
        <w:rPr>
          <w:rFonts w:ascii="Arial" w:eastAsia="Calibri" w:hAnsi="Arial" w:cs="Arial"/>
          <w:b/>
          <w:bCs/>
          <w:lang w:eastAsia="en-US"/>
        </w:rPr>
        <w:t>projektu</w:t>
      </w:r>
      <w:proofErr w:type="spellEnd"/>
      <w:r w:rsidRPr="009552D1">
        <w:rPr>
          <w:rFonts w:ascii="Arial" w:eastAsia="Calibri" w:hAnsi="Arial" w:cs="Arial"/>
          <w:b/>
          <w:bCs/>
          <w:lang w:eastAsia="en-US"/>
        </w:rPr>
        <w:t xml:space="preserve"> Outplacement:</w:t>
      </w:r>
      <w:r w:rsidRPr="009552D1">
        <w:rPr>
          <w:rFonts w:ascii="Arial" w:eastAsia="Calibri" w:hAnsi="Arial" w:cs="Arial"/>
          <w:lang w:eastAsia="en-US"/>
        </w:rPr>
        <w:t xml:space="preserve"> V </w:t>
      </w:r>
      <w:proofErr w:type="spellStart"/>
      <w:r w:rsidRPr="009552D1">
        <w:rPr>
          <w:rFonts w:ascii="Arial" w:eastAsia="Calibri" w:hAnsi="Arial" w:cs="Arial"/>
          <w:lang w:eastAsia="en-US"/>
        </w:rPr>
        <w:t>roce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2020 </w:t>
      </w:r>
      <w:proofErr w:type="spellStart"/>
      <w:r w:rsidRPr="009552D1">
        <w:rPr>
          <w:rFonts w:ascii="Arial" w:eastAsia="Calibri" w:hAnsi="Arial" w:cs="Arial"/>
          <w:lang w:eastAsia="en-US"/>
        </w:rPr>
        <w:t>bylo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připraveno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dotazníkové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šetření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pro </w:t>
      </w:r>
      <w:proofErr w:type="spellStart"/>
      <w:r w:rsidRPr="009552D1">
        <w:rPr>
          <w:rFonts w:ascii="Arial" w:eastAsia="Calibri" w:hAnsi="Arial" w:cs="Arial"/>
          <w:lang w:eastAsia="en-US"/>
        </w:rPr>
        <w:t>osoby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vstupující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do </w:t>
      </w:r>
      <w:proofErr w:type="spellStart"/>
      <w:r w:rsidRPr="009552D1">
        <w:rPr>
          <w:rFonts w:ascii="Arial" w:eastAsia="Calibri" w:hAnsi="Arial" w:cs="Arial"/>
          <w:lang w:eastAsia="en-US"/>
        </w:rPr>
        <w:t>projektu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Outplacement a </w:t>
      </w:r>
      <w:proofErr w:type="spellStart"/>
      <w:r w:rsidRPr="009552D1">
        <w:rPr>
          <w:rFonts w:ascii="Arial" w:eastAsia="Calibri" w:hAnsi="Arial" w:cs="Arial"/>
          <w:lang w:eastAsia="en-US"/>
        </w:rPr>
        <w:t>byla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také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zajištěna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jeho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distribuce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prostřednictvím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zaměstnanců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Úřadu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práce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ČR</w:t>
      </w:r>
      <w:r w:rsidR="00EF2718">
        <w:rPr>
          <w:rFonts w:ascii="Arial" w:eastAsia="Calibri" w:hAnsi="Arial" w:cs="Arial"/>
          <w:lang w:eastAsia="en-US"/>
        </w:rPr>
        <w:t xml:space="preserve"> (ÚP ČR)</w:t>
      </w:r>
      <w:r w:rsidRPr="009552D1">
        <w:rPr>
          <w:rFonts w:ascii="Arial" w:eastAsia="Calibri" w:hAnsi="Arial" w:cs="Arial"/>
          <w:lang w:eastAsia="en-US"/>
        </w:rPr>
        <w:t xml:space="preserve">. </w:t>
      </w:r>
      <w:proofErr w:type="spellStart"/>
      <w:r w:rsidRPr="009552D1">
        <w:rPr>
          <w:rFonts w:ascii="Arial" w:eastAsia="Calibri" w:hAnsi="Arial" w:cs="Arial"/>
          <w:lang w:eastAsia="en-US"/>
        </w:rPr>
        <w:t>Šetření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se </w:t>
      </w:r>
      <w:proofErr w:type="spellStart"/>
      <w:r w:rsidRPr="009552D1">
        <w:rPr>
          <w:rFonts w:ascii="Arial" w:eastAsia="Calibri" w:hAnsi="Arial" w:cs="Arial"/>
          <w:lang w:eastAsia="en-US"/>
        </w:rPr>
        <w:t>kromě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sociodemografických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charakteristik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podpořených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osob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zaměřuje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zejména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důvody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gramStart"/>
      <w:r w:rsidRPr="009552D1">
        <w:rPr>
          <w:rFonts w:ascii="Arial" w:eastAsia="Calibri" w:hAnsi="Arial" w:cs="Arial"/>
          <w:lang w:eastAsia="en-US"/>
        </w:rPr>
        <w:t>a</w:t>
      </w:r>
      <w:proofErr w:type="gram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okolnosti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jejich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vstupu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do </w:t>
      </w:r>
      <w:proofErr w:type="spellStart"/>
      <w:r w:rsidRPr="009552D1">
        <w:rPr>
          <w:rFonts w:ascii="Arial" w:eastAsia="Calibri" w:hAnsi="Arial" w:cs="Arial"/>
          <w:lang w:eastAsia="en-US"/>
        </w:rPr>
        <w:t>projektu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a </w:t>
      </w:r>
      <w:proofErr w:type="spellStart"/>
      <w:r w:rsidRPr="009552D1">
        <w:rPr>
          <w:rFonts w:ascii="Arial" w:eastAsia="Calibri" w:hAnsi="Arial" w:cs="Arial"/>
          <w:lang w:eastAsia="en-US"/>
        </w:rPr>
        <w:t>očekávání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od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projektu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. </w:t>
      </w:r>
      <w:proofErr w:type="spellStart"/>
      <w:r w:rsidRPr="009552D1">
        <w:rPr>
          <w:rFonts w:ascii="Arial" w:eastAsia="Calibri" w:hAnsi="Arial" w:cs="Arial"/>
          <w:lang w:eastAsia="en-US"/>
        </w:rPr>
        <w:t>Dotazníkové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šetření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je </w:t>
      </w:r>
      <w:proofErr w:type="spellStart"/>
      <w:r w:rsidRPr="009552D1">
        <w:rPr>
          <w:rFonts w:ascii="Arial" w:eastAsia="Calibri" w:hAnsi="Arial" w:cs="Arial"/>
          <w:lang w:eastAsia="en-US"/>
        </w:rPr>
        <w:t>plánováno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jako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dvoufázové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v </w:t>
      </w:r>
      <w:proofErr w:type="spellStart"/>
      <w:r w:rsidRPr="009552D1">
        <w:rPr>
          <w:rFonts w:ascii="Arial" w:eastAsia="Calibri" w:hAnsi="Arial" w:cs="Arial"/>
          <w:lang w:eastAsia="en-US"/>
        </w:rPr>
        <w:t>roce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2021 </w:t>
      </w:r>
      <w:proofErr w:type="spellStart"/>
      <w:r w:rsidRPr="009552D1">
        <w:rPr>
          <w:rFonts w:ascii="Arial" w:eastAsia="Calibri" w:hAnsi="Arial" w:cs="Arial"/>
          <w:lang w:eastAsia="en-US"/>
        </w:rPr>
        <w:t>bude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probíhat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souběžně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sběr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dat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od </w:t>
      </w:r>
      <w:proofErr w:type="spellStart"/>
      <w:r w:rsidRPr="009552D1">
        <w:rPr>
          <w:rFonts w:ascii="Arial" w:eastAsia="Calibri" w:hAnsi="Arial" w:cs="Arial"/>
          <w:lang w:eastAsia="en-US"/>
        </w:rPr>
        <w:t>osob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vstupujících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do </w:t>
      </w:r>
      <w:proofErr w:type="spellStart"/>
      <w:r w:rsidRPr="009552D1">
        <w:rPr>
          <w:rFonts w:ascii="Arial" w:eastAsia="Calibri" w:hAnsi="Arial" w:cs="Arial"/>
          <w:lang w:eastAsia="en-US"/>
        </w:rPr>
        <w:t>projektu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tak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osob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po </w:t>
      </w:r>
      <w:proofErr w:type="spellStart"/>
      <w:r w:rsidRPr="009552D1">
        <w:rPr>
          <w:rFonts w:ascii="Arial" w:eastAsia="Calibri" w:hAnsi="Arial" w:cs="Arial"/>
          <w:lang w:eastAsia="en-US"/>
        </w:rPr>
        <w:t>ukončení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účasti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na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projektu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, </w:t>
      </w:r>
      <w:proofErr w:type="spellStart"/>
      <w:r w:rsidRPr="009552D1">
        <w:rPr>
          <w:rFonts w:ascii="Arial" w:eastAsia="Calibri" w:hAnsi="Arial" w:cs="Arial"/>
          <w:lang w:eastAsia="en-US"/>
        </w:rPr>
        <w:t>kteří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ohodnotí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přínos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aktivit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pro </w:t>
      </w:r>
      <w:proofErr w:type="spellStart"/>
      <w:r w:rsidRPr="009552D1">
        <w:rPr>
          <w:rFonts w:ascii="Arial" w:eastAsia="Calibri" w:hAnsi="Arial" w:cs="Arial"/>
          <w:lang w:eastAsia="en-US"/>
        </w:rPr>
        <w:t>jejich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zaměstnanost</w:t>
      </w:r>
      <w:proofErr w:type="spellEnd"/>
      <w:r w:rsidRPr="009552D1">
        <w:rPr>
          <w:rFonts w:ascii="Arial" w:eastAsia="Calibri" w:hAnsi="Arial" w:cs="Arial"/>
          <w:lang w:eastAsia="en-US"/>
        </w:rPr>
        <w:t>.</w:t>
      </w:r>
    </w:p>
    <w:p w14:paraId="503A0828" w14:textId="2C3558B6" w:rsidR="00120A60" w:rsidRPr="009552D1" w:rsidRDefault="009552D1" w:rsidP="00120A60">
      <w:pPr>
        <w:spacing w:after="120" w:line="264" w:lineRule="auto"/>
        <w:ind w:right="121"/>
        <w:jc w:val="both"/>
        <w:rPr>
          <w:rFonts w:ascii="Arial" w:eastAsia="Calibri" w:hAnsi="Arial" w:cs="Arial"/>
          <w:lang w:eastAsia="en-US"/>
        </w:rPr>
      </w:pPr>
      <w:proofErr w:type="spellStart"/>
      <w:r w:rsidRPr="009552D1">
        <w:rPr>
          <w:rFonts w:ascii="Arial" w:eastAsia="Calibri" w:hAnsi="Arial" w:cs="Arial"/>
          <w:lang w:eastAsia="en-US"/>
        </w:rPr>
        <w:t>Doplňující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informace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k </w:t>
      </w:r>
      <w:proofErr w:type="spellStart"/>
      <w:r w:rsidRPr="009552D1">
        <w:rPr>
          <w:rFonts w:ascii="Arial" w:eastAsia="Calibri" w:hAnsi="Arial" w:cs="Arial"/>
          <w:lang w:eastAsia="en-US"/>
        </w:rPr>
        <w:t>této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kapitole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jsou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9552D1">
        <w:rPr>
          <w:rFonts w:ascii="Arial" w:eastAsia="Calibri" w:hAnsi="Arial" w:cs="Arial"/>
          <w:lang w:eastAsia="en-US"/>
        </w:rPr>
        <w:t>uvedeny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v </w:t>
      </w:r>
      <w:proofErr w:type="spellStart"/>
      <w:r w:rsidRPr="009552D1">
        <w:rPr>
          <w:rFonts w:ascii="Arial" w:eastAsia="Calibri" w:hAnsi="Arial" w:cs="Arial"/>
          <w:lang w:eastAsia="en-US"/>
        </w:rPr>
        <w:t>příloze</w:t>
      </w:r>
      <w:proofErr w:type="spellEnd"/>
      <w:r w:rsidRPr="009552D1">
        <w:rPr>
          <w:rFonts w:ascii="Arial" w:eastAsia="Calibri" w:hAnsi="Arial" w:cs="Arial"/>
          <w:lang w:eastAsia="en-US"/>
        </w:rPr>
        <w:t xml:space="preserve"> č. 4.</w:t>
      </w:r>
    </w:p>
    <w:p w14:paraId="49040363" w14:textId="77777777" w:rsidR="00A2351A" w:rsidRDefault="002D5C25" w:rsidP="00496C84">
      <w:pPr>
        <w:pStyle w:val="Nadpis1"/>
      </w:pPr>
      <w:bookmarkStart w:id="18" w:name="_Toc66814537"/>
      <w:r>
        <w:lastRenderedPageBreak/>
        <w:t>INFORMACE O IMPLEMENTACI INICIATIVY NA PODPORU ZAMĚSTNANOSTI MLADÝCH LIDÍ, JE-LI POUŽITELNÉ (</w:t>
      </w:r>
      <w:proofErr w:type="spellStart"/>
      <w:r>
        <w:t>čl</w:t>
      </w:r>
      <w:proofErr w:type="spellEnd"/>
      <w:r>
        <w:t xml:space="preserve">. 19 </w:t>
      </w:r>
      <w:proofErr w:type="spellStart"/>
      <w:r>
        <w:t>odst</w:t>
      </w:r>
      <w:proofErr w:type="spellEnd"/>
      <w:r>
        <w:t xml:space="preserve">. 2 a 4 </w:t>
      </w:r>
      <w:proofErr w:type="spellStart"/>
      <w:r>
        <w:t>nařízení</w:t>
      </w:r>
      <w:proofErr w:type="spellEnd"/>
      <w:r>
        <w:t xml:space="preserve"> (EU) č. 1304/2013)</w:t>
      </w:r>
      <w:bookmarkEnd w:id="18"/>
    </w:p>
    <w:p w14:paraId="6538C0A5" w14:textId="77777777" w:rsidR="008C046D" w:rsidRDefault="008C046D" w:rsidP="008C046D">
      <w:pPr>
        <w:spacing w:after="120" w:line="264" w:lineRule="auto"/>
        <w:ind w:left="119" w:right="121"/>
        <w:jc w:val="both"/>
        <w:rPr>
          <w:rFonts w:ascii="Arial" w:eastAsia="Arial" w:hAnsi="Arial" w:cs="Arial"/>
          <w:color w:val="000000"/>
        </w:rPr>
      </w:pPr>
    </w:p>
    <w:p w14:paraId="2E0758B2" w14:textId="2684DCC7" w:rsidR="0051463B" w:rsidRPr="00435747" w:rsidRDefault="0077025C" w:rsidP="009552D1">
      <w:pPr>
        <w:spacing w:after="120" w:line="264" w:lineRule="auto"/>
        <w:ind w:left="119" w:right="121"/>
        <w:jc w:val="both"/>
        <w:rPr>
          <w:rFonts w:ascii="Arial" w:eastAsia="Arial" w:hAnsi="Arial" w:cs="Arial"/>
          <w:color w:val="000000"/>
          <w:u w:val="single"/>
        </w:rPr>
      </w:pPr>
      <w:proofErr w:type="spellStart"/>
      <w:r w:rsidRPr="00435747">
        <w:rPr>
          <w:rFonts w:ascii="Arial" w:eastAsia="Arial" w:hAnsi="Arial" w:cs="Arial"/>
          <w:color w:val="000000"/>
          <w:u w:val="single"/>
        </w:rPr>
        <w:t>Obecný</w:t>
      </w:r>
      <w:proofErr w:type="spellEnd"/>
      <w:r w:rsidRPr="00435747">
        <w:rPr>
          <w:rFonts w:ascii="Arial" w:eastAsia="Arial" w:hAnsi="Arial" w:cs="Arial"/>
          <w:color w:val="000000"/>
          <w:u w:val="single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  <w:u w:val="single"/>
        </w:rPr>
        <w:t>popis</w:t>
      </w:r>
      <w:proofErr w:type="spellEnd"/>
      <w:r w:rsidRPr="00435747">
        <w:rPr>
          <w:rFonts w:ascii="Arial" w:eastAsia="Arial" w:hAnsi="Arial" w:cs="Arial"/>
          <w:color w:val="000000"/>
          <w:u w:val="single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  <w:u w:val="single"/>
        </w:rPr>
        <w:t>provádění</w:t>
      </w:r>
      <w:proofErr w:type="spellEnd"/>
      <w:r w:rsidRPr="00435747">
        <w:rPr>
          <w:rFonts w:ascii="Arial" w:eastAsia="Arial" w:hAnsi="Arial" w:cs="Arial"/>
          <w:color w:val="000000"/>
          <w:u w:val="single"/>
        </w:rPr>
        <w:t xml:space="preserve"> YEI</w:t>
      </w:r>
    </w:p>
    <w:p w14:paraId="1422C6D3" w14:textId="6D5ECDD1" w:rsidR="00647EE0" w:rsidRPr="00D931E5" w:rsidRDefault="00647EE0" w:rsidP="00647EE0">
      <w:pPr>
        <w:spacing w:after="120" w:line="264" w:lineRule="auto"/>
        <w:ind w:left="119" w:right="121"/>
        <w:jc w:val="both"/>
        <w:rPr>
          <w:rFonts w:ascii="Arial" w:eastAsia="Arial" w:hAnsi="Arial" w:cs="Arial"/>
          <w:color w:val="000000"/>
          <w:sz w:val="20"/>
          <w:szCs w:val="20"/>
        </w:rPr>
      </w:pPr>
      <w:proofErr w:type="spellStart"/>
      <w:r w:rsidRPr="00435747">
        <w:rPr>
          <w:rFonts w:ascii="Arial" w:eastAsia="Arial" w:hAnsi="Arial" w:cs="Arial"/>
          <w:color w:val="000000"/>
        </w:rPr>
        <w:t>Projekty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YEI </w:t>
      </w:r>
      <w:proofErr w:type="spellStart"/>
      <w:r w:rsidRPr="00435747">
        <w:rPr>
          <w:rFonts w:ascii="Arial" w:eastAsia="Arial" w:hAnsi="Arial" w:cs="Arial"/>
          <w:color w:val="000000"/>
        </w:rPr>
        <w:t>jsou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zaměřeny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na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cílovou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skupinu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(CS) </w:t>
      </w:r>
      <w:proofErr w:type="spellStart"/>
      <w:r w:rsidRPr="00435747">
        <w:rPr>
          <w:rFonts w:ascii="Arial" w:eastAsia="Arial" w:hAnsi="Arial" w:cs="Arial"/>
          <w:color w:val="000000"/>
        </w:rPr>
        <w:t>lidí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mladších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30 let, </w:t>
      </w:r>
      <w:proofErr w:type="spellStart"/>
      <w:r w:rsidRPr="00435747">
        <w:rPr>
          <w:rFonts w:ascii="Arial" w:eastAsia="Arial" w:hAnsi="Arial" w:cs="Arial"/>
          <w:color w:val="000000"/>
        </w:rPr>
        <w:t>kteří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nejsou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v </w:t>
      </w:r>
      <w:proofErr w:type="spellStart"/>
      <w:r w:rsidRPr="00435747">
        <w:rPr>
          <w:rFonts w:ascii="Arial" w:eastAsia="Arial" w:hAnsi="Arial" w:cs="Arial"/>
          <w:color w:val="000000"/>
        </w:rPr>
        <w:t>zaměstnání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, </w:t>
      </w:r>
      <w:proofErr w:type="spellStart"/>
      <w:r w:rsidRPr="00435747">
        <w:rPr>
          <w:rFonts w:ascii="Arial" w:eastAsia="Arial" w:hAnsi="Arial" w:cs="Arial"/>
          <w:color w:val="000000"/>
        </w:rPr>
        <w:t>ve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vzdělávání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nebo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v </w:t>
      </w:r>
      <w:proofErr w:type="spellStart"/>
      <w:r w:rsidRPr="00435747">
        <w:rPr>
          <w:rFonts w:ascii="Arial" w:eastAsia="Arial" w:hAnsi="Arial" w:cs="Arial"/>
          <w:color w:val="000000"/>
        </w:rPr>
        <w:t>profesní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přípravě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, </w:t>
      </w:r>
      <w:proofErr w:type="spellStart"/>
      <w:r w:rsidRPr="00435747">
        <w:rPr>
          <w:rFonts w:ascii="Arial" w:eastAsia="Arial" w:hAnsi="Arial" w:cs="Arial"/>
          <w:color w:val="000000"/>
        </w:rPr>
        <w:t>žijících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v </w:t>
      </w:r>
      <w:proofErr w:type="spellStart"/>
      <w:r w:rsidRPr="00435747">
        <w:rPr>
          <w:rFonts w:ascii="Arial" w:eastAsia="Arial" w:hAnsi="Arial" w:cs="Arial"/>
          <w:color w:val="000000"/>
        </w:rPr>
        <w:t>Karlovarském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, </w:t>
      </w:r>
      <w:proofErr w:type="spellStart"/>
      <w:r w:rsidRPr="00435747">
        <w:rPr>
          <w:rFonts w:ascii="Arial" w:eastAsia="Arial" w:hAnsi="Arial" w:cs="Arial"/>
          <w:color w:val="000000"/>
        </w:rPr>
        <w:t>Ústeckém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a </w:t>
      </w:r>
      <w:proofErr w:type="spellStart"/>
      <w:r w:rsidRPr="00435747">
        <w:rPr>
          <w:rFonts w:ascii="Arial" w:eastAsia="Arial" w:hAnsi="Arial" w:cs="Arial"/>
          <w:color w:val="000000"/>
        </w:rPr>
        <w:t>Moravskoslezském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kraji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(Region NUTS II </w:t>
      </w:r>
      <w:proofErr w:type="spellStart"/>
      <w:r w:rsidRPr="00435747">
        <w:rPr>
          <w:rFonts w:ascii="Arial" w:eastAsia="Arial" w:hAnsi="Arial" w:cs="Arial"/>
          <w:color w:val="000000"/>
        </w:rPr>
        <w:t>Severozápad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a NUTS II </w:t>
      </w:r>
      <w:proofErr w:type="spellStart"/>
      <w:r w:rsidRPr="00435747">
        <w:rPr>
          <w:rFonts w:ascii="Arial" w:eastAsia="Arial" w:hAnsi="Arial" w:cs="Arial"/>
          <w:color w:val="000000"/>
        </w:rPr>
        <w:t>Moravskoslezsko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), </w:t>
      </w:r>
      <w:proofErr w:type="spellStart"/>
      <w:r w:rsidRPr="00435747">
        <w:rPr>
          <w:rFonts w:ascii="Arial" w:eastAsia="Arial" w:hAnsi="Arial" w:cs="Arial"/>
          <w:color w:val="000000"/>
        </w:rPr>
        <w:t>jsou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nezaměstnaní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nebo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neaktivní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(</w:t>
      </w:r>
      <w:proofErr w:type="spellStart"/>
      <w:r w:rsidRPr="00435747">
        <w:rPr>
          <w:rFonts w:ascii="Arial" w:eastAsia="Arial" w:hAnsi="Arial" w:cs="Arial"/>
          <w:color w:val="000000"/>
        </w:rPr>
        <w:t>včetně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dlouhodobě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nezaměstnaných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) </w:t>
      </w:r>
      <w:proofErr w:type="spellStart"/>
      <w:r w:rsidRPr="00435747">
        <w:rPr>
          <w:rFonts w:ascii="Arial" w:eastAsia="Arial" w:hAnsi="Arial" w:cs="Arial"/>
          <w:color w:val="000000"/>
        </w:rPr>
        <w:t>nezávisle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na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tom, </w:t>
      </w:r>
      <w:proofErr w:type="spellStart"/>
      <w:r w:rsidRPr="00435747">
        <w:rPr>
          <w:rFonts w:ascii="Arial" w:eastAsia="Arial" w:hAnsi="Arial" w:cs="Arial"/>
          <w:color w:val="000000"/>
        </w:rPr>
        <w:t>zda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jsou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registrováni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na</w:t>
      </w:r>
      <w:proofErr w:type="spellEnd"/>
      <w:r w:rsidR="00EF2718">
        <w:rPr>
          <w:rFonts w:ascii="Arial" w:eastAsia="Arial" w:hAnsi="Arial" w:cs="Arial"/>
          <w:color w:val="000000"/>
        </w:rPr>
        <w:t xml:space="preserve"> </w:t>
      </w:r>
      <w:r w:rsidRPr="00435747">
        <w:rPr>
          <w:rFonts w:ascii="Arial" w:eastAsia="Arial" w:hAnsi="Arial" w:cs="Arial"/>
          <w:color w:val="000000"/>
        </w:rPr>
        <w:t xml:space="preserve">ÚP ČR </w:t>
      </w:r>
      <w:proofErr w:type="spellStart"/>
      <w:r w:rsidRPr="00435747">
        <w:rPr>
          <w:rFonts w:ascii="Arial" w:eastAsia="Arial" w:hAnsi="Arial" w:cs="Arial"/>
          <w:color w:val="000000"/>
        </w:rPr>
        <w:t>jako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uchazeči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o </w:t>
      </w:r>
      <w:proofErr w:type="spellStart"/>
      <w:r w:rsidRPr="00435747">
        <w:rPr>
          <w:rFonts w:ascii="Arial" w:eastAsia="Arial" w:hAnsi="Arial" w:cs="Arial"/>
          <w:color w:val="000000"/>
        </w:rPr>
        <w:t>zaměstnání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či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nikoli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. </w:t>
      </w:r>
      <w:proofErr w:type="spellStart"/>
      <w:r w:rsidRPr="00435747">
        <w:rPr>
          <w:rFonts w:ascii="Arial" w:eastAsia="Arial" w:hAnsi="Arial" w:cs="Arial"/>
          <w:color w:val="000000"/>
        </w:rPr>
        <w:t>Projekty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se </w:t>
      </w:r>
      <w:proofErr w:type="spellStart"/>
      <w:r w:rsidRPr="00435747">
        <w:rPr>
          <w:rFonts w:ascii="Arial" w:eastAsia="Arial" w:hAnsi="Arial" w:cs="Arial"/>
          <w:color w:val="000000"/>
        </w:rPr>
        <w:t>zaměřují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kromě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zprostředkování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zaměstnání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na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podporu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zahájení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samostatné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výdělečné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činnosti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, </w:t>
      </w:r>
      <w:proofErr w:type="spellStart"/>
      <w:r w:rsidRPr="00435747">
        <w:rPr>
          <w:rFonts w:ascii="Arial" w:eastAsia="Arial" w:hAnsi="Arial" w:cs="Arial"/>
          <w:color w:val="000000"/>
        </w:rPr>
        <w:t>motivační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aktivity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, </w:t>
      </w:r>
      <w:proofErr w:type="spellStart"/>
      <w:r w:rsidRPr="00435747">
        <w:rPr>
          <w:rFonts w:ascii="Arial" w:eastAsia="Arial" w:hAnsi="Arial" w:cs="Arial"/>
          <w:color w:val="000000"/>
        </w:rPr>
        <w:t>poskytování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poradenské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činnosti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, </w:t>
      </w:r>
      <w:proofErr w:type="spellStart"/>
      <w:r w:rsidRPr="00435747">
        <w:rPr>
          <w:rFonts w:ascii="Arial" w:eastAsia="Arial" w:hAnsi="Arial" w:cs="Arial"/>
          <w:color w:val="000000"/>
        </w:rPr>
        <w:t>poskytování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rekvalifikací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a </w:t>
      </w:r>
      <w:proofErr w:type="spellStart"/>
      <w:r w:rsidRPr="00435747">
        <w:rPr>
          <w:rFonts w:ascii="Arial" w:eastAsia="Arial" w:hAnsi="Arial" w:cs="Arial"/>
          <w:color w:val="000000"/>
        </w:rPr>
        <w:t>na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podporu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aktivit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k </w:t>
      </w:r>
      <w:proofErr w:type="spellStart"/>
      <w:r w:rsidRPr="00435747">
        <w:rPr>
          <w:rFonts w:ascii="Arial" w:eastAsia="Arial" w:hAnsi="Arial" w:cs="Arial"/>
          <w:color w:val="000000"/>
        </w:rPr>
        <w:t>získání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pracovních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návyků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a </w:t>
      </w:r>
      <w:proofErr w:type="spellStart"/>
      <w:r w:rsidRPr="00435747">
        <w:rPr>
          <w:rFonts w:ascii="Arial" w:eastAsia="Arial" w:hAnsi="Arial" w:cs="Arial"/>
          <w:color w:val="000000"/>
        </w:rPr>
        <w:t>zkušeností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včetně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možnosti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stáží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do </w:t>
      </w:r>
      <w:proofErr w:type="spellStart"/>
      <w:r w:rsidRPr="00435747">
        <w:rPr>
          <w:rFonts w:ascii="Arial" w:eastAsia="Arial" w:hAnsi="Arial" w:cs="Arial"/>
          <w:color w:val="000000"/>
        </w:rPr>
        <w:t>zahraničí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. CS v </w:t>
      </w:r>
      <w:proofErr w:type="spellStart"/>
      <w:r w:rsidRPr="00435747">
        <w:rPr>
          <w:rFonts w:ascii="Arial" w:eastAsia="Arial" w:hAnsi="Arial" w:cs="Arial"/>
          <w:color w:val="000000"/>
        </w:rPr>
        <w:t>Regionu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NUTS II </w:t>
      </w:r>
      <w:proofErr w:type="spellStart"/>
      <w:r w:rsidRPr="00435747">
        <w:rPr>
          <w:rFonts w:ascii="Arial" w:eastAsia="Arial" w:hAnsi="Arial" w:cs="Arial"/>
          <w:color w:val="000000"/>
        </w:rPr>
        <w:t>Severozápad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a NUTS II </w:t>
      </w:r>
      <w:proofErr w:type="spellStart"/>
      <w:r w:rsidRPr="00435747">
        <w:rPr>
          <w:rFonts w:ascii="Arial" w:eastAsia="Arial" w:hAnsi="Arial" w:cs="Arial"/>
          <w:color w:val="000000"/>
        </w:rPr>
        <w:t>Moravskoslezsko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je </w:t>
      </w:r>
      <w:proofErr w:type="spellStart"/>
      <w:r w:rsidRPr="00435747">
        <w:rPr>
          <w:rFonts w:ascii="Arial" w:eastAsia="Arial" w:hAnsi="Arial" w:cs="Arial"/>
          <w:color w:val="000000"/>
        </w:rPr>
        <w:t>nejvíce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postižena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nezaměstnaností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, </w:t>
      </w:r>
      <w:proofErr w:type="spellStart"/>
      <w:r w:rsidRPr="00435747">
        <w:rPr>
          <w:rFonts w:ascii="Arial" w:eastAsia="Arial" w:hAnsi="Arial" w:cs="Arial"/>
          <w:color w:val="000000"/>
        </w:rPr>
        <w:t>mimo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jiné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spojenou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se </w:t>
      </w:r>
      <w:proofErr w:type="spellStart"/>
      <w:r w:rsidRPr="00435747">
        <w:rPr>
          <w:rFonts w:ascii="Arial" w:eastAsia="Arial" w:hAnsi="Arial" w:cs="Arial"/>
          <w:color w:val="000000"/>
        </w:rPr>
        <w:t>sociálním</w:t>
      </w:r>
      <w:proofErr w:type="spellEnd"/>
      <w:r w:rsidRPr="00435747">
        <w:rPr>
          <w:rFonts w:ascii="Arial" w:eastAsia="Arial" w:hAnsi="Arial" w:cs="Arial"/>
          <w:color w:val="000000"/>
        </w:rPr>
        <w:t xml:space="preserve"> </w:t>
      </w:r>
      <w:proofErr w:type="spellStart"/>
      <w:r w:rsidRPr="00435747">
        <w:rPr>
          <w:rFonts w:ascii="Arial" w:eastAsia="Arial" w:hAnsi="Arial" w:cs="Arial"/>
          <w:color w:val="000000"/>
        </w:rPr>
        <w:t>vyloučením</w:t>
      </w:r>
      <w:proofErr w:type="spellEnd"/>
      <w:r w:rsidRPr="00435747">
        <w:rPr>
          <w:rFonts w:ascii="Arial" w:eastAsia="Arial" w:hAnsi="Arial" w:cs="Arial"/>
          <w:color w:val="000000"/>
        </w:rPr>
        <w:t>.</w:t>
      </w:r>
    </w:p>
    <w:p w14:paraId="1532526A" w14:textId="7417B1F9" w:rsidR="00647EE0" w:rsidRDefault="00647EE0" w:rsidP="00647EE0">
      <w:pPr>
        <w:spacing w:after="120" w:line="264" w:lineRule="auto"/>
        <w:ind w:left="119" w:right="121"/>
        <w:jc w:val="both"/>
        <w:rPr>
          <w:rFonts w:ascii="Arial" w:eastAsia="Arial" w:hAnsi="Arial" w:cs="Arial"/>
          <w:color w:val="000000"/>
        </w:rPr>
      </w:pPr>
      <w:r w:rsidRPr="0077025C">
        <w:rPr>
          <w:rFonts w:ascii="Arial" w:eastAsia="Arial" w:hAnsi="Arial" w:cs="Arial"/>
          <w:color w:val="000000"/>
        </w:rPr>
        <w:t xml:space="preserve">V </w:t>
      </w:r>
      <w:proofErr w:type="spellStart"/>
      <w:r w:rsidRPr="0077025C">
        <w:rPr>
          <w:rFonts w:ascii="Arial" w:eastAsia="Arial" w:hAnsi="Arial" w:cs="Arial"/>
          <w:color w:val="000000"/>
        </w:rPr>
        <w:t>rá</w:t>
      </w:r>
      <w:r>
        <w:rPr>
          <w:rFonts w:ascii="Arial" w:eastAsia="Arial" w:hAnsi="Arial" w:cs="Arial"/>
          <w:color w:val="000000"/>
        </w:rPr>
        <w:t>mci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investiční</w:t>
      </w:r>
      <w:proofErr w:type="spellEnd"/>
      <w:r>
        <w:rPr>
          <w:rFonts w:ascii="Arial" w:eastAsia="Arial" w:hAnsi="Arial" w:cs="Arial"/>
          <w:color w:val="000000"/>
        </w:rPr>
        <w:t xml:space="preserve"> priority 1.5 (IP</w:t>
      </w:r>
      <w:r w:rsidRPr="0077025C">
        <w:rPr>
          <w:rFonts w:ascii="Arial" w:eastAsia="Arial" w:hAnsi="Arial" w:cs="Arial"/>
          <w:color w:val="000000"/>
        </w:rPr>
        <w:t xml:space="preserve">1.5) </w:t>
      </w:r>
      <w:proofErr w:type="spellStart"/>
      <w:r w:rsidRPr="0077025C">
        <w:rPr>
          <w:rFonts w:ascii="Arial" w:eastAsia="Arial" w:hAnsi="Arial" w:cs="Arial"/>
          <w:color w:val="000000"/>
        </w:rPr>
        <w:t>byly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dosud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vyhlášeny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čtyři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výzvy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, z </w:t>
      </w:r>
      <w:proofErr w:type="spellStart"/>
      <w:r w:rsidRPr="0077025C">
        <w:rPr>
          <w:rFonts w:ascii="Arial" w:eastAsia="Arial" w:hAnsi="Arial" w:cs="Arial"/>
          <w:color w:val="000000"/>
        </w:rPr>
        <w:t>nichž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v </w:t>
      </w:r>
      <w:proofErr w:type="spellStart"/>
      <w:r w:rsidRPr="0077025C">
        <w:rPr>
          <w:rFonts w:ascii="Arial" w:eastAsia="Arial" w:hAnsi="Arial" w:cs="Arial"/>
          <w:color w:val="000000"/>
        </w:rPr>
        <w:t>červenci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2019 </w:t>
      </w:r>
      <w:proofErr w:type="spellStart"/>
      <w:r w:rsidRPr="0077025C">
        <w:rPr>
          <w:rFonts w:ascii="Arial" w:eastAsia="Arial" w:hAnsi="Arial" w:cs="Arial"/>
          <w:color w:val="000000"/>
        </w:rPr>
        <w:t>byla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vyhlášena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poslední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výzva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pro region NUTS II </w:t>
      </w:r>
      <w:proofErr w:type="spellStart"/>
      <w:r w:rsidRPr="0077025C">
        <w:rPr>
          <w:rFonts w:ascii="Arial" w:eastAsia="Arial" w:hAnsi="Arial" w:cs="Arial"/>
          <w:color w:val="000000"/>
        </w:rPr>
        <w:t>Severozápad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a NUTS II Moravskoslezsko. </w:t>
      </w:r>
      <w:proofErr w:type="spellStart"/>
      <w:r w:rsidRPr="0077025C">
        <w:rPr>
          <w:rFonts w:ascii="Arial" w:eastAsia="Arial" w:hAnsi="Arial" w:cs="Arial"/>
          <w:color w:val="000000"/>
        </w:rPr>
        <w:t>Ve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výzvě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č. 3 „</w:t>
      </w:r>
      <w:proofErr w:type="spellStart"/>
      <w:r w:rsidRPr="0077025C">
        <w:rPr>
          <w:rFonts w:ascii="Arial" w:eastAsia="Arial" w:hAnsi="Arial" w:cs="Arial"/>
          <w:color w:val="000000"/>
        </w:rPr>
        <w:t>Iniciativa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na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podporu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zaměstnanosti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mládeže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pro</w:t>
      </w:r>
      <w:r w:rsidR="00EF2718">
        <w:rPr>
          <w:rFonts w:ascii="Arial" w:eastAsia="Arial" w:hAnsi="Arial" w:cs="Arial"/>
          <w:color w:val="000000"/>
        </w:rPr>
        <w:t xml:space="preserve"> </w:t>
      </w:r>
      <w:r w:rsidRPr="0077025C">
        <w:rPr>
          <w:rFonts w:ascii="Arial" w:eastAsia="Arial" w:hAnsi="Arial" w:cs="Arial"/>
          <w:color w:val="000000"/>
        </w:rPr>
        <w:t xml:space="preserve">region NUTS </w:t>
      </w:r>
      <w:proofErr w:type="spellStart"/>
      <w:r w:rsidRPr="0077025C">
        <w:rPr>
          <w:rFonts w:ascii="Arial" w:eastAsia="Arial" w:hAnsi="Arial" w:cs="Arial"/>
          <w:color w:val="000000"/>
        </w:rPr>
        <w:t>Severozápad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v </w:t>
      </w:r>
      <w:proofErr w:type="spellStart"/>
      <w:r w:rsidRPr="0077025C">
        <w:rPr>
          <w:rFonts w:ascii="Arial" w:eastAsia="Arial" w:hAnsi="Arial" w:cs="Arial"/>
          <w:color w:val="000000"/>
        </w:rPr>
        <w:t>Ústeckém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a </w:t>
      </w:r>
      <w:proofErr w:type="spellStart"/>
      <w:r w:rsidRPr="0077025C">
        <w:rPr>
          <w:rFonts w:ascii="Arial" w:eastAsia="Arial" w:hAnsi="Arial" w:cs="Arial"/>
          <w:color w:val="000000"/>
        </w:rPr>
        <w:t>Karlovarském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proofErr w:type="gramStart"/>
      <w:r w:rsidRPr="0077025C">
        <w:rPr>
          <w:rFonts w:ascii="Arial" w:eastAsia="Arial" w:hAnsi="Arial" w:cs="Arial"/>
          <w:color w:val="000000"/>
        </w:rPr>
        <w:t>kraji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“ </w:t>
      </w:r>
      <w:proofErr w:type="spellStart"/>
      <w:r w:rsidRPr="0077025C">
        <w:rPr>
          <w:rFonts w:ascii="Arial" w:eastAsia="Arial" w:hAnsi="Arial" w:cs="Arial"/>
          <w:color w:val="000000"/>
        </w:rPr>
        <w:t>byly</w:t>
      </w:r>
      <w:proofErr w:type="spellEnd"/>
      <w:proofErr w:type="gram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Krajskými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pobočkami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ÚP ČR v </w:t>
      </w:r>
      <w:proofErr w:type="spellStart"/>
      <w:r w:rsidRPr="0077025C">
        <w:rPr>
          <w:rFonts w:ascii="Arial" w:eastAsia="Arial" w:hAnsi="Arial" w:cs="Arial"/>
          <w:color w:val="000000"/>
        </w:rPr>
        <w:t>Ústí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nad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Labem a v </w:t>
      </w:r>
      <w:proofErr w:type="spellStart"/>
      <w:r w:rsidRPr="0077025C">
        <w:rPr>
          <w:rFonts w:ascii="Arial" w:eastAsia="Arial" w:hAnsi="Arial" w:cs="Arial"/>
          <w:color w:val="000000"/>
        </w:rPr>
        <w:t>Karlových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Varech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realizovány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2 </w:t>
      </w:r>
      <w:proofErr w:type="spellStart"/>
      <w:r w:rsidRPr="0077025C">
        <w:rPr>
          <w:rFonts w:ascii="Arial" w:eastAsia="Arial" w:hAnsi="Arial" w:cs="Arial"/>
          <w:color w:val="000000"/>
        </w:rPr>
        <w:t>projekty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. </w:t>
      </w:r>
      <w:proofErr w:type="spellStart"/>
      <w:r w:rsidRPr="0077025C">
        <w:rPr>
          <w:rFonts w:ascii="Arial" w:eastAsia="Arial" w:hAnsi="Arial" w:cs="Arial"/>
          <w:color w:val="000000"/>
        </w:rPr>
        <w:t>Realizace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těchto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projektů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byla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ukončena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v 2019 a </w:t>
      </w:r>
      <w:proofErr w:type="spellStart"/>
      <w:r w:rsidRPr="0077025C">
        <w:rPr>
          <w:rFonts w:ascii="Arial" w:eastAsia="Arial" w:hAnsi="Arial" w:cs="Arial"/>
          <w:color w:val="000000"/>
        </w:rPr>
        <w:t>bylo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podpořeno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4 060 </w:t>
      </w:r>
      <w:proofErr w:type="spellStart"/>
      <w:r w:rsidRPr="0077025C">
        <w:rPr>
          <w:rFonts w:ascii="Arial" w:eastAsia="Arial" w:hAnsi="Arial" w:cs="Arial"/>
          <w:color w:val="000000"/>
        </w:rPr>
        <w:t>osob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. V </w:t>
      </w:r>
      <w:proofErr w:type="spellStart"/>
      <w:r w:rsidRPr="0077025C">
        <w:rPr>
          <w:rFonts w:ascii="Arial" w:eastAsia="Arial" w:hAnsi="Arial" w:cs="Arial"/>
          <w:color w:val="000000"/>
        </w:rPr>
        <w:t>soutěžní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výzvě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č. 116 „</w:t>
      </w:r>
      <w:proofErr w:type="spellStart"/>
      <w:r w:rsidRPr="0077025C">
        <w:rPr>
          <w:rFonts w:ascii="Arial" w:eastAsia="Arial" w:hAnsi="Arial" w:cs="Arial"/>
          <w:color w:val="000000"/>
        </w:rPr>
        <w:t>Iniciativa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na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podporu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zaměstnanosti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mládeže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pro region NUTS II </w:t>
      </w:r>
      <w:proofErr w:type="spellStart"/>
      <w:r w:rsidRPr="0077025C">
        <w:rPr>
          <w:rFonts w:ascii="Arial" w:eastAsia="Arial" w:hAnsi="Arial" w:cs="Arial"/>
          <w:color w:val="000000"/>
        </w:rPr>
        <w:t>Severozápad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– </w:t>
      </w:r>
      <w:proofErr w:type="spellStart"/>
      <w:proofErr w:type="gramStart"/>
      <w:r w:rsidRPr="0077025C">
        <w:rPr>
          <w:rFonts w:ascii="Arial" w:eastAsia="Arial" w:hAnsi="Arial" w:cs="Arial"/>
          <w:color w:val="000000"/>
        </w:rPr>
        <w:t>kraje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“ </w:t>
      </w:r>
      <w:proofErr w:type="spellStart"/>
      <w:r w:rsidRPr="0077025C">
        <w:rPr>
          <w:rFonts w:ascii="Arial" w:eastAsia="Arial" w:hAnsi="Arial" w:cs="Arial"/>
          <w:color w:val="000000"/>
        </w:rPr>
        <w:t>byly</w:t>
      </w:r>
      <w:proofErr w:type="spellEnd"/>
      <w:proofErr w:type="gram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realizovány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dva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projekty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Ústeckého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kraje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a </w:t>
      </w:r>
      <w:proofErr w:type="spellStart"/>
      <w:r w:rsidRPr="0077025C">
        <w:rPr>
          <w:rFonts w:ascii="Arial" w:eastAsia="Arial" w:hAnsi="Arial" w:cs="Arial"/>
          <w:color w:val="000000"/>
        </w:rPr>
        <w:t>jeden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projekt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Karlovarsk</w:t>
      </w:r>
      <w:r w:rsidR="00C84E38">
        <w:rPr>
          <w:rFonts w:ascii="Arial" w:eastAsia="Arial" w:hAnsi="Arial" w:cs="Arial"/>
          <w:color w:val="000000"/>
        </w:rPr>
        <w:t>ého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kraje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. </w:t>
      </w:r>
      <w:proofErr w:type="spellStart"/>
      <w:r w:rsidRPr="0077025C">
        <w:rPr>
          <w:rFonts w:ascii="Arial" w:eastAsia="Arial" w:hAnsi="Arial" w:cs="Arial"/>
          <w:color w:val="000000"/>
        </w:rPr>
        <w:t>Projekty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ukončily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svou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fyzickou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realizaci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k 31. 12. 2018 a </w:t>
      </w:r>
      <w:proofErr w:type="spellStart"/>
      <w:r w:rsidRPr="0077025C">
        <w:rPr>
          <w:rFonts w:ascii="Arial" w:eastAsia="Arial" w:hAnsi="Arial" w:cs="Arial"/>
          <w:color w:val="000000"/>
        </w:rPr>
        <w:t>podpořeno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bylo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1 388 </w:t>
      </w:r>
      <w:proofErr w:type="spellStart"/>
      <w:r w:rsidRPr="0077025C">
        <w:rPr>
          <w:rFonts w:ascii="Arial" w:eastAsia="Arial" w:hAnsi="Arial" w:cs="Arial"/>
          <w:color w:val="000000"/>
        </w:rPr>
        <w:t>osob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. V </w:t>
      </w:r>
      <w:proofErr w:type="spellStart"/>
      <w:r w:rsidRPr="0077025C">
        <w:rPr>
          <w:rFonts w:ascii="Arial" w:eastAsia="Arial" w:hAnsi="Arial" w:cs="Arial"/>
          <w:color w:val="000000"/>
        </w:rPr>
        <w:t>soutěžní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výzvě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č. 91 „</w:t>
      </w:r>
      <w:proofErr w:type="spellStart"/>
      <w:r w:rsidRPr="0077025C">
        <w:rPr>
          <w:rFonts w:ascii="Arial" w:eastAsia="Arial" w:hAnsi="Arial" w:cs="Arial"/>
          <w:color w:val="000000"/>
        </w:rPr>
        <w:t>Iniciativa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na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podporu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zaměstnanosti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mládeže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pro </w:t>
      </w:r>
      <w:proofErr w:type="spellStart"/>
      <w:r w:rsidRPr="0077025C">
        <w:rPr>
          <w:rFonts w:ascii="Arial" w:eastAsia="Arial" w:hAnsi="Arial" w:cs="Arial"/>
          <w:color w:val="000000"/>
        </w:rPr>
        <w:t>regiony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NUTS II </w:t>
      </w:r>
      <w:proofErr w:type="spellStart"/>
      <w:r w:rsidRPr="0077025C">
        <w:rPr>
          <w:rFonts w:ascii="Arial" w:eastAsia="Arial" w:hAnsi="Arial" w:cs="Arial"/>
          <w:color w:val="000000"/>
        </w:rPr>
        <w:t>Severozápad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a NUTS II </w:t>
      </w:r>
      <w:proofErr w:type="spellStart"/>
      <w:r w:rsidRPr="0077025C">
        <w:rPr>
          <w:rFonts w:ascii="Arial" w:eastAsia="Arial" w:hAnsi="Arial" w:cs="Arial"/>
          <w:color w:val="000000"/>
        </w:rPr>
        <w:t>Moravskoslezsko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– </w:t>
      </w:r>
      <w:proofErr w:type="spellStart"/>
      <w:proofErr w:type="gramStart"/>
      <w:r w:rsidRPr="0077025C">
        <w:rPr>
          <w:rFonts w:ascii="Arial" w:eastAsia="Arial" w:hAnsi="Arial" w:cs="Arial"/>
          <w:color w:val="000000"/>
        </w:rPr>
        <w:t>kraje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“ </w:t>
      </w:r>
      <w:proofErr w:type="spellStart"/>
      <w:r w:rsidRPr="0077025C">
        <w:rPr>
          <w:rFonts w:ascii="Arial" w:eastAsia="Arial" w:hAnsi="Arial" w:cs="Arial"/>
          <w:color w:val="000000"/>
        </w:rPr>
        <w:t>byly</w:t>
      </w:r>
      <w:proofErr w:type="spellEnd"/>
      <w:proofErr w:type="gram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realizovány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v </w:t>
      </w:r>
      <w:proofErr w:type="spellStart"/>
      <w:r w:rsidRPr="0077025C">
        <w:rPr>
          <w:rFonts w:ascii="Arial" w:eastAsia="Arial" w:hAnsi="Arial" w:cs="Arial"/>
          <w:color w:val="000000"/>
        </w:rPr>
        <w:t>roce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2019  </w:t>
      </w:r>
      <w:proofErr w:type="spellStart"/>
      <w:r w:rsidRPr="0077025C">
        <w:rPr>
          <w:rFonts w:ascii="Arial" w:eastAsia="Arial" w:hAnsi="Arial" w:cs="Arial"/>
          <w:color w:val="000000"/>
        </w:rPr>
        <w:t>dva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projekty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- pro </w:t>
      </w:r>
      <w:proofErr w:type="spellStart"/>
      <w:r w:rsidRPr="0077025C">
        <w:rPr>
          <w:rFonts w:ascii="Arial" w:eastAsia="Arial" w:hAnsi="Arial" w:cs="Arial"/>
          <w:color w:val="000000"/>
        </w:rPr>
        <w:t>Ústecký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kraj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a </w:t>
      </w:r>
      <w:proofErr w:type="spellStart"/>
      <w:r w:rsidRPr="0077025C">
        <w:rPr>
          <w:rFonts w:ascii="Arial" w:eastAsia="Arial" w:hAnsi="Arial" w:cs="Arial"/>
          <w:color w:val="000000"/>
        </w:rPr>
        <w:t>Moravskoslezský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kraj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. Do </w:t>
      </w:r>
      <w:proofErr w:type="spellStart"/>
      <w:r w:rsidRPr="0077025C">
        <w:rPr>
          <w:rFonts w:ascii="Arial" w:eastAsia="Arial" w:hAnsi="Arial" w:cs="Arial"/>
          <w:color w:val="000000"/>
        </w:rPr>
        <w:t>projektů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byly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zařazovány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přednostně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osoby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, </w:t>
      </w:r>
      <w:proofErr w:type="spellStart"/>
      <w:r w:rsidRPr="0077025C">
        <w:rPr>
          <w:rFonts w:ascii="Arial" w:eastAsia="Arial" w:hAnsi="Arial" w:cs="Arial"/>
          <w:color w:val="000000"/>
        </w:rPr>
        <w:t>které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nebyly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evidovanými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uchazeči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o </w:t>
      </w:r>
      <w:proofErr w:type="spellStart"/>
      <w:r w:rsidRPr="0077025C">
        <w:rPr>
          <w:rFonts w:ascii="Arial" w:eastAsia="Arial" w:hAnsi="Arial" w:cs="Arial"/>
          <w:color w:val="000000"/>
        </w:rPr>
        <w:t>zaměstnání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na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ÚP ČR, ale </w:t>
      </w:r>
      <w:proofErr w:type="spellStart"/>
      <w:r w:rsidRPr="0077025C">
        <w:rPr>
          <w:rFonts w:ascii="Arial" w:eastAsia="Arial" w:hAnsi="Arial" w:cs="Arial"/>
          <w:color w:val="000000"/>
        </w:rPr>
        <w:t>splňovaly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ch</w:t>
      </w:r>
      <w:r>
        <w:rPr>
          <w:rFonts w:ascii="Arial" w:eastAsia="Arial" w:hAnsi="Arial" w:cs="Arial"/>
          <w:color w:val="000000"/>
        </w:rPr>
        <w:t>arakteristiky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cílové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skupiny</w:t>
      </w:r>
      <w:proofErr w:type="spellEnd"/>
      <w:r>
        <w:rPr>
          <w:rFonts w:ascii="Arial" w:eastAsia="Arial" w:hAnsi="Arial" w:cs="Arial"/>
          <w:color w:val="000000"/>
        </w:rPr>
        <w:t xml:space="preserve"> IP</w:t>
      </w:r>
      <w:r w:rsidR="00C84E38">
        <w:rPr>
          <w:rFonts w:ascii="Arial" w:eastAsia="Arial" w:hAnsi="Arial" w:cs="Arial"/>
          <w:color w:val="000000"/>
        </w:rPr>
        <w:t xml:space="preserve"> </w:t>
      </w:r>
      <w:r w:rsidRPr="0077025C">
        <w:rPr>
          <w:rFonts w:ascii="Arial" w:eastAsia="Arial" w:hAnsi="Arial" w:cs="Arial"/>
          <w:color w:val="000000"/>
        </w:rPr>
        <w:t xml:space="preserve">1.5. Tyto </w:t>
      </w:r>
      <w:proofErr w:type="spellStart"/>
      <w:r w:rsidRPr="0077025C">
        <w:rPr>
          <w:rFonts w:ascii="Arial" w:eastAsia="Arial" w:hAnsi="Arial" w:cs="Arial"/>
          <w:color w:val="000000"/>
        </w:rPr>
        <w:t>projekty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byly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ukončeny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k 31. 10. 2019 a </w:t>
      </w:r>
      <w:proofErr w:type="spellStart"/>
      <w:r w:rsidRPr="0077025C">
        <w:rPr>
          <w:rFonts w:ascii="Arial" w:eastAsia="Arial" w:hAnsi="Arial" w:cs="Arial"/>
          <w:color w:val="000000"/>
        </w:rPr>
        <w:t>podpořeno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bylo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celkem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263 </w:t>
      </w:r>
      <w:proofErr w:type="spellStart"/>
      <w:r w:rsidRPr="0077025C">
        <w:rPr>
          <w:rFonts w:ascii="Arial" w:eastAsia="Arial" w:hAnsi="Arial" w:cs="Arial"/>
          <w:color w:val="000000"/>
        </w:rPr>
        <w:t>osob</w:t>
      </w:r>
      <w:proofErr w:type="spellEnd"/>
      <w:r w:rsidRPr="0077025C">
        <w:rPr>
          <w:rFonts w:ascii="Arial" w:eastAsia="Arial" w:hAnsi="Arial" w:cs="Arial"/>
          <w:color w:val="000000"/>
        </w:rPr>
        <w:t>.</w:t>
      </w:r>
    </w:p>
    <w:p w14:paraId="7600B4BE" w14:textId="5DB81B90" w:rsidR="00647EE0" w:rsidRPr="00435747" w:rsidRDefault="00647EE0" w:rsidP="00435747">
      <w:pPr>
        <w:spacing w:after="120" w:line="264" w:lineRule="auto"/>
        <w:ind w:left="119" w:right="121"/>
        <w:jc w:val="both"/>
        <w:rPr>
          <w:rFonts w:ascii="Arial" w:eastAsia="Arial" w:hAnsi="Arial" w:cs="Arial"/>
          <w:color w:val="000000"/>
        </w:rPr>
      </w:pPr>
      <w:r w:rsidRPr="0077025C">
        <w:rPr>
          <w:rFonts w:ascii="Arial" w:eastAsia="Arial" w:hAnsi="Arial" w:cs="Arial"/>
          <w:color w:val="000000"/>
        </w:rPr>
        <w:t xml:space="preserve">Na </w:t>
      </w:r>
      <w:proofErr w:type="spellStart"/>
      <w:r w:rsidRPr="0077025C">
        <w:rPr>
          <w:rFonts w:ascii="Arial" w:eastAsia="Arial" w:hAnsi="Arial" w:cs="Arial"/>
          <w:color w:val="000000"/>
        </w:rPr>
        <w:t>základě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potřeby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jednotlivých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regionů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byla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v </w:t>
      </w:r>
      <w:proofErr w:type="spellStart"/>
      <w:r w:rsidRPr="0077025C">
        <w:rPr>
          <w:rFonts w:ascii="Arial" w:eastAsia="Arial" w:hAnsi="Arial" w:cs="Arial"/>
          <w:color w:val="000000"/>
        </w:rPr>
        <w:t>roce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2019 </w:t>
      </w:r>
      <w:proofErr w:type="spellStart"/>
      <w:r w:rsidRPr="0077025C">
        <w:rPr>
          <w:rFonts w:ascii="Arial" w:eastAsia="Arial" w:hAnsi="Arial" w:cs="Arial"/>
          <w:color w:val="000000"/>
        </w:rPr>
        <w:t>vyhlášena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výzva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č. </w:t>
      </w:r>
      <w:r w:rsidRPr="00833271">
        <w:rPr>
          <w:rFonts w:ascii="Arial" w:eastAsia="Arial" w:hAnsi="Arial" w:cs="Arial"/>
          <w:b/>
          <w:bCs/>
          <w:color w:val="000000"/>
        </w:rPr>
        <w:t>136 „</w:t>
      </w:r>
      <w:proofErr w:type="spellStart"/>
      <w:r w:rsidRPr="00833271">
        <w:rPr>
          <w:rFonts w:ascii="Arial" w:eastAsia="Arial" w:hAnsi="Arial" w:cs="Arial"/>
          <w:b/>
          <w:bCs/>
          <w:color w:val="000000"/>
        </w:rPr>
        <w:t>Iniciativa</w:t>
      </w:r>
      <w:proofErr w:type="spellEnd"/>
      <w:r w:rsidRPr="00833271">
        <w:rPr>
          <w:rFonts w:ascii="Arial" w:eastAsia="Arial" w:hAnsi="Arial" w:cs="Arial"/>
          <w:b/>
          <w:bCs/>
          <w:color w:val="000000"/>
        </w:rPr>
        <w:t xml:space="preserve"> </w:t>
      </w:r>
      <w:proofErr w:type="spellStart"/>
      <w:r w:rsidRPr="00833271">
        <w:rPr>
          <w:rFonts w:ascii="Arial" w:eastAsia="Arial" w:hAnsi="Arial" w:cs="Arial"/>
          <w:b/>
          <w:bCs/>
          <w:color w:val="000000"/>
        </w:rPr>
        <w:t>na</w:t>
      </w:r>
      <w:proofErr w:type="spellEnd"/>
      <w:r w:rsidRPr="00833271">
        <w:rPr>
          <w:rFonts w:ascii="Arial" w:eastAsia="Arial" w:hAnsi="Arial" w:cs="Arial"/>
          <w:b/>
          <w:bCs/>
          <w:color w:val="000000"/>
        </w:rPr>
        <w:t xml:space="preserve"> </w:t>
      </w:r>
      <w:proofErr w:type="spellStart"/>
      <w:r w:rsidRPr="00833271">
        <w:rPr>
          <w:rFonts w:ascii="Arial" w:eastAsia="Arial" w:hAnsi="Arial" w:cs="Arial"/>
          <w:b/>
          <w:bCs/>
          <w:color w:val="000000"/>
        </w:rPr>
        <w:t>podporu</w:t>
      </w:r>
      <w:proofErr w:type="spellEnd"/>
      <w:r w:rsidRPr="00833271">
        <w:rPr>
          <w:rFonts w:ascii="Arial" w:eastAsia="Arial" w:hAnsi="Arial" w:cs="Arial"/>
          <w:b/>
          <w:bCs/>
          <w:color w:val="000000"/>
        </w:rPr>
        <w:t xml:space="preserve"> </w:t>
      </w:r>
      <w:proofErr w:type="spellStart"/>
      <w:r w:rsidRPr="00833271">
        <w:rPr>
          <w:rFonts w:ascii="Arial" w:eastAsia="Arial" w:hAnsi="Arial" w:cs="Arial"/>
          <w:b/>
          <w:bCs/>
          <w:color w:val="000000"/>
        </w:rPr>
        <w:t>zaměstnanosti</w:t>
      </w:r>
      <w:proofErr w:type="spellEnd"/>
      <w:r w:rsidRPr="00833271">
        <w:rPr>
          <w:rFonts w:ascii="Arial" w:eastAsia="Arial" w:hAnsi="Arial" w:cs="Arial"/>
          <w:b/>
          <w:bCs/>
          <w:color w:val="000000"/>
        </w:rPr>
        <w:t xml:space="preserve"> </w:t>
      </w:r>
      <w:proofErr w:type="spellStart"/>
      <w:r w:rsidRPr="00833271">
        <w:rPr>
          <w:rFonts w:ascii="Arial" w:eastAsia="Arial" w:hAnsi="Arial" w:cs="Arial"/>
          <w:b/>
          <w:bCs/>
          <w:color w:val="000000"/>
        </w:rPr>
        <w:t>mládeže</w:t>
      </w:r>
      <w:proofErr w:type="spellEnd"/>
      <w:r w:rsidRPr="00833271">
        <w:rPr>
          <w:rFonts w:ascii="Arial" w:eastAsia="Arial" w:hAnsi="Arial" w:cs="Arial"/>
          <w:b/>
          <w:bCs/>
          <w:color w:val="000000"/>
        </w:rPr>
        <w:t xml:space="preserve"> pro region NUTS II </w:t>
      </w:r>
      <w:proofErr w:type="spellStart"/>
      <w:r w:rsidRPr="00833271">
        <w:rPr>
          <w:rFonts w:ascii="Arial" w:eastAsia="Arial" w:hAnsi="Arial" w:cs="Arial"/>
          <w:b/>
          <w:bCs/>
          <w:color w:val="000000"/>
        </w:rPr>
        <w:t>Severozápad</w:t>
      </w:r>
      <w:proofErr w:type="spellEnd"/>
      <w:r w:rsidRPr="00833271">
        <w:rPr>
          <w:rFonts w:ascii="Arial" w:eastAsia="Arial" w:hAnsi="Arial" w:cs="Arial"/>
          <w:b/>
          <w:bCs/>
          <w:color w:val="000000"/>
        </w:rPr>
        <w:t xml:space="preserve"> a NUTS II Moravskoslezsko - ÚP </w:t>
      </w:r>
      <w:proofErr w:type="gramStart"/>
      <w:r w:rsidRPr="00833271">
        <w:rPr>
          <w:rFonts w:ascii="Arial" w:eastAsia="Arial" w:hAnsi="Arial" w:cs="Arial"/>
          <w:b/>
          <w:bCs/>
          <w:color w:val="000000"/>
        </w:rPr>
        <w:t>ČR“</w:t>
      </w:r>
      <w:proofErr w:type="gramEnd"/>
      <w:r w:rsidRPr="0077025C">
        <w:rPr>
          <w:rFonts w:ascii="Arial" w:eastAsia="Arial" w:hAnsi="Arial" w:cs="Arial"/>
          <w:color w:val="000000"/>
        </w:rPr>
        <w:t xml:space="preserve">, </w:t>
      </w:r>
      <w:proofErr w:type="spellStart"/>
      <w:r w:rsidRPr="0077025C">
        <w:rPr>
          <w:rFonts w:ascii="Arial" w:eastAsia="Arial" w:hAnsi="Arial" w:cs="Arial"/>
          <w:color w:val="000000"/>
        </w:rPr>
        <w:t>která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je </w:t>
      </w:r>
      <w:proofErr w:type="spellStart"/>
      <w:r w:rsidRPr="0077025C">
        <w:rPr>
          <w:rFonts w:ascii="Arial" w:eastAsia="Arial" w:hAnsi="Arial" w:cs="Arial"/>
          <w:color w:val="000000"/>
        </w:rPr>
        <w:t>zaměřena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na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mladé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lidi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s </w:t>
      </w:r>
      <w:proofErr w:type="spellStart"/>
      <w:r w:rsidRPr="0077025C">
        <w:rPr>
          <w:rFonts w:ascii="Arial" w:eastAsia="Arial" w:hAnsi="Arial" w:cs="Arial"/>
          <w:color w:val="000000"/>
        </w:rPr>
        <w:t>kumulací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hendikepů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. </w:t>
      </w:r>
      <w:proofErr w:type="spellStart"/>
      <w:r>
        <w:rPr>
          <w:rFonts w:ascii="Arial" w:eastAsia="Arial" w:hAnsi="Arial" w:cs="Arial"/>
          <w:color w:val="000000"/>
        </w:rPr>
        <w:t>Ve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výzvě</w:t>
      </w:r>
      <w:proofErr w:type="spellEnd"/>
      <w:r>
        <w:rPr>
          <w:rFonts w:ascii="Arial" w:eastAsia="Arial" w:hAnsi="Arial" w:cs="Arial"/>
          <w:color w:val="000000"/>
        </w:rPr>
        <w:t xml:space="preserve"> je od 1. 1. 2020 v </w:t>
      </w:r>
      <w:proofErr w:type="spellStart"/>
      <w:r>
        <w:rPr>
          <w:rFonts w:ascii="Arial" w:eastAsia="Arial" w:hAnsi="Arial" w:cs="Arial"/>
          <w:color w:val="000000"/>
        </w:rPr>
        <w:t>realizaci</w:t>
      </w:r>
      <w:proofErr w:type="spellEnd"/>
      <w:r>
        <w:rPr>
          <w:rFonts w:ascii="Arial" w:eastAsia="Arial" w:hAnsi="Arial" w:cs="Arial"/>
          <w:color w:val="000000"/>
        </w:rPr>
        <w:t xml:space="preserve"> 1 </w:t>
      </w:r>
      <w:proofErr w:type="spellStart"/>
      <w:r>
        <w:rPr>
          <w:rFonts w:ascii="Arial" w:eastAsia="Arial" w:hAnsi="Arial" w:cs="Arial"/>
          <w:color w:val="000000"/>
        </w:rPr>
        <w:t>projekt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Generálního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ředitelství</w:t>
      </w:r>
      <w:proofErr w:type="spellEnd"/>
      <w:r>
        <w:rPr>
          <w:rFonts w:ascii="Arial" w:eastAsia="Arial" w:hAnsi="Arial" w:cs="Arial"/>
          <w:color w:val="000000"/>
        </w:rPr>
        <w:t xml:space="preserve"> ÚP ČR za 1,6</w:t>
      </w:r>
      <w:r w:rsidR="00C84E38">
        <w:rPr>
          <w:rFonts w:ascii="Arial" w:eastAsia="Arial" w:hAnsi="Arial" w:cs="Arial"/>
          <w:color w:val="000000"/>
        </w:rPr>
        <w:t>4</w:t>
      </w:r>
      <w:r>
        <w:rPr>
          <w:rFonts w:ascii="Arial" w:eastAsia="Arial" w:hAnsi="Arial" w:cs="Arial"/>
          <w:color w:val="000000"/>
        </w:rPr>
        <w:t xml:space="preserve"> mil. EUR</w:t>
      </w:r>
      <w:r w:rsidR="00924647">
        <w:rPr>
          <w:rFonts w:ascii="Arial" w:eastAsia="Arial" w:hAnsi="Arial" w:cs="Arial"/>
          <w:color w:val="000000"/>
        </w:rPr>
        <w:t xml:space="preserve"> s </w:t>
      </w:r>
      <w:proofErr w:type="spellStart"/>
      <w:r w:rsidR="00924647">
        <w:rPr>
          <w:rFonts w:ascii="Arial" w:eastAsia="Arial" w:hAnsi="Arial" w:cs="Arial"/>
          <w:color w:val="000000"/>
        </w:rPr>
        <w:t>názvem</w:t>
      </w:r>
      <w:proofErr w:type="spellEnd"/>
      <w:r w:rsidR="00924647">
        <w:rPr>
          <w:rFonts w:ascii="Arial" w:eastAsia="Arial" w:hAnsi="Arial" w:cs="Arial"/>
          <w:color w:val="000000"/>
        </w:rPr>
        <w:t xml:space="preserve"> </w:t>
      </w:r>
      <w:r w:rsidR="00924647" w:rsidRPr="00833271">
        <w:rPr>
          <w:rFonts w:ascii="Arial" w:eastAsia="Arial" w:hAnsi="Arial" w:cs="Arial"/>
          <w:b/>
          <w:bCs/>
          <w:color w:val="000000"/>
        </w:rPr>
        <w:t xml:space="preserve">INICIATIVA </w:t>
      </w:r>
      <w:proofErr w:type="spellStart"/>
      <w:r w:rsidR="00924647" w:rsidRPr="00833271">
        <w:rPr>
          <w:rFonts w:ascii="Arial" w:eastAsia="Arial" w:hAnsi="Arial" w:cs="Arial"/>
          <w:b/>
          <w:bCs/>
          <w:color w:val="000000"/>
        </w:rPr>
        <w:t>na</w:t>
      </w:r>
      <w:proofErr w:type="spellEnd"/>
      <w:r w:rsidR="00924647" w:rsidRPr="00833271">
        <w:rPr>
          <w:rFonts w:ascii="Arial" w:eastAsia="Arial" w:hAnsi="Arial" w:cs="Arial"/>
          <w:b/>
          <w:bCs/>
          <w:color w:val="000000"/>
        </w:rPr>
        <w:t xml:space="preserve"> </w:t>
      </w:r>
      <w:proofErr w:type="spellStart"/>
      <w:r w:rsidR="00924647" w:rsidRPr="00833271">
        <w:rPr>
          <w:rFonts w:ascii="Arial" w:eastAsia="Arial" w:hAnsi="Arial" w:cs="Arial"/>
          <w:b/>
          <w:bCs/>
          <w:color w:val="000000"/>
        </w:rPr>
        <w:t>podporu</w:t>
      </w:r>
      <w:proofErr w:type="spellEnd"/>
      <w:r w:rsidR="00924647" w:rsidRPr="00833271">
        <w:rPr>
          <w:rFonts w:ascii="Arial" w:eastAsia="Arial" w:hAnsi="Arial" w:cs="Arial"/>
          <w:b/>
          <w:bCs/>
          <w:color w:val="000000"/>
        </w:rPr>
        <w:t xml:space="preserve"> </w:t>
      </w:r>
      <w:proofErr w:type="spellStart"/>
      <w:r w:rsidR="00924647" w:rsidRPr="00833271">
        <w:rPr>
          <w:rFonts w:ascii="Arial" w:eastAsia="Arial" w:hAnsi="Arial" w:cs="Arial"/>
          <w:b/>
          <w:bCs/>
          <w:color w:val="000000"/>
        </w:rPr>
        <w:t>mladých</w:t>
      </w:r>
      <w:proofErr w:type="spellEnd"/>
      <w:r w:rsidR="00924647" w:rsidRPr="00833271">
        <w:rPr>
          <w:rFonts w:ascii="Arial" w:eastAsia="Arial" w:hAnsi="Arial" w:cs="Arial"/>
          <w:b/>
          <w:bCs/>
          <w:color w:val="000000"/>
        </w:rPr>
        <w:t xml:space="preserve"> </w:t>
      </w:r>
      <w:proofErr w:type="spellStart"/>
      <w:r w:rsidR="00924647" w:rsidRPr="00833271">
        <w:rPr>
          <w:rFonts w:ascii="Arial" w:eastAsia="Arial" w:hAnsi="Arial" w:cs="Arial"/>
          <w:b/>
          <w:bCs/>
          <w:color w:val="000000"/>
        </w:rPr>
        <w:t>uchazečů</w:t>
      </w:r>
      <w:proofErr w:type="spellEnd"/>
      <w:r w:rsidR="00924647" w:rsidRPr="00833271">
        <w:rPr>
          <w:rFonts w:ascii="Arial" w:eastAsia="Arial" w:hAnsi="Arial" w:cs="Arial"/>
          <w:b/>
          <w:bCs/>
          <w:color w:val="000000"/>
        </w:rPr>
        <w:t xml:space="preserve"> o </w:t>
      </w:r>
      <w:proofErr w:type="spellStart"/>
      <w:r w:rsidR="00924647" w:rsidRPr="00833271">
        <w:rPr>
          <w:rFonts w:ascii="Arial" w:eastAsia="Arial" w:hAnsi="Arial" w:cs="Arial"/>
          <w:b/>
          <w:bCs/>
          <w:color w:val="000000"/>
        </w:rPr>
        <w:t>zaměstnání</w:t>
      </w:r>
      <w:proofErr w:type="spellEnd"/>
      <w:r>
        <w:rPr>
          <w:rFonts w:ascii="Arial" w:eastAsia="Arial" w:hAnsi="Arial" w:cs="Arial"/>
          <w:color w:val="000000"/>
        </w:rPr>
        <w:t xml:space="preserve">, </w:t>
      </w:r>
      <w:proofErr w:type="spellStart"/>
      <w:r>
        <w:rPr>
          <w:rFonts w:ascii="Arial" w:eastAsia="Arial" w:hAnsi="Arial" w:cs="Arial"/>
          <w:color w:val="000000"/>
        </w:rPr>
        <w:t>který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cílí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na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na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zvýšení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účasti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CS </w:t>
      </w:r>
      <w:proofErr w:type="spellStart"/>
      <w:r w:rsidRPr="0077025C">
        <w:rPr>
          <w:rFonts w:ascii="Arial" w:eastAsia="Arial" w:hAnsi="Arial" w:cs="Arial"/>
          <w:color w:val="000000"/>
        </w:rPr>
        <w:t>na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trhu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práce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a </w:t>
      </w:r>
      <w:proofErr w:type="spellStart"/>
      <w:r w:rsidRPr="0077025C">
        <w:rPr>
          <w:rFonts w:ascii="Arial" w:eastAsia="Arial" w:hAnsi="Arial" w:cs="Arial"/>
          <w:color w:val="000000"/>
        </w:rPr>
        <w:t>snížení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jejich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závislosti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na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systému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sociální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ochrany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a </w:t>
      </w:r>
      <w:proofErr w:type="spellStart"/>
      <w:r w:rsidRPr="0077025C">
        <w:rPr>
          <w:rFonts w:ascii="Arial" w:eastAsia="Arial" w:hAnsi="Arial" w:cs="Arial"/>
          <w:color w:val="000000"/>
        </w:rPr>
        <w:t>služeb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zaměstnanosti</w:t>
      </w:r>
      <w:proofErr w:type="spellEnd"/>
      <w:r w:rsidRPr="0077025C">
        <w:rPr>
          <w:rFonts w:ascii="Arial" w:eastAsia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proofErr w:type="spellStart"/>
      <w:r w:rsidR="00656B6A" w:rsidRPr="00656B6A">
        <w:rPr>
          <w:rFonts w:ascii="Arial" w:eastAsia="Arial" w:hAnsi="Arial" w:cs="Arial"/>
          <w:color w:val="000000"/>
        </w:rPr>
        <w:t>Projekt</w:t>
      </w:r>
      <w:proofErr w:type="spellEnd"/>
      <w:r w:rsidR="00656B6A" w:rsidRPr="00656B6A">
        <w:rPr>
          <w:rFonts w:ascii="Arial" w:eastAsia="Arial" w:hAnsi="Arial" w:cs="Arial"/>
          <w:color w:val="000000"/>
        </w:rPr>
        <w:t xml:space="preserve"> </w:t>
      </w:r>
      <w:proofErr w:type="spellStart"/>
      <w:r w:rsidR="00656B6A" w:rsidRPr="00656B6A">
        <w:rPr>
          <w:rFonts w:ascii="Arial" w:eastAsia="Arial" w:hAnsi="Arial" w:cs="Arial"/>
          <w:color w:val="000000"/>
        </w:rPr>
        <w:t>bude</w:t>
      </w:r>
      <w:proofErr w:type="spellEnd"/>
      <w:r w:rsidR="00656B6A" w:rsidRPr="00656B6A">
        <w:rPr>
          <w:rFonts w:ascii="Arial" w:eastAsia="Arial" w:hAnsi="Arial" w:cs="Arial"/>
          <w:color w:val="000000"/>
        </w:rPr>
        <w:t xml:space="preserve"> </w:t>
      </w:r>
      <w:proofErr w:type="spellStart"/>
      <w:r w:rsidR="00656B6A" w:rsidRPr="00656B6A">
        <w:rPr>
          <w:rFonts w:ascii="Arial" w:eastAsia="Arial" w:hAnsi="Arial" w:cs="Arial"/>
          <w:color w:val="000000"/>
        </w:rPr>
        <w:t>realizován</w:t>
      </w:r>
      <w:proofErr w:type="spellEnd"/>
      <w:r w:rsidR="00656B6A" w:rsidRPr="00656B6A">
        <w:rPr>
          <w:rFonts w:ascii="Arial" w:eastAsia="Arial" w:hAnsi="Arial" w:cs="Arial"/>
          <w:color w:val="000000"/>
        </w:rPr>
        <w:t xml:space="preserve"> do </w:t>
      </w:r>
      <w:proofErr w:type="spellStart"/>
      <w:r w:rsidR="00656B6A" w:rsidRPr="00656B6A">
        <w:rPr>
          <w:rFonts w:ascii="Arial" w:eastAsia="Arial" w:hAnsi="Arial" w:cs="Arial"/>
          <w:color w:val="000000"/>
        </w:rPr>
        <w:t>dočerpání</w:t>
      </w:r>
      <w:proofErr w:type="spellEnd"/>
      <w:r w:rsidR="00656B6A" w:rsidRPr="00656B6A">
        <w:rPr>
          <w:rFonts w:ascii="Arial" w:eastAsia="Arial" w:hAnsi="Arial" w:cs="Arial"/>
          <w:color w:val="000000"/>
        </w:rPr>
        <w:t xml:space="preserve"> </w:t>
      </w:r>
      <w:proofErr w:type="spellStart"/>
      <w:r w:rsidR="00656B6A" w:rsidRPr="00656B6A">
        <w:rPr>
          <w:rFonts w:ascii="Arial" w:eastAsia="Arial" w:hAnsi="Arial" w:cs="Arial"/>
          <w:color w:val="000000"/>
        </w:rPr>
        <w:t>zbývající</w:t>
      </w:r>
      <w:proofErr w:type="spellEnd"/>
      <w:r w:rsidR="00656B6A" w:rsidRPr="00656B6A">
        <w:rPr>
          <w:rFonts w:ascii="Arial" w:eastAsia="Arial" w:hAnsi="Arial" w:cs="Arial"/>
          <w:color w:val="000000"/>
        </w:rPr>
        <w:t xml:space="preserve"> </w:t>
      </w:r>
      <w:proofErr w:type="spellStart"/>
      <w:r w:rsidR="00656B6A" w:rsidRPr="00656B6A">
        <w:rPr>
          <w:rFonts w:ascii="Arial" w:eastAsia="Arial" w:hAnsi="Arial" w:cs="Arial"/>
          <w:color w:val="000000"/>
        </w:rPr>
        <w:t>alokace</w:t>
      </w:r>
      <w:proofErr w:type="spellEnd"/>
      <w:r w:rsidR="00656B6A" w:rsidRPr="00656B6A">
        <w:rPr>
          <w:rFonts w:ascii="Arial" w:eastAsia="Arial" w:hAnsi="Arial" w:cs="Arial"/>
          <w:color w:val="000000"/>
        </w:rPr>
        <w:t xml:space="preserve"> YEI (</w:t>
      </w:r>
      <w:proofErr w:type="spellStart"/>
      <w:r w:rsidR="00656B6A" w:rsidRPr="00656B6A">
        <w:rPr>
          <w:rFonts w:ascii="Arial" w:eastAsia="Arial" w:hAnsi="Arial" w:cs="Arial"/>
          <w:color w:val="000000"/>
        </w:rPr>
        <w:t>cca</w:t>
      </w:r>
      <w:proofErr w:type="spellEnd"/>
      <w:r w:rsidR="00656B6A" w:rsidRPr="00656B6A">
        <w:rPr>
          <w:rFonts w:ascii="Arial" w:eastAsia="Arial" w:hAnsi="Arial" w:cs="Arial"/>
          <w:color w:val="000000"/>
        </w:rPr>
        <w:t xml:space="preserve"> 1,07 mil. EUR)</w:t>
      </w:r>
      <w:r w:rsidR="00656B6A">
        <w:rPr>
          <w:rFonts w:ascii="Arial" w:eastAsia="Arial" w:hAnsi="Arial" w:cs="Arial"/>
          <w:color w:val="000000"/>
        </w:rPr>
        <w:t xml:space="preserve">. </w:t>
      </w:r>
      <w:proofErr w:type="spellStart"/>
      <w:r>
        <w:rPr>
          <w:rFonts w:ascii="Arial" w:eastAsia="Arial" w:hAnsi="Arial" w:cs="Arial"/>
          <w:color w:val="000000"/>
        </w:rPr>
        <w:t>Realizace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projektu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probíhá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prostřednictvím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krajských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poboček</w:t>
      </w:r>
      <w:proofErr w:type="spellEnd"/>
      <w:r>
        <w:rPr>
          <w:rFonts w:ascii="Arial" w:eastAsia="Arial" w:hAnsi="Arial" w:cs="Arial"/>
          <w:color w:val="000000"/>
        </w:rPr>
        <w:t xml:space="preserve"> ÚP ČR v </w:t>
      </w:r>
      <w:proofErr w:type="spellStart"/>
      <w:r>
        <w:rPr>
          <w:rFonts w:ascii="Arial" w:eastAsia="Arial" w:hAnsi="Arial" w:cs="Arial"/>
          <w:color w:val="000000"/>
        </w:rPr>
        <w:t>Ústeckém</w:t>
      </w:r>
      <w:proofErr w:type="spellEnd"/>
      <w:r>
        <w:rPr>
          <w:rFonts w:ascii="Arial" w:eastAsia="Arial" w:hAnsi="Arial" w:cs="Arial"/>
          <w:color w:val="000000"/>
        </w:rPr>
        <w:t xml:space="preserve">, </w:t>
      </w:r>
      <w:proofErr w:type="spellStart"/>
      <w:r>
        <w:rPr>
          <w:rFonts w:ascii="Arial" w:eastAsia="Arial" w:hAnsi="Arial" w:cs="Arial"/>
          <w:color w:val="000000"/>
        </w:rPr>
        <w:t>Karlovarském</w:t>
      </w:r>
      <w:proofErr w:type="spellEnd"/>
      <w:r>
        <w:rPr>
          <w:rFonts w:ascii="Arial" w:eastAsia="Arial" w:hAnsi="Arial" w:cs="Arial"/>
          <w:color w:val="000000"/>
        </w:rPr>
        <w:t xml:space="preserve"> a </w:t>
      </w:r>
      <w:proofErr w:type="spellStart"/>
      <w:r>
        <w:rPr>
          <w:rFonts w:ascii="Arial" w:eastAsia="Arial" w:hAnsi="Arial" w:cs="Arial"/>
          <w:color w:val="000000"/>
        </w:rPr>
        <w:t>Moravskoslezském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kraji</w:t>
      </w:r>
      <w:proofErr w:type="spellEnd"/>
      <w:r>
        <w:rPr>
          <w:rFonts w:ascii="Arial" w:eastAsia="Arial" w:hAnsi="Arial" w:cs="Arial"/>
          <w:color w:val="000000"/>
        </w:rPr>
        <w:t>.</w:t>
      </w:r>
      <w:r w:rsidRPr="0077025C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K 31.</w:t>
      </w:r>
      <w:r w:rsidR="00656B6A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12.</w:t>
      </w:r>
      <w:r w:rsidR="00656B6A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 xml:space="preserve">2020 do </w:t>
      </w:r>
      <w:proofErr w:type="spellStart"/>
      <w:r>
        <w:rPr>
          <w:rFonts w:ascii="Arial" w:eastAsia="Arial" w:hAnsi="Arial" w:cs="Arial"/>
          <w:color w:val="000000"/>
        </w:rPr>
        <w:t>projektu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vstoupilo</w:t>
      </w:r>
      <w:proofErr w:type="spellEnd"/>
      <w:r>
        <w:rPr>
          <w:rFonts w:ascii="Arial" w:eastAsia="Arial" w:hAnsi="Arial" w:cs="Arial"/>
          <w:color w:val="000000"/>
        </w:rPr>
        <w:t xml:space="preserve"> 464 </w:t>
      </w:r>
      <w:proofErr w:type="spellStart"/>
      <w:r>
        <w:rPr>
          <w:rFonts w:ascii="Arial" w:eastAsia="Arial" w:hAnsi="Arial" w:cs="Arial"/>
          <w:color w:val="000000"/>
        </w:rPr>
        <w:t>osob</w:t>
      </w:r>
      <w:proofErr w:type="spellEnd"/>
      <w:r>
        <w:rPr>
          <w:rFonts w:ascii="Arial" w:eastAsia="Arial" w:hAnsi="Arial" w:cs="Arial"/>
          <w:color w:val="000000"/>
        </w:rPr>
        <w:t>.</w:t>
      </w:r>
    </w:p>
    <w:p w14:paraId="083D02DE" w14:textId="14B0BF77" w:rsidR="0051463B" w:rsidRPr="002B75E4" w:rsidRDefault="0077025C" w:rsidP="002B75E4">
      <w:pPr>
        <w:spacing w:after="120" w:line="264" w:lineRule="auto"/>
        <w:ind w:left="119" w:right="121"/>
        <w:jc w:val="both"/>
        <w:rPr>
          <w:rFonts w:ascii="Arial" w:eastAsia="Arial" w:hAnsi="Arial" w:cs="Arial"/>
          <w:color w:val="000000"/>
          <w:u w:val="single"/>
        </w:rPr>
      </w:pPr>
      <w:proofErr w:type="spellStart"/>
      <w:r w:rsidRPr="002B75E4">
        <w:rPr>
          <w:rFonts w:ascii="Arial" w:eastAsia="Arial" w:hAnsi="Arial" w:cs="Arial"/>
          <w:color w:val="000000"/>
          <w:u w:val="single"/>
        </w:rPr>
        <w:t>Popis</w:t>
      </w:r>
      <w:proofErr w:type="spellEnd"/>
      <w:r w:rsidRPr="002B75E4">
        <w:rPr>
          <w:rFonts w:ascii="Arial" w:eastAsia="Arial" w:hAnsi="Arial" w:cs="Arial"/>
          <w:color w:val="000000"/>
          <w:u w:val="single"/>
        </w:rPr>
        <w:t xml:space="preserve"> </w:t>
      </w:r>
      <w:proofErr w:type="spellStart"/>
      <w:r w:rsidRPr="002B75E4">
        <w:rPr>
          <w:rFonts w:ascii="Arial" w:eastAsia="Arial" w:hAnsi="Arial" w:cs="Arial"/>
          <w:color w:val="000000"/>
          <w:u w:val="single"/>
        </w:rPr>
        <w:t>případných</w:t>
      </w:r>
      <w:proofErr w:type="spellEnd"/>
      <w:r w:rsidRPr="002B75E4">
        <w:rPr>
          <w:rFonts w:ascii="Arial" w:eastAsia="Arial" w:hAnsi="Arial" w:cs="Arial"/>
          <w:color w:val="000000"/>
          <w:u w:val="single"/>
        </w:rPr>
        <w:t xml:space="preserve"> </w:t>
      </w:r>
      <w:proofErr w:type="spellStart"/>
      <w:r w:rsidRPr="002B75E4">
        <w:rPr>
          <w:rFonts w:ascii="Arial" w:eastAsia="Arial" w:hAnsi="Arial" w:cs="Arial"/>
          <w:color w:val="000000"/>
          <w:u w:val="single"/>
        </w:rPr>
        <w:t>problémů</w:t>
      </w:r>
      <w:proofErr w:type="spellEnd"/>
      <w:r w:rsidRPr="002B75E4">
        <w:rPr>
          <w:rFonts w:ascii="Arial" w:eastAsia="Arial" w:hAnsi="Arial" w:cs="Arial"/>
          <w:color w:val="000000"/>
          <w:u w:val="single"/>
        </w:rPr>
        <w:t xml:space="preserve">, </w:t>
      </w:r>
      <w:proofErr w:type="spellStart"/>
      <w:r w:rsidRPr="002B75E4">
        <w:rPr>
          <w:rFonts w:ascii="Arial" w:eastAsia="Arial" w:hAnsi="Arial" w:cs="Arial"/>
          <w:color w:val="000000"/>
          <w:u w:val="single"/>
        </w:rPr>
        <w:t>které</w:t>
      </w:r>
      <w:proofErr w:type="spellEnd"/>
      <w:r w:rsidRPr="002B75E4">
        <w:rPr>
          <w:rFonts w:ascii="Arial" w:eastAsia="Arial" w:hAnsi="Arial" w:cs="Arial"/>
          <w:color w:val="000000"/>
          <w:u w:val="single"/>
        </w:rPr>
        <w:t xml:space="preserve"> se </w:t>
      </w:r>
      <w:proofErr w:type="spellStart"/>
      <w:r w:rsidRPr="002B75E4">
        <w:rPr>
          <w:rFonts w:ascii="Arial" w:eastAsia="Arial" w:hAnsi="Arial" w:cs="Arial"/>
          <w:color w:val="000000"/>
          <w:u w:val="single"/>
        </w:rPr>
        <w:t>vyskytly</w:t>
      </w:r>
      <w:proofErr w:type="spellEnd"/>
      <w:r w:rsidRPr="002B75E4">
        <w:rPr>
          <w:rFonts w:ascii="Arial" w:eastAsia="Arial" w:hAnsi="Arial" w:cs="Arial"/>
          <w:color w:val="000000"/>
          <w:u w:val="single"/>
        </w:rPr>
        <w:t xml:space="preserve"> </w:t>
      </w:r>
      <w:proofErr w:type="spellStart"/>
      <w:r w:rsidRPr="002B75E4">
        <w:rPr>
          <w:rFonts w:ascii="Arial" w:eastAsia="Arial" w:hAnsi="Arial" w:cs="Arial"/>
          <w:color w:val="000000"/>
          <w:u w:val="single"/>
        </w:rPr>
        <w:t>při</w:t>
      </w:r>
      <w:proofErr w:type="spellEnd"/>
      <w:r w:rsidRPr="002B75E4">
        <w:rPr>
          <w:rFonts w:ascii="Arial" w:eastAsia="Arial" w:hAnsi="Arial" w:cs="Arial"/>
          <w:color w:val="000000"/>
          <w:u w:val="single"/>
        </w:rPr>
        <w:t xml:space="preserve"> </w:t>
      </w:r>
      <w:proofErr w:type="spellStart"/>
      <w:r w:rsidRPr="002B75E4">
        <w:rPr>
          <w:rFonts w:ascii="Arial" w:eastAsia="Arial" w:hAnsi="Arial" w:cs="Arial"/>
          <w:color w:val="000000"/>
          <w:u w:val="single"/>
        </w:rPr>
        <w:t>provádění</w:t>
      </w:r>
      <w:proofErr w:type="spellEnd"/>
      <w:r w:rsidRPr="002B75E4">
        <w:rPr>
          <w:rFonts w:ascii="Arial" w:eastAsia="Arial" w:hAnsi="Arial" w:cs="Arial"/>
          <w:color w:val="000000"/>
          <w:u w:val="single"/>
        </w:rPr>
        <w:t xml:space="preserve"> YEI, </w:t>
      </w:r>
      <w:proofErr w:type="gramStart"/>
      <w:r w:rsidRPr="002B75E4">
        <w:rPr>
          <w:rFonts w:ascii="Arial" w:eastAsia="Arial" w:hAnsi="Arial" w:cs="Arial"/>
          <w:color w:val="000000"/>
          <w:u w:val="single"/>
        </w:rPr>
        <w:t>a</w:t>
      </w:r>
      <w:proofErr w:type="gramEnd"/>
      <w:r w:rsidRPr="002B75E4">
        <w:rPr>
          <w:rFonts w:ascii="Arial" w:eastAsia="Arial" w:hAnsi="Arial" w:cs="Arial"/>
          <w:color w:val="000000"/>
          <w:u w:val="single"/>
        </w:rPr>
        <w:t xml:space="preserve"> </w:t>
      </w:r>
      <w:proofErr w:type="spellStart"/>
      <w:r w:rsidRPr="002B75E4">
        <w:rPr>
          <w:rFonts w:ascii="Arial" w:eastAsia="Arial" w:hAnsi="Arial" w:cs="Arial"/>
          <w:color w:val="000000"/>
          <w:u w:val="single"/>
        </w:rPr>
        <w:t>opatření</w:t>
      </w:r>
      <w:proofErr w:type="spellEnd"/>
      <w:r w:rsidRPr="002B75E4">
        <w:rPr>
          <w:rFonts w:ascii="Arial" w:eastAsia="Arial" w:hAnsi="Arial" w:cs="Arial"/>
          <w:color w:val="000000"/>
          <w:u w:val="single"/>
        </w:rPr>
        <w:t xml:space="preserve"> </w:t>
      </w:r>
      <w:proofErr w:type="spellStart"/>
      <w:r w:rsidRPr="002B75E4">
        <w:rPr>
          <w:rFonts w:ascii="Arial" w:eastAsia="Arial" w:hAnsi="Arial" w:cs="Arial"/>
          <w:color w:val="000000"/>
          <w:u w:val="single"/>
        </w:rPr>
        <w:t>přijatých</w:t>
      </w:r>
      <w:proofErr w:type="spellEnd"/>
      <w:r w:rsidRPr="002B75E4">
        <w:rPr>
          <w:rFonts w:ascii="Arial" w:eastAsia="Arial" w:hAnsi="Arial" w:cs="Arial"/>
          <w:color w:val="000000"/>
          <w:u w:val="single"/>
        </w:rPr>
        <w:t xml:space="preserve"> k </w:t>
      </w:r>
      <w:proofErr w:type="spellStart"/>
      <w:r w:rsidRPr="002B75E4">
        <w:rPr>
          <w:rFonts w:ascii="Arial" w:eastAsia="Arial" w:hAnsi="Arial" w:cs="Arial"/>
          <w:color w:val="000000"/>
          <w:u w:val="single"/>
        </w:rPr>
        <w:t>odstranění</w:t>
      </w:r>
      <w:proofErr w:type="spellEnd"/>
      <w:r w:rsidRPr="002B75E4">
        <w:rPr>
          <w:rFonts w:ascii="Arial" w:eastAsia="Arial" w:hAnsi="Arial" w:cs="Arial"/>
          <w:color w:val="000000"/>
          <w:u w:val="single"/>
        </w:rPr>
        <w:t xml:space="preserve"> </w:t>
      </w:r>
      <w:proofErr w:type="spellStart"/>
      <w:r w:rsidRPr="002B75E4">
        <w:rPr>
          <w:rFonts w:ascii="Arial" w:eastAsia="Arial" w:hAnsi="Arial" w:cs="Arial"/>
          <w:color w:val="000000"/>
          <w:u w:val="single"/>
        </w:rPr>
        <w:t>těchto</w:t>
      </w:r>
      <w:proofErr w:type="spellEnd"/>
      <w:r w:rsidRPr="002B75E4">
        <w:rPr>
          <w:rFonts w:ascii="Arial" w:eastAsia="Arial" w:hAnsi="Arial" w:cs="Arial"/>
          <w:color w:val="000000"/>
          <w:u w:val="single"/>
        </w:rPr>
        <w:t xml:space="preserve"> </w:t>
      </w:r>
      <w:proofErr w:type="spellStart"/>
      <w:r w:rsidRPr="002B75E4">
        <w:rPr>
          <w:rFonts w:ascii="Arial" w:eastAsia="Arial" w:hAnsi="Arial" w:cs="Arial"/>
          <w:color w:val="000000"/>
          <w:u w:val="single"/>
        </w:rPr>
        <w:t>problémů</w:t>
      </w:r>
      <w:proofErr w:type="spellEnd"/>
    </w:p>
    <w:p w14:paraId="2BC4F7DA" w14:textId="7B0652A7" w:rsidR="00647EE0" w:rsidRDefault="00647EE0" w:rsidP="00647EE0">
      <w:pPr>
        <w:spacing w:after="120" w:line="264" w:lineRule="auto"/>
        <w:ind w:left="119" w:right="121"/>
        <w:jc w:val="both"/>
        <w:rPr>
          <w:rFonts w:ascii="Arial" w:eastAsia="Arial" w:hAnsi="Arial" w:cs="Arial"/>
          <w:color w:val="000000"/>
        </w:rPr>
      </w:pPr>
      <w:proofErr w:type="spellStart"/>
      <w:r w:rsidRPr="0077025C">
        <w:rPr>
          <w:rFonts w:ascii="Arial" w:eastAsia="Arial" w:hAnsi="Arial" w:cs="Arial"/>
          <w:color w:val="000000"/>
        </w:rPr>
        <w:t>Realizaci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projektů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výrazně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ovlivňuje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situace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na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trhu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práce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, </w:t>
      </w:r>
      <w:proofErr w:type="spellStart"/>
      <w:r w:rsidRPr="0077025C">
        <w:rPr>
          <w:rFonts w:ascii="Arial" w:eastAsia="Arial" w:hAnsi="Arial" w:cs="Arial"/>
          <w:color w:val="000000"/>
        </w:rPr>
        <w:t>která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prošla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od </w:t>
      </w:r>
      <w:proofErr w:type="spellStart"/>
      <w:r w:rsidRPr="0077025C">
        <w:rPr>
          <w:rFonts w:ascii="Arial" w:eastAsia="Arial" w:hAnsi="Arial" w:cs="Arial"/>
          <w:color w:val="000000"/>
        </w:rPr>
        <w:t>roku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2012 </w:t>
      </w:r>
      <w:proofErr w:type="spellStart"/>
      <w:r w:rsidRPr="0077025C">
        <w:rPr>
          <w:rFonts w:ascii="Arial" w:eastAsia="Arial" w:hAnsi="Arial" w:cs="Arial"/>
          <w:color w:val="000000"/>
        </w:rPr>
        <w:t>zásadní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změnou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. </w:t>
      </w:r>
      <w:proofErr w:type="spellStart"/>
      <w:r w:rsidRPr="0077025C">
        <w:rPr>
          <w:rFonts w:ascii="Arial" w:eastAsia="Arial" w:hAnsi="Arial" w:cs="Arial"/>
          <w:color w:val="000000"/>
        </w:rPr>
        <w:t>Míra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nezaměstnanosti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mládeže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v </w:t>
      </w:r>
      <w:proofErr w:type="spellStart"/>
      <w:r w:rsidRPr="0077025C">
        <w:rPr>
          <w:rFonts w:ascii="Arial" w:eastAsia="Arial" w:hAnsi="Arial" w:cs="Arial"/>
          <w:color w:val="000000"/>
        </w:rPr>
        <w:t>regionu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NUTS II </w:t>
      </w:r>
      <w:proofErr w:type="spellStart"/>
      <w:r w:rsidRPr="0077025C">
        <w:rPr>
          <w:rFonts w:ascii="Arial" w:eastAsia="Arial" w:hAnsi="Arial" w:cs="Arial"/>
          <w:color w:val="000000"/>
        </w:rPr>
        <w:t>Severozápad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značně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poklesla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a </w:t>
      </w:r>
      <w:proofErr w:type="spellStart"/>
      <w:r w:rsidRPr="0077025C">
        <w:rPr>
          <w:rFonts w:ascii="Arial" w:eastAsia="Arial" w:hAnsi="Arial" w:cs="Arial"/>
          <w:color w:val="000000"/>
        </w:rPr>
        <w:t>příjemci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obtížně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získávají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cílovou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skupinu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. ŘO OPZ </w:t>
      </w:r>
      <w:proofErr w:type="spellStart"/>
      <w:r w:rsidRPr="0077025C">
        <w:rPr>
          <w:rFonts w:ascii="Arial" w:eastAsia="Arial" w:hAnsi="Arial" w:cs="Arial"/>
          <w:color w:val="000000"/>
        </w:rPr>
        <w:t>přijal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řadu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opatření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, </w:t>
      </w:r>
      <w:proofErr w:type="spellStart"/>
      <w:r w:rsidRPr="0077025C">
        <w:rPr>
          <w:rFonts w:ascii="Arial" w:eastAsia="Arial" w:hAnsi="Arial" w:cs="Arial"/>
          <w:color w:val="000000"/>
        </w:rPr>
        <w:t>která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byla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uplatněna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napříč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všemi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projekty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realizovanými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ve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výzvách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č. </w:t>
      </w:r>
      <w:r w:rsidRPr="00833271">
        <w:rPr>
          <w:rFonts w:ascii="Arial" w:eastAsia="Arial" w:hAnsi="Arial" w:cs="Arial"/>
          <w:b/>
          <w:bCs/>
          <w:color w:val="000000"/>
        </w:rPr>
        <w:t>3</w:t>
      </w:r>
      <w:r w:rsidRPr="0077025C">
        <w:rPr>
          <w:rFonts w:ascii="Arial" w:eastAsia="Arial" w:hAnsi="Arial" w:cs="Arial"/>
          <w:color w:val="000000"/>
        </w:rPr>
        <w:t xml:space="preserve"> a </w:t>
      </w:r>
      <w:r w:rsidRPr="00833271">
        <w:rPr>
          <w:rFonts w:ascii="Arial" w:eastAsia="Arial" w:hAnsi="Arial" w:cs="Arial"/>
          <w:b/>
          <w:bCs/>
          <w:color w:val="000000"/>
        </w:rPr>
        <w:t>116</w:t>
      </w:r>
      <w:r w:rsidRPr="0077025C">
        <w:rPr>
          <w:rFonts w:ascii="Arial" w:eastAsia="Arial" w:hAnsi="Arial" w:cs="Arial"/>
          <w:color w:val="000000"/>
        </w:rPr>
        <w:t xml:space="preserve">. </w:t>
      </w:r>
      <w:proofErr w:type="spellStart"/>
      <w:r w:rsidRPr="0077025C">
        <w:rPr>
          <w:rFonts w:ascii="Arial" w:eastAsia="Arial" w:hAnsi="Arial" w:cs="Arial"/>
          <w:color w:val="000000"/>
        </w:rPr>
        <w:t>Zároveň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bylo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ÚP ČR </w:t>
      </w:r>
      <w:proofErr w:type="spellStart"/>
      <w:r w:rsidRPr="0077025C">
        <w:rPr>
          <w:rFonts w:ascii="Arial" w:eastAsia="Arial" w:hAnsi="Arial" w:cs="Arial"/>
          <w:color w:val="000000"/>
        </w:rPr>
        <w:t>schváleno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prodloužení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realizace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projektů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výzvy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č. 3 do </w:t>
      </w:r>
      <w:proofErr w:type="spellStart"/>
      <w:r w:rsidR="002B75E4">
        <w:rPr>
          <w:rFonts w:ascii="Arial" w:eastAsia="Arial" w:hAnsi="Arial" w:cs="Arial"/>
          <w:color w:val="000000"/>
        </w:rPr>
        <w:t>května</w:t>
      </w:r>
      <w:proofErr w:type="spellEnd"/>
      <w:r w:rsidR="002B75E4">
        <w:rPr>
          <w:rFonts w:ascii="Arial" w:eastAsia="Arial" w:hAnsi="Arial" w:cs="Arial"/>
          <w:color w:val="000000"/>
        </w:rPr>
        <w:t xml:space="preserve"> </w:t>
      </w:r>
      <w:r w:rsidRPr="0077025C">
        <w:rPr>
          <w:rFonts w:ascii="Arial" w:eastAsia="Arial" w:hAnsi="Arial" w:cs="Arial"/>
          <w:color w:val="000000"/>
        </w:rPr>
        <w:t xml:space="preserve">2019 a </w:t>
      </w:r>
      <w:proofErr w:type="spellStart"/>
      <w:r w:rsidR="002B75E4">
        <w:rPr>
          <w:rFonts w:ascii="Arial" w:eastAsia="Arial" w:hAnsi="Arial" w:cs="Arial"/>
          <w:color w:val="000000"/>
        </w:rPr>
        <w:t>července</w:t>
      </w:r>
      <w:proofErr w:type="spellEnd"/>
      <w:r w:rsidR="002B75E4">
        <w:rPr>
          <w:rFonts w:ascii="Arial" w:eastAsia="Arial" w:hAnsi="Arial" w:cs="Arial"/>
          <w:color w:val="000000"/>
        </w:rPr>
        <w:t xml:space="preserve"> </w:t>
      </w:r>
      <w:r w:rsidRPr="0077025C">
        <w:rPr>
          <w:rFonts w:ascii="Arial" w:eastAsia="Arial" w:hAnsi="Arial" w:cs="Arial"/>
          <w:color w:val="000000"/>
        </w:rPr>
        <w:t xml:space="preserve">2019. </w:t>
      </w:r>
      <w:proofErr w:type="spellStart"/>
      <w:r w:rsidRPr="0077025C">
        <w:rPr>
          <w:rFonts w:ascii="Arial" w:eastAsia="Arial" w:hAnsi="Arial" w:cs="Arial"/>
          <w:color w:val="000000"/>
        </w:rPr>
        <w:t>Vzhledem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k </w:t>
      </w:r>
      <w:proofErr w:type="spellStart"/>
      <w:r w:rsidRPr="0077025C">
        <w:rPr>
          <w:rFonts w:ascii="Arial" w:eastAsia="Arial" w:hAnsi="Arial" w:cs="Arial"/>
          <w:color w:val="000000"/>
        </w:rPr>
        <w:t>možnosti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realokace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max. 10 % </w:t>
      </w:r>
      <w:proofErr w:type="spellStart"/>
      <w:r w:rsidRPr="0077025C">
        <w:rPr>
          <w:rFonts w:ascii="Arial" w:eastAsia="Arial" w:hAnsi="Arial" w:cs="Arial"/>
          <w:color w:val="000000"/>
        </w:rPr>
        <w:t>prostředků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YEI do </w:t>
      </w:r>
      <w:proofErr w:type="spellStart"/>
      <w:r w:rsidRPr="0077025C">
        <w:rPr>
          <w:rFonts w:ascii="Arial" w:eastAsia="Arial" w:hAnsi="Arial" w:cs="Arial"/>
          <w:color w:val="000000"/>
        </w:rPr>
        <w:t>dalších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regionů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s </w:t>
      </w:r>
      <w:proofErr w:type="spellStart"/>
      <w:r w:rsidRPr="0077025C">
        <w:rPr>
          <w:rFonts w:ascii="Arial" w:eastAsia="Arial" w:hAnsi="Arial" w:cs="Arial"/>
          <w:color w:val="000000"/>
        </w:rPr>
        <w:t>vysokou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mírou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nezaměstnanosti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mladých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, </w:t>
      </w:r>
      <w:proofErr w:type="spellStart"/>
      <w:r w:rsidRPr="0077025C">
        <w:rPr>
          <w:rFonts w:ascii="Arial" w:eastAsia="Arial" w:hAnsi="Arial" w:cs="Arial"/>
          <w:color w:val="000000"/>
        </w:rPr>
        <w:t>které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se </w:t>
      </w:r>
      <w:proofErr w:type="spellStart"/>
      <w:r w:rsidRPr="0077025C">
        <w:rPr>
          <w:rFonts w:ascii="Arial" w:eastAsia="Arial" w:hAnsi="Arial" w:cs="Arial"/>
          <w:color w:val="000000"/>
        </w:rPr>
        <w:t>nacházejí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mimo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způsobilý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Ústecký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a </w:t>
      </w:r>
      <w:proofErr w:type="spellStart"/>
      <w:r w:rsidRPr="0077025C">
        <w:rPr>
          <w:rFonts w:ascii="Arial" w:eastAsia="Arial" w:hAnsi="Arial" w:cs="Arial"/>
          <w:color w:val="000000"/>
        </w:rPr>
        <w:t>Karlovarský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kraj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(NUTS II </w:t>
      </w:r>
      <w:proofErr w:type="spellStart"/>
      <w:r w:rsidRPr="0077025C">
        <w:rPr>
          <w:rFonts w:ascii="Arial" w:eastAsia="Arial" w:hAnsi="Arial" w:cs="Arial"/>
          <w:color w:val="000000"/>
        </w:rPr>
        <w:t>Severozápad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), </w:t>
      </w:r>
      <w:proofErr w:type="spellStart"/>
      <w:r w:rsidRPr="0077025C">
        <w:rPr>
          <w:rFonts w:ascii="Arial" w:eastAsia="Arial" w:hAnsi="Arial" w:cs="Arial"/>
          <w:color w:val="000000"/>
        </w:rPr>
        <w:t>bylo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v </w:t>
      </w:r>
      <w:proofErr w:type="spellStart"/>
      <w:r w:rsidRPr="0077025C">
        <w:rPr>
          <w:rFonts w:ascii="Arial" w:eastAsia="Arial" w:hAnsi="Arial" w:cs="Arial"/>
          <w:color w:val="000000"/>
        </w:rPr>
        <w:t>roce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2017 </w:t>
      </w:r>
      <w:proofErr w:type="spellStart"/>
      <w:r w:rsidRPr="0077025C">
        <w:rPr>
          <w:rFonts w:ascii="Arial" w:eastAsia="Arial" w:hAnsi="Arial" w:cs="Arial"/>
          <w:color w:val="000000"/>
        </w:rPr>
        <w:t>rozhodnuto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o </w:t>
      </w:r>
      <w:proofErr w:type="spellStart"/>
      <w:r w:rsidRPr="0077025C">
        <w:rPr>
          <w:rFonts w:ascii="Arial" w:eastAsia="Arial" w:hAnsi="Arial" w:cs="Arial"/>
          <w:color w:val="000000"/>
        </w:rPr>
        <w:t>vyhlášení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soutěžní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výzvy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č. </w:t>
      </w:r>
      <w:r w:rsidRPr="00833271">
        <w:rPr>
          <w:rFonts w:ascii="Arial" w:eastAsia="Arial" w:hAnsi="Arial" w:cs="Arial"/>
          <w:b/>
          <w:bCs/>
          <w:color w:val="000000"/>
        </w:rPr>
        <w:t>91</w:t>
      </w:r>
      <w:r w:rsidRPr="0077025C">
        <w:rPr>
          <w:rFonts w:ascii="Arial" w:eastAsia="Arial" w:hAnsi="Arial" w:cs="Arial"/>
          <w:color w:val="000000"/>
        </w:rPr>
        <w:t xml:space="preserve"> pro </w:t>
      </w:r>
      <w:proofErr w:type="spellStart"/>
      <w:r w:rsidRPr="0077025C">
        <w:rPr>
          <w:rFonts w:ascii="Arial" w:eastAsia="Arial" w:hAnsi="Arial" w:cs="Arial"/>
          <w:color w:val="000000"/>
        </w:rPr>
        <w:t>Ústecký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, </w:t>
      </w:r>
      <w:proofErr w:type="spellStart"/>
      <w:r w:rsidRPr="0077025C">
        <w:rPr>
          <w:rFonts w:ascii="Arial" w:eastAsia="Arial" w:hAnsi="Arial" w:cs="Arial"/>
          <w:color w:val="000000"/>
        </w:rPr>
        <w:t>Karlovarský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a </w:t>
      </w:r>
      <w:proofErr w:type="spellStart"/>
      <w:r w:rsidRPr="0077025C">
        <w:rPr>
          <w:rFonts w:ascii="Arial" w:eastAsia="Arial" w:hAnsi="Arial" w:cs="Arial"/>
          <w:color w:val="000000"/>
        </w:rPr>
        <w:t>nově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také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Moravskoslezský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kraj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, </w:t>
      </w:r>
      <w:proofErr w:type="spellStart"/>
      <w:r w:rsidRPr="0077025C">
        <w:rPr>
          <w:rFonts w:ascii="Arial" w:eastAsia="Arial" w:hAnsi="Arial" w:cs="Arial"/>
          <w:color w:val="000000"/>
        </w:rPr>
        <w:t>který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rovněž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dosahuje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vyšší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podíl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nezaměstnanosti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mladých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do 30 let. Oba </w:t>
      </w:r>
      <w:proofErr w:type="spellStart"/>
      <w:r w:rsidRPr="0077025C">
        <w:rPr>
          <w:rFonts w:ascii="Arial" w:eastAsia="Arial" w:hAnsi="Arial" w:cs="Arial"/>
          <w:color w:val="000000"/>
        </w:rPr>
        <w:t>projekty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, </w:t>
      </w:r>
      <w:proofErr w:type="spellStart"/>
      <w:r w:rsidRPr="0077025C">
        <w:rPr>
          <w:rFonts w:ascii="Arial" w:eastAsia="Arial" w:hAnsi="Arial" w:cs="Arial"/>
          <w:color w:val="000000"/>
        </w:rPr>
        <w:t>které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byly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realizovány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v </w:t>
      </w:r>
      <w:proofErr w:type="spellStart"/>
      <w:r w:rsidRPr="0077025C">
        <w:rPr>
          <w:rFonts w:ascii="Arial" w:eastAsia="Arial" w:hAnsi="Arial" w:cs="Arial"/>
          <w:color w:val="000000"/>
        </w:rPr>
        <w:t>rámci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této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výzvy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, </w:t>
      </w:r>
      <w:proofErr w:type="spellStart"/>
      <w:r w:rsidRPr="0077025C">
        <w:rPr>
          <w:rFonts w:ascii="Arial" w:eastAsia="Arial" w:hAnsi="Arial" w:cs="Arial"/>
          <w:color w:val="000000"/>
        </w:rPr>
        <w:t>ukončily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realizaci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v </w:t>
      </w:r>
      <w:proofErr w:type="spellStart"/>
      <w:r w:rsidRPr="0077025C">
        <w:rPr>
          <w:rFonts w:ascii="Arial" w:eastAsia="Arial" w:hAnsi="Arial" w:cs="Arial"/>
          <w:color w:val="000000"/>
        </w:rPr>
        <w:t>roce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2019. Na </w:t>
      </w:r>
      <w:proofErr w:type="spellStart"/>
      <w:r w:rsidRPr="0077025C">
        <w:rPr>
          <w:rFonts w:ascii="Arial" w:eastAsia="Arial" w:hAnsi="Arial" w:cs="Arial"/>
          <w:color w:val="000000"/>
        </w:rPr>
        <w:t>základě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potřeby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dotčených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regionů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byla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vyhlášena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výzva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č. </w:t>
      </w:r>
      <w:r w:rsidRPr="00833271">
        <w:rPr>
          <w:rFonts w:ascii="Arial" w:eastAsia="Arial" w:hAnsi="Arial" w:cs="Arial"/>
          <w:b/>
          <w:bCs/>
          <w:color w:val="000000"/>
        </w:rPr>
        <w:t>136</w:t>
      </w:r>
      <w:r w:rsidRPr="0077025C">
        <w:rPr>
          <w:rFonts w:ascii="Arial" w:eastAsia="Arial" w:hAnsi="Arial" w:cs="Arial"/>
          <w:color w:val="000000"/>
        </w:rPr>
        <w:t xml:space="preserve">, </w:t>
      </w:r>
      <w:proofErr w:type="spellStart"/>
      <w:r w:rsidRPr="0077025C">
        <w:rPr>
          <w:rFonts w:ascii="Arial" w:eastAsia="Arial" w:hAnsi="Arial" w:cs="Arial"/>
          <w:color w:val="000000"/>
        </w:rPr>
        <w:t>která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má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za </w:t>
      </w:r>
      <w:proofErr w:type="spellStart"/>
      <w:r w:rsidRPr="0077025C">
        <w:rPr>
          <w:rFonts w:ascii="Arial" w:eastAsia="Arial" w:hAnsi="Arial" w:cs="Arial"/>
          <w:color w:val="000000"/>
        </w:rPr>
        <w:t>cíl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podporovat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mladé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lidi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s </w:t>
      </w:r>
      <w:proofErr w:type="spellStart"/>
      <w:r w:rsidRPr="0077025C">
        <w:rPr>
          <w:rFonts w:ascii="Arial" w:eastAsia="Arial" w:hAnsi="Arial" w:cs="Arial"/>
          <w:color w:val="000000"/>
        </w:rPr>
        <w:t>kumulací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hendikepů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. Tato </w:t>
      </w:r>
      <w:proofErr w:type="spellStart"/>
      <w:r w:rsidRPr="0077025C">
        <w:rPr>
          <w:rFonts w:ascii="Arial" w:eastAsia="Arial" w:hAnsi="Arial" w:cs="Arial"/>
          <w:color w:val="000000"/>
        </w:rPr>
        <w:t>cílová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skupina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je bez </w:t>
      </w:r>
      <w:proofErr w:type="spellStart"/>
      <w:r w:rsidRPr="0077025C">
        <w:rPr>
          <w:rFonts w:ascii="Arial" w:eastAsia="Arial" w:hAnsi="Arial" w:cs="Arial"/>
          <w:color w:val="000000"/>
        </w:rPr>
        <w:t>větší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cílené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podpory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jen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těžko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umístitelná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na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trh</w:t>
      </w:r>
      <w:proofErr w:type="spellEnd"/>
      <w:r w:rsidRPr="0077025C">
        <w:rPr>
          <w:rFonts w:ascii="Arial" w:eastAsia="Arial" w:hAnsi="Arial" w:cs="Arial"/>
          <w:color w:val="000000"/>
        </w:rPr>
        <w:t xml:space="preserve"> </w:t>
      </w:r>
      <w:proofErr w:type="spellStart"/>
      <w:r w:rsidRPr="0077025C">
        <w:rPr>
          <w:rFonts w:ascii="Arial" w:eastAsia="Arial" w:hAnsi="Arial" w:cs="Arial"/>
          <w:color w:val="000000"/>
        </w:rPr>
        <w:t>práce</w:t>
      </w:r>
      <w:proofErr w:type="spellEnd"/>
      <w:r w:rsidRPr="0077025C">
        <w:rPr>
          <w:rFonts w:ascii="Arial" w:eastAsia="Arial" w:hAnsi="Arial" w:cs="Arial"/>
          <w:color w:val="000000"/>
        </w:rPr>
        <w:t>.</w:t>
      </w:r>
    </w:p>
    <w:p w14:paraId="5CDF54BA" w14:textId="7C7E8875" w:rsidR="00647EE0" w:rsidRPr="0051463B" w:rsidRDefault="00647EE0" w:rsidP="00833271">
      <w:pPr>
        <w:spacing w:after="120" w:line="264" w:lineRule="auto"/>
        <w:ind w:left="119" w:right="121"/>
        <w:jc w:val="both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color w:val="000000"/>
        </w:rPr>
        <w:t>Realizovaný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projekt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ve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výzvě</w:t>
      </w:r>
      <w:proofErr w:type="spellEnd"/>
      <w:r>
        <w:rPr>
          <w:rFonts w:ascii="Arial" w:eastAsia="Arial" w:hAnsi="Arial" w:cs="Arial"/>
          <w:color w:val="000000"/>
        </w:rPr>
        <w:t xml:space="preserve"> č. </w:t>
      </w:r>
      <w:r w:rsidRPr="00833271">
        <w:rPr>
          <w:rFonts w:ascii="Arial" w:eastAsia="Arial" w:hAnsi="Arial" w:cs="Arial"/>
          <w:b/>
          <w:bCs/>
          <w:color w:val="000000"/>
        </w:rPr>
        <w:t>136</w:t>
      </w:r>
      <w:r>
        <w:rPr>
          <w:rFonts w:ascii="Arial" w:eastAsia="Arial" w:hAnsi="Arial" w:cs="Arial"/>
          <w:color w:val="000000"/>
        </w:rPr>
        <w:t xml:space="preserve"> se od </w:t>
      </w:r>
      <w:proofErr w:type="spellStart"/>
      <w:r>
        <w:rPr>
          <w:rFonts w:ascii="Arial" w:eastAsia="Arial" w:hAnsi="Arial" w:cs="Arial"/>
          <w:color w:val="000000"/>
        </w:rPr>
        <w:t>počátku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relizace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potýká</w:t>
      </w:r>
      <w:proofErr w:type="spellEnd"/>
      <w:r>
        <w:rPr>
          <w:rFonts w:ascii="Arial" w:eastAsia="Arial" w:hAnsi="Arial" w:cs="Arial"/>
          <w:color w:val="000000"/>
        </w:rPr>
        <w:t xml:space="preserve"> s </w:t>
      </w:r>
      <w:proofErr w:type="spellStart"/>
      <w:r>
        <w:rPr>
          <w:rFonts w:ascii="Arial" w:eastAsia="Arial" w:hAnsi="Arial" w:cs="Arial"/>
          <w:color w:val="000000"/>
        </w:rPr>
        <w:t>problémy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spojenými</w:t>
      </w:r>
      <w:proofErr w:type="spellEnd"/>
      <w:r>
        <w:rPr>
          <w:rFonts w:ascii="Arial" w:eastAsia="Arial" w:hAnsi="Arial" w:cs="Arial"/>
          <w:color w:val="000000"/>
        </w:rPr>
        <w:t xml:space="preserve"> s </w:t>
      </w:r>
      <w:proofErr w:type="spellStart"/>
      <w:r>
        <w:rPr>
          <w:rFonts w:ascii="Arial" w:eastAsia="Arial" w:hAnsi="Arial" w:cs="Arial"/>
          <w:color w:val="000000"/>
        </w:rPr>
        <w:t>nedostatečnými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personálními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kapacitami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na</w:t>
      </w:r>
      <w:proofErr w:type="spellEnd"/>
      <w:r>
        <w:rPr>
          <w:rFonts w:ascii="Arial" w:eastAsia="Arial" w:hAnsi="Arial" w:cs="Arial"/>
          <w:color w:val="000000"/>
        </w:rPr>
        <w:t xml:space="preserve"> ÚP ČR, </w:t>
      </w:r>
      <w:proofErr w:type="spellStart"/>
      <w:r>
        <w:rPr>
          <w:rFonts w:ascii="Arial" w:eastAsia="Arial" w:hAnsi="Arial" w:cs="Arial"/>
          <w:color w:val="000000"/>
        </w:rPr>
        <w:t>které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byly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způsobené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systemizací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platnou</w:t>
      </w:r>
      <w:proofErr w:type="spellEnd"/>
      <w:r>
        <w:rPr>
          <w:rFonts w:ascii="Arial" w:eastAsia="Arial" w:hAnsi="Arial" w:cs="Arial"/>
          <w:color w:val="000000"/>
        </w:rPr>
        <w:t xml:space="preserve"> od 1. 6. 2020. Do </w:t>
      </w:r>
      <w:proofErr w:type="spellStart"/>
      <w:r>
        <w:rPr>
          <w:rFonts w:ascii="Arial" w:eastAsia="Arial" w:hAnsi="Arial" w:cs="Arial"/>
          <w:color w:val="000000"/>
        </w:rPr>
        <w:t>tohoto</w:t>
      </w:r>
      <w:proofErr w:type="spellEnd"/>
      <w:r>
        <w:rPr>
          <w:rFonts w:ascii="Arial" w:eastAsia="Arial" w:hAnsi="Arial" w:cs="Arial"/>
          <w:color w:val="000000"/>
        </w:rPr>
        <w:t xml:space="preserve"> data </w:t>
      </w:r>
      <w:proofErr w:type="spellStart"/>
      <w:r>
        <w:rPr>
          <w:rFonts w:ascii="Arial" w:eastAsia="Arial" w:hAnsi="Arial" w:cs="Arial"/>
          <w:color w:val="000000"/>
        </w:rPr>
        <w:t>nebylo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možné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vypisovat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nová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výběrová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řízení</w:t>
      </w:r>
      <w:proofErr w:type="spellEnd"/>
      <w:r>
        <w:rPr>
          <w:rFonts w:ascii="Arial" w:eastAsia="Arial" w:hAnsi="Arial" w:cs="Arial"/>
          <w:color w:val="000000"/>
        </w:rPr>
        <w:t xml:space="preserve">. ÚP ČR </w:t>
      </w:r>
      <w:proofErr w:type="spellStart"/>
      <w:r>
        <w:rPr>
          <w:rFonts w:ascii="Arial" w:eastAsia="Arial" w:hAnsi="Arial" w:cs="Arial"/>
          <w:color w:val="000000"/>
        </w:rPr>
        <w:t>následně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opakovaně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 w:rsidR="002B75E4">
        <w:rPr>
          <w:rFonts w:ascii="Arial" w:eastAsia="Arial" w:hAnsi="Arial" w:cs="Arial"/>
          <w:color w:val="000000"/>
        </w:rPr>
        <w:lastRenderedPageBreak/>
        <w:t>výběrová</w:t>
      </w:r>
      <w:proofErr w:type="spellEnd"/>
      <w:r w:rsidR="002B75E4">
        <w:rPr>
          <w:rFonts w:ascii="Arial" w:eastAsia="Arial" w:hAnsi="Arial" w:cs="Arial"/>
          <w:color w:val="000000"/>
        </w:rPr>
        <w:t xml:space="preserve"> </w:t>
      </w:r>
      <w:proofErr w:type="spellStart"/>
      <w:r w:rsidR="002B75E4">
        <w:rPr>
          <w:rFonts w:ascii="Arial" w:eastAsia="Arial" w:hAnsi="Arial" w:cs="Arial"/>
          <w:color w:val="000000"/>
        </w:rPr>
        <w:t>řízení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na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pozice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členů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realizačního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týmu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vypisoval</w:t>
      </w:r>
      <w:proofErr w:type="spellEnd"/>
      <w:r>
        <w:rPr>
          <w:rFonts w:ascii="Arial" w:eastAsia="Arial" w:hAnsi="Arial" w:cs="Arial"/>
          <w:color w:val="000000"/>
        </w:rPr>
        <w:t xml:space="preserve"> a </w:t>
      </w:r>
      <w:proofErr w:type="spellStart"/>
      <w:r>
        <w:rPr>
          <w:rFonts w:ascii="Arial" w:eastAsia="Arial" w:hAnsi="Arial" w:cs="Arial"/>
          <w:color w:val="000000"/>
        </w:rPr>
        <w:t>ve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druhé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polovině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roku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kapacity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naplnil</w:t>
      </w:r>
      <w:proofErr w:type="spellEnd"/>
      <w:r>
        <w:rPr>
          <w:rFonts w:ascii="Arial" w:eastAsia="Arial" w:hAnsi="Arial" w:cs="Arial"/>
          <w:color w:val="000000"/>
        </w:rPr>
        <w:t xml:space="preserve">. </w:t>
      </w:r>
      <w:r w:rsidRPr="00B90B55">
        <w:rPr>
          <w:rFonts w:ascii="Arial" w:eastAsia="Arial" w:hAnsi="Arial" w:cs="Arial"/>
          <w:color w:val="000000"/>
        </w:rPr>
        <w:t xml:space="preserve">V </w:t>
      </w:r>
      <w:proofErr w:type="spellStart"/>
      <w:r w:rsidRPr="00B90B55">
        <w:rPr>
          <w:rFonts w:ascii="Arial" w:eastAsia="Arial" w:hAnsi="Arial" w:cs="Arial"/>
          <w:color w:val="000000"/>
        </w:rPr>
        <w:t>období</w:t>
      </w:r>
      <w:proofErr w:type="spellEnd"/>
      <w:r w:rsidRPr="00B90B55">
        <w:rPr>
          <w:rFonts w:ascii="Arial" w:eastAsia="Arial" w:hAnsi="Arial" w:cs="Arial"/>
          <w:color w:val="000000"/>
        </w:rPr>
        <w:t xml:space="preserve"> od </w:t>
      </w:r>
      <w:proofErr w:type="spellStart"/>
      <w:r w:rsidRPr="00B90B55">
        <w:rPr>
          <w:rFonts w:ascii="Arial" w:eastAsia="Arial" w:hAnsi="Arial" w:cs="Arial"/>
          <w:color w:val="000000"/>
        </w:rPr>
        <w:t>března</w:t>
      </w:r>
      <w:proofErr w:type="spellEnd"/>
      <w:r w:rsidRPr="00B90B55">
        <w:rPr>
          <w:rFonts w:ascii="Arial" w:eastAsia="Arial" w:hAnsi="Arial" w:cs="Arial"/>
          <w:color w:val="000000"/>
        </w:rPr>
        <w:t xml:space="preserve"> 2020 </w:t>
      </w:r>
      <w:proofErr w:type="spellStart"/>
      <w:r w:rsidRPr="00B90B55">
        <w:rPr>
          <w:rFonts w:ascii="Arial" w:eastAsia="Arial" w:hAnsi="Arial" w:cs="Arial"/>
          <w:color w:val="000000"/>
        </w:rPr>
        <w:t>byla</w:t>
      </w:r>
      <w:proofErr w:type="spellEnd"/>
      <w:r w:rsidRPr="00B90B55">
        <w:rPr>
          <w:rFonts w:ascii="Arial" w:eastAsia="Arial" w:hAnsi="Arial" w:cs="Arial"/>
          <w:color w:val="000000"/>
        </w:rPr>
        <w:t xml:space="preserve"> </w:t>
      </w:r>
      <w:proofErr w:type="spellStart"/>
      <w:r w:rsidRPr="00B90B55">
        <w:rPr>
          <w:rFonts w:ascii="Arial" w:eastAsia="Arial" w:hAnsi="Arial" w:cs="Arial"/>
          <w:color w:val="000000"/>
        </w:rPr>
        <w:t>realizace</w:t>
      </w:r>
      <w:proofErr w:type="spellEnd"/>
      <w:r w:rsidRPr="00B90B55">
        <w:rPr>
          <w:rFonts w:ascii="Arial" w:eastAsia="Arial" w:hAnsi="Arial" w:cs="Arial"/>
          <w:color w:val="000000"/>
        </w:rPr>
        <w:t xml:space="preserve"> </w:t>
      </w:r>
      <w:proofErr w:type="spellStart"/>
      <w:r w:rsidRPr="00B90B55">
        <w:rPr>
          <w:rFonts w:ascii="Arial" w:eastAsia="Arial" w:hAnsi="Arial" w:cs="Arial"/>
          <w:color w:val="000000"/>
        </w:rPr>
        <w:t>projektu</w:t>
      </w:r>
      <w:proofErr w:type="spellEnd"/>
      <w:r w:rsidRPr="00B90B55">
        <w:rPr>
          <w:rFonts w:ascii="Arial" w:eastAsia="Arial" w:hAnsi="Arial" w:cs="Arial"/>
          <w:color w:val="000000"/>
        </w:rPr>
        <w:t xml:space="preserve"> </w:t>
      </w:r>
      <w:proofErr w:type="spellStart"/>
      <w:r w:rsidRPr="00B90B55">
        <w:rPr>
          <w:rFonts w:ascii="Arial" w:eastAsia="Arial" w:hAnsi="Arial" w:cs="Arial"/>
          <w:color w:val="000000"/>
        </w:rPr>
        <w:t>jednoznačně</w:t>
      </w:r>
      <w:proofErr w:type="spellEnd"/>
      <w:r w:rsidRPr="00B90B55">
        <w:rPr>
          <w:rFonts w:ascii="Arial" w:eastAsia="Arial" w:hAnsi="Arial" w:cs="Arial"/>
          <w:color w:val="000000"/>
        </w:rPr>
        <w:t xml:space="preserve"> </w:t>
      </w:r>
      <w:proofErr w:type="spellStart"/>
      <w:r w:rsidRPr="00B90B55">
        <w:rPr>
          <w:rFonts w:ascii="Arial" w:eastAsia="Arial" w:hAnsi="Arial" w:cs="Arial"/>
          <w:color w:val="000000"/>
        </w:rPr>
        <w:t>negativně</w:t>
      </w:r>
      <w:proofErr w:type="spellEnd"/>
      <w:r w:rsidRPr="00B90B55">
        <w:rPr>
          <w:rFonts w:ascii="Arial" w:eastAsia="Arial" w:hAnsi="Arial" w:cs="Arial"/>
          <w:color w:val="000000"/>
        </w:rPr>
        <w:t xml:space="preserve"> </w:t>
      </w:r>
      <w:proofErr w:type="spellStart"/>
      <w:r w:rsidRPr="00B90B55">
        <w:rPr>
          <w:rFonts w:ascii="Arial" w:eastAsia="Arial" w:hAnsi="Arial" w:cs="Arial"/>
          <w:color w:val="000000"/>
        </w:rPr>
        <w:t>ovlivněna</w:t>
      </w:r>
      <w:proofErr w:type="spellEnd"/>
      <w:r w:rsidRPr="00B90B55"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omezeními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spojenými</w:t>
      </w:r>
      <w:proofErr w:type="spellEnd"/>
      <w:r>
        <w:rPr>
          <w:rFonts w:ascii="Arial" w:eastAsia="Arial" w:hAnsi="Arial" w:cs="Arial"/>
          <w:color w:val="000000"/>
        </w:rPr>
        <w:t xml:space="preserve"> s </w:t>
      </w:r>
      <w:proofErr w:type="spellStart"/>
      <w:r>
        <w:rPr>
          <w:rFonts w:ascii="Arial" w:eastAsia="Arial" w:hAnsi="Arial" w:cs="Arial"/>
          <w:color w:val="000000"/>
        </w:rPr>
        <w:t>pandemií</w:t>
      </w:r>
      <w:proofErr w:type="spellEnd"/>
      <w:r>
        <w:rPr>
          <w:rFonts w:ascii="Arial" w:eastAsia="Arial" w:hAnsi="Arial" w:cs="Arial"/>
          <w:color w:val="000000"/>
        </w:rPr>
        <w:t xml:space="preserve"> C</w:t>
      </w:r>
      <w:r w:rsidR="00EB0D74">
        <w:rPr>
          <w:rFonts w:ascii="Arial" w:eastAsia="Arial" w:hAnsi="Arial" w:cs="Arial"/>
          <w:color w:val="000000"/>
        </w:rPr>
        <w:t>OVID-</w:t>
      </w:r>
      <w:r>
        <w:rPr>
          <w:rFonts w:ascii="Arial" w:eastAsia="Arial" w:hAnsi="Arial" w:cs="Arial"/>
          <w:color w:val="000000"/>
        </w:rPr>
        <w:t xml:space="preserve">19, </w:t>
      </w:r>
      <w:proofErr w:type="spellStart"/>
      <w:r>
        <w:rPr>
          <w:rFonts w:ascii="Arial" w:eastAsia="Arial" w:hAnsi="Arial" w:cs="Arial"/>
          <w:color w:val="000000"/>
        </w:rPr>
        <w:t>které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bránily</w:t>
      </w:r>
      <w:proofErr w:type="spellEnd"/>
      <w:r>
        <w:rPr>
          <w:rFonts w:ascii="Arial" w:eastAsia="Arial" w:hAnsi="Arial" w:cs="Arial"/>
          <w:color w:val="000000"/>
        </w:rPr>
        <w:t xml:space="preserve"> v </w:t>
      </w:r>
      <w:proofErr w:type="spellStart"/>
      <w:r>
        <w:rPr>
          <w:rFonts w:ascii="Arial" w:eastAsia="Arial" w:hAnsi="Arial" w:cs="Arial"/>
          <w:color w:val="000000"/>
        </w:rPr>
        <w:t>plné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realizaci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aktivit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spojených</w:t>
      </w:r>
      <w:proofErr w:type="spellEnd"/>
      <w:r>
        <w:rPr>
          <w:rFonts w:ascii="Arial" w:eastAsia="Arial" w:hAnsi="Arial" w:cs="Arial"/>
          <w:color w:val="000000"/>
        </w:rPr>
        <w:t xml:space="preserve"> s </w:t>
      </w:r>
      <w:proofErr w:type="spellStart"/>
      <w:r>
        <w:rPr>
          <w:rFonts w:ascii="Arial" w:eastAsia="Arial" w:hAnsi="Arial" w:cs="Arial"/>
          <w:color w:val="000000"/>
        </w:rPr>
        <w:t>přímou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prací</w:t>
      </w:r>
      <w:proofErr w:type="spellEnd"/>
      <w:r>
        <w:rPr>
          <w:rFonts w:ascii="Arial" w:eastAsia="Arial" w:hAnsi="Arial" w:cs="Arial"/>
          <w:color w:val="000000"/>
        </w:rPr>
        <w:t xml:space="preserve"> s </w:t>
      </w:r>
      <w:proofErr w:type="spellStart"/>
      <w:r>
        <w:rPr>
          <w:rFonts w:ascii="Arial" w:eastAsia="Arial" w:hAnsi="Arial" w:cs="Arial"/>
          <w:color w:val="000000"/>
        </w:rPr>
        <w:t>klienty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projektu</w:t>
      </w:r>
      <w:proofErr w:type="spellEnd"/>
      <w:r>
        <w:rPr>
          <w:rFonts w:ascii="Arial" w:eastAsia="Arial" w:hAnsi="Arial" w:cs="Arial"/>
          <w:color w:val="000000"/>
        </w:rPr>
        <w:t xml:space="preserve">, </w:t>
      </w:r>
      <w:proofErr w:type="spellStart"/>
      <w:r>
        <w:rPr>
          <w:rFonts w:ascii="Arial" w:eastAsia="Arial" w:hAnsi="Arial" w:cs="Arial"/>
          <w:color w:val="000000"/>
        </w:rPr>
        <w:t>což</w:t>
      </w:r>
      <w:proofErr w:type="spellEnd"/>
      <w:r>
        <w:rPr>
          <w:rFonts w:ascii="Arial" w:eastAsia="Arial" w:hAnsi="Arial" w:cs="Arial"/>
          <w:color w:val="000000"/>
        </w:rPr>
        <w:t xml:space="preserve"> se </w:t>
      </w:r>
      <w:proofErr w:type="spellStart"/>
      <w:r>
        <w:rPr>
          <w:rFonts w:ascii="Arial" w:eastAsia="Arial" w:hAnsi="Arial" w:cs="Arial"/>
          <w:color w:val="000000"/>
        </w:rPr>
        <w:t>negativně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projevilo</w:t>
      </w:r>
      <w:proofErr w:type="spellEnd"/>
      <w:r w:rsidRPr="00B90B55">
        <w:rPr>
          <w:rFonts w:ascii="Arial" w:eastAsia="Arial" w:hAnsi="Arial" w:cs="Arial"/>
          <w:color w:val="000000"/>
        </w:rPr>
        <w:t xml:space="preserve"> v </w:t>
      </w:r>
      <w:proofErr w:type="spellStart"/>
      <w:r w:rsidRPr="00B90B55">
        <w:rPr>
          <w:rFonts w:ascii="Arial" w:eastAsia="Arial" w:hAnsi="Arial" w:cs="Arial"/>
          <w:color w:val="000000"/>
        </w:rPr>
        <w:t>plnění</w:t>
      </w:r>
      <w:proofErr w:type="spellEnd"/>
      <w:r w:rsidRPr="00B90B55">
        <w:rPr>
          <w:rFonts w:ascii="Arial" w:eastAsia="Arial" w:hAnsi="Arial" w:cs="Arial"/>
          <w:color w:val="000000"/>
        </w:rPr>
        <w:t xml:space="preserve"> </w:t>
      </w:r>
      <w:proofErr w:type="spellStart"/>
      <w:r w:rsidRPr="00B90B55">
        <w:rPr>
          <w:rFonts w:ascii="Arial" w:eastAsia="Arial" w:hAnsi="Arial" w:cs="Arial"/>
          <w:color w:val="000000"/>
        </w:rPr>
        <w:t>monitorovacích</w:t>
      </w:r>
      <w:proofErr w:type="spellEnd"/>
      <w:r w:rsidRPr="00B90B55">
        <w:rPr>
          <w:rFonts w:ascii="Arial" w:eastAsia="Arial" w:hAnsi="Arial" w:cs="Arial"/>
          <w:color w:val="000000"/>
        </w:rPr>
        <w:t xml:space="preserve"> </w:t>
      </w:r>
      <w:proofErr w:type="spellStart"/>
      <w:r w:rsidRPr="00B90B55">
        <w:rPr>
          <w:rFonts w:ascii="Arial" w:eastAsia="Arial" w:hAnsi="Arial" w:cs="Arial"/>
          <w:color w:val="000000"/>
        </w:rPr>
        <w:t>indikátorů</w:t>
      </w:r>
      <w:proofErr w:type="spellEnd"/>
      <w:r>
        <w:rPr>
          <w:rFonts w:ascii="Arial" w:eastAsia="Arial" w:hAnsi="Arial" w:cs="Arial"/>
          <w:color w:val="000000"/>
        </w:rPr>
        <w:t xml:space="preserve"> (</w:t>
      </w:r>
      <w:proofErr w:type="spellStart"/>
      <w:r>
        <w:rPr>
          <w:rFonts w:ascii="Arial" w:eastAsia="Arial" w:hAnsi="Arial" w:cs="Arial"/>
          <w:color w:val="000000"/>
        </w:rPr>
        <w:t>nenaplňování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bagatelní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podpory</w:t>
      </w:r>
      <w:proofErr w:type="spellEnd"/>
      <w:r>
        <w:rPr>
          <w:rFonts w:ascii="Arial" w:eastAsia="Arial" w:hAnsi="Arial" w:cs="Arial"/>
          <w:color w:val="000000"/>
        </w:rPr>
        <w:t>)</w:t>
      </w:r>
      <w:r w:rsidRPr="00B90B55">
        <w:rPr>
          <w:rFonts w:ascii="Arial" w:eastAsia="Arial" w:hAnsi="Arial" w:cs="Arial"/>
          <w:color w:val="000000"/>
        </w:rPr>
        <w:t xml:space="preserve"> a </w:t>
      </w:r>
      <w:proofErr w:type="spellStart"/>
      <w:r>
        <w:rPr>
          <w:rFonts w:ascii="Arial" w:eastAsia="Arial" w:hAnsi="Arial" w:cs="Arial"/>
          <w:color w:val="000000"/>
        </w:rPr>
        <w:t>nízkém</w:t>
      </w:r>
      <w:proofErr w:type="spellEnd"/>
      <w:r w:rsidRPr="00B90B55">
        <w:rPr>
          <w:rFonts w:ascii="Arial" w:eastAsia="Arial" w:hAnsi="Arial" w:cs="Arial"/>
          <w:color w:val="000000"/>
        </w:rPr>
        <w:t xml:space="preserve"> </w:t>
      </w:r>
      <w:proofErr w:type="spellStart"/>
      <w:r w:rsidRPr="00B90B55">
        <w:rPr>
          <w:rFonts w:ascii="Arial" w:eastAsia="Arial" w:hAnsi="Arial" w:cs="Arial"/>
          <w:color w:val="000000"/>
        </w:rPr>
        <w:t>čerpání</w:t>
      </w:r>
      <w:proofErr w:type="spellEnd"/>
      <w:r w:rsidRPr="00B90B55">
        <w:rPr>
          <w:rFonts w:ascii="Arial" w:eastAsia="Arial" w:hAnsi="Arial" w:cs="Arial"/>
          <w:color w:val="000000"/>
        </w:rPr>
        <w:t xml:space="preserve"> </w:t>
      </w:r>
      <w:proofErr w:type="spellStart"/>
      <w:r w:rsidRPr="00B90B55">
        <w:rPr>
          <w:rFonts w:ascii="Arial" w:eastAsia="Arial" w:hAnsi="Arial" w:cs="Arial"/>
          <w:color w:val="000000"/>
        </w:rPr>
        <w:t>rozpočtu</w:t>
      </w:r>
      <w:proofErr w:type="spellEnd"/>
      <w:r w:rsidRPr="00B90B55">
        <w:rPr>
          <w:rFonts w:ascii="Arial" w:eastAsia="Arial" w:hAnsi="Arial" w:cs="Arial"/>
          <w:color w:val="000000"/>
        </w:rPr>
        <w:t xml:space="preserve"> </w:t>
      </w:r>
      <w:proofErr w:type="spellStart"/>
      <w:r w:rsidRPr="00B90B55">
        <w:rPr>
          <w:rFonts w:ascii="Arial" w:eastAsia="Arial" w:hAnsi="Arial" w:cs="Arial"/>
          <w:color w:val="000000"/>
        </w:rPr>
        <w:t>projektu</w:t>
      </w:r>
      <w:proofErr w:type="spellEnd"/>
      <w:r w:rsidRPr="00B90B55">
        <w:rPr>
          <w:rFonts w:ascii="Arial" w:eastAsia="Arial" w:hAnsi="Arial" w:cs="Arial"/>
          <w:color w:val="000000"/>
        </w:rPr>
        <w:t xml:space="preserve">. </w:t>
      </w:r>
      <w:r>
        <w:rPr>
          <w:rFonts w:ascii="Arial" w:eastAsia="Arial" w:hAnsi="Arial" w:cs="Arial"/>
          <w:color w:val="000000"/>
        </w:rPr>
        <w:t xml:space="preserve">I </w:t>
      </w:r>
      <w:proofErr w:type="spellStart"/>
      <w:r>
        <w:rPr>
          <w:rFonts w:ascii="Arial" w:eastAsia="Arial" w:hAnsi="Arial" w:cs="Arial"/>
          <w:color w:val="000000"/>
        </w:rPr>
        <w:t>přes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přijatá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opatření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umožňující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realizaci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části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aktivit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distanční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formou</w:t>
      </w:r>
      <w:proofErr w:type="spellEnd"/>
      <w:r>
        <w:rPr>
          <w:rFonts w:ascii="Arial" w:eastAsia="Arial" w:hAnsi="Arial" w:cs="Arial"/>
          <w:color w:val="000000"/>
        </w:rPr>
        <w:t xml:space="preserve"> (online) se </w:t>
      </w:r>
      <w:proofErr w:type="spellStart"/>
      <w:r>
        <w:rPr>
          <w:rFonts w:ascii="Arial" w:eastAsia="Arial" w:hAnsi="Arial" w:cs="Arial"/>
          <w:color w:val="000000"/>
        </w:rPr>
        <w:t>ukázalo</w:t>
      </w:r>
      <w:proofErr w:type="spellEnd"/>
      <w:r>
        <w:rPr>
          <w:rFonts w:ascii="Arial" w:eastAsia="Arial" w:hAnsi="Arial" w:cs="Arial"/>
          <w:color w:val="000000"/>
        </w:rPr>
        <w:t xml:space="preserve">, </w:t>
      </w:r>
      <w:proofErr w:type="spellStart"/>
      <w:r>
        <w:rPr>
          <w:rFonts w:ascii="Arial" w:eastAsia="Arial" w:hAnsi="Arial" w:cs="Arial"/>
          <w:color w:val="000000"/>
        </w:rPr>
        <w:t>že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řada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klientů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nedisponuje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dostatečným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technickým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vybavením</w:t>
      </w:r>
      <w:proofErr w:type="spellEnd"/>
      <w:r>
        <w:rPr>
          <w:rFonts w:ascii="Arial" w:eastAsia="Arial" w:hAnsi="Arial" w:cs="Arial"/>
          <w:color w:val="000000"/>
        </w:rPr>
        <w:t xml:space="preserve">, </w:t>
      </w:r>
      <w:proofErr w:type="spellStart"/>
      <w:r>
        <w:rPr>
          <w:rFonts w:ascii="Arial" w:eastAsia="Arial" w:hAnsi="Arial" w:cs="Arial"/>
          <w:color w:val="000000"/>
        </w:rPr>
        <w:t>které</w:t>
      </w:r>
      <w:proofErr w:type="spellEnd"/>
      <w:r>
        <w:rPr>
          <w:rFonts w:ascii="Arial" w:eastAsia="Arial" w:hAnsi="Arial" w:cs="Arial"/>
          <w:color w:val="000000"/>
        </w:rPr>
        <w:t xml:space="preserve"> by </w:t>
      </w:r>
      <w:proofErr w:type="spellStart"/>
      <w:r>
        <w:rPr>
          <w:rFonts w:ascii="Arial" w:eastAsia="Arial" w:hAnsi="Arial" w:cs="Arial"/>
          <w:color w:val="000000"/>
        </w:rPr>
        <w:t>jim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tuto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formu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plnění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aktivit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umožnilo</w:t>
      </w:r>
      <w:proofErr w:type="spellEnd"/>
      <w:r>
        <w:rPr>
          <w:rFonts w:ascii="Arial" w:eastAsia="Arial" w:hAnsi="Arial" w:cs="Arial"/>
          <w:color w:val="000000"/>
        </w:rPr>
        <w:t xml:space="preserve">. </w:t>
      </w:r>
      <w:proofErr w:type="spellStart"/>
      <w:r>
        <w:rPr>
          <w:rFonts w:ascii="Arial" w:eastAsia="Arial" w:hAnsi="Arial" w:cs="Arial"/>
          <w:color w:val="000000"/>
        </w:rPr>
        <w:t>Poté</w:t>
      </w:r>
      <w:proofErr w:type="spellEnd"/>
      <w:r>
        <w:rPr>
          <w:rFonts w:ascii="Arial" w:eastAsia="Arial" w:hAnsi="Arial" w:cs="Arial"/>
          <w:color w:val="000000"/>
        </w:rPr>
        <w:t xml:space="preserve">, co se </w:t>
      </w:r>
      <w:proofErr w:type="spellStart"/>
      <w:r>
        <w:rPr>
          <w:rFonts w:ascii="Arial" w:eastAsia="Arial" w:hAnsi="Arial" w:cs="Arial"/>
          <w:color w:val="000000"/>
        </w:rPr>
        <w:t>začátkem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června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začaly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pracoviště</w:t>
      </w:r>
      <w:proofErr w:type="spellEnd"/>
      <w:r>
        <w:rPr>
          <w:rFonts w:ascii="Arial" w:eastAsia="Arial" w:hAnsi="Arial" w:cs="Arial"/>
          <w:color w:val="000000"/>
        </w:rPr>
        <w:t xml:space="preserve"> ÚP ČR </w:t>
      </w:r>
      <w:proofErr w:type="spellStart"/>
      <w:r>
        <w:rPr>
          <w:rFonts w:ascii="Arial" w:eastAsia="Arial" w:hAnsi="Arial" w:cs="Arial"/>
          <w:color w:val="000000"/>
        </w:rPr>
        <w:t>postupně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vracet</w:t>
      </w:r>
      <w:proofErr w:type="spellEnd"/>
      <w:r>
        <w:rPr>
          <w:rFonts w:ascii="Arial" w:eastAsia="Arial" w:hAnsi="Arial" w:cs="Arial"/>
          <w:color w:val="000000"/>
        </w:rPr>
        <w:t xml:space="preserve"> do </w:t>
      </w:r>
      <w:proofErr w:type="spellStart"/>
      <w:r>
        <w:rPr>
          <w:rFonts w:ascii="Arial" w:eastAsia="Arial" w:hAnsi="Arial" w:cs="Arial"/>
          <w:color w:val="000000"/>
        </w:rPr>
        <w:t>normálního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režimu</w:t>
      </w:r>
      <w:proofErr w:type="spellEnd"/>
      <w:r>
        <w:rPr>
          <w:rFonts w:ascii="Arial" w:eastAsia="Arial" w:hAnsi="Arial" w:cs="Arial"/>
          <w:color w:val="000000"/>
        </w:rPr>
        <w:t xml:space="preserve">, </w:t>
      </w:r>
      <w:proofErr w:type="spellStart"/>
      <w:r>
        <w:rPr>
          <w:rFonts w:ascii="Arial" w:eastAsia="Arial" w:hAnsi="Arial" w:cs="Arial"/>
          <w:color w:val="000000"/>
        </w:rPr>
        <w:t>zaměřil</w:t>
      </w:r>
      <w:proofErr w:type="spellEnd"/>
      <w:r>
        <w:rPr>
          <w:rFonts w:ascii="Arial" w:eastAsia="Arial" w:hAnsi="Arial" w:cs="Arial"/>
          <w:color w:val="000000"/>
        </w:rPr>
        <w:t xml:space="preserve"> se </w:t>
      </w:r>
      <w:proofErr w:type="spellStart"/>
      <w:r>
        <w:rPr>
          <w:rFonts w:ascii="Arial" w:eastAsia="Arial" w:hAnsi="Arial" w:cs="Arial"/>
          <w:color w:val="000000"/>
        </w:rPr>
        <w:t>realizátor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primárně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na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klienty</w:t>
      </w:r>
      <w:proofErr w:type="spellEnd"/>
      <w:r>
        <w:rPr>
          <w:rFonts w:ascii="Arial" w:eastAsia="Arial" w:hAnsi="Arial" w:cs="Arial"/>
          <w:color w:val="000000"/>
        </w:rPr>
        <w:t xml:space="preserve">, </w:t>
      </w:r>
      <w:proofErr w:type="spellStart"/>
      <w:r w:rsidRPr="00B90B55">
        <w:rPr>
          <w:rFonts w:ascii="Arial" w:eastAsia="Arial" w:hAnsi="Arial" w:cs="Arial"/>
          <w:color w:val="000000"/>
        </w:rPr>
        <w:t>kteří</w:t>
      </w:r>
      <w:proofErr w:type="spellEnd"/>
      <w:r w:rsidRPr="00B90B55">
        <w:rPr>
          <w:rFonts w:ascii="Arial" w:eastAsia="Arial" w:hAnsi="Arial" w:cs="Arial"/>
          <w:color w:val="000000"/>
        </w:rPr>
        <w:t xml:space="preserve"> by se </w:t>
      </w:r>
      <w:proofErr w:type="spellStart"/>
      <w:r w:rsidRPr="00B90B55">
        <w:rPr>
          <w:rFonts w:ascii="Arial" w:eastAsia="Arial" w:hAnsi="Arial" w:cs="Arial"/>
          <w:color w:val="000000"/>
        </w:rPr>
        <w:t>měli</w:t>
      </w:r>
      <w:proofErr w:type="spellEnd"/>
      <w:r w:rsidRPr="00B90B55">
        <w:rPr>
          <w:rFonts w:ascii="Arial" w:eastAsia="Arial" w:hAnsi="Arial" w:cs="Arial"/>
          <w:color w:val="000000"/>
        </w:rPr>
        <w:t xml:space="preserve"> </w:t>
      </w:r>
      <w:proofErr w:type="spellStart"/>
      <w:r w:rsidRPr="00B90B55">
        <w:rPr>
          <w:rFonts w:ascii="Arial" w:eastAsia="Arial" w:hAnsi="Arial" w:cs="Arial"/>
          <w:color w:val="000000"/>
        </w:rPr>
        <w:t>vrátit</w:t>
      </w:r>
      <w:proofErr w:type="spellEnd"/>
      <w:r w:rsidRPr="00B90B55">
        <w:rPr>
          <w:rFonts w:ascii="Arial" w:eastAsia="Arial" w:hAnsi="Arial" w:cs="Arial"/>
          <w:color w:val="000000"/>
        </w:rPr>
        <w:t xml:space="preserve"> do </w:t>
      </w:r>
      <w:proofErr w:type="spellStart"/>
      <w:r w:rsidRPr="00B90B55">
        <w:rPr>
          <w:rFonts w:ascii="Arial" w:eastAsia="Arial" w:hAnsi="Arial" w:cs="Arial"/>
          <w:color w:val="000000"/>
        </w:rPr>
        <w:t>vzdělávání</w:t>
      </w:r>
      <w:proofErr w:type="spellEnd"/>
      <w:r w:rsidRPr="00B90B55">
        <w:rPr>
          <w:rFonts w:ascii="Arial" w:eastAsia="Arial" w:hAnsi="Arial" w:cs="Arial"/>
          <w:color w:val="000000"/>
        </w:rPr>
        <w:t xml:space="preserve"> (</w:t>
      </w:r>
      <w:proofErr w:type="spellStart"/>
      <w:r w:rsidRPr="00B90B55">
        <w:rPr>
          <w:rFonts w:ascii="Arial" w:eastAsia="Arial" w:hAnsi="Arial" w:cs="Arial"/>
          <w:color w:val="000000"/>
        </w:rPr>
        <w:t>vzhledem</w:t>
      </w:r>
      <w:proofErr w:type="spellEnd"/>
      <w:r w:rsidRPr="00B90B55">
        <w:rPr>
          <w:rFonts w:ascii="Arial" w:eastAsia="Arial" w:hAnsi="Arial" w:cs="Arial"/>
          <w:color w:val="000000"/>
        </w:rPr>
        <w:t xml:space="preserve"> k </w:t>
      </w:r>
      <w:proofErr w:type="spellStart"/>
      <w:r w:rsidRPr="00B90B55">
        <w:rPr>
          <w:rFonts w:ascii="Arial" w:eastAsia="Arial" w:hAnsi="Arial" w:cs="Arial"/>
          <w:color w:val="000000"/>
        </w:rPr>
        <w:t>blížícímu</w:t>
      </w:r>
      <w:proofErr w:type="spellEnd"/>
      <w:r w:rsidRPr="00B90B55">
        <w:rPr>
          <w:rFonts w:ascii="Arial" w:eastAsia="Arial" w:hAnsi="Arial" w:cs="Arial"/>
          <w:color w:val="000000"/>
        </w:rPr>
        <w:t xml:space="preserve"> se </w:t>
      </w:r>
      <w:proofErr w:type="spellStart"/>
      <w:r w:rsidRPr="00B90B55">
        <w:rPr>
          <w:rFonts w:ascii="Arial" w:eastAsia="Arial" w:hAnsi="Arial" w:cs="Arial"/>
          <w:color w:val="000000"/>
        </w:rPr>
        <w:t>začátku</w:t>
      </w:r>
      <w:proofErr w:type="spellEnd"/>
      <w:r w:rsidRPr="00B90B55">
        <w:rPr>
          <w:rFonts w:ascii="Arial" w:eastAsia="Arial" w:hAnsi="Arial" w:cs="Arial"/>
          <w:color w:val="000000"/>
        </w:rPr>
        <w:t xml:space="preserve"> </w:t>
      </w:r>
      <w:proofErr w:type="spellStart"/>
      <w:r w:rsidRPr="00B90B55">
        <w:rPr>
          <w:rFonts w:ascii="Arial" w:eastAsia="Arial" w:hAnsi="Arial" w:cs="Arial"/>
          <w:color w:val="000000"/>
        </w:rPr>
        <w:t>školního</w:t>
      </w:r>
      <w:proofErr w:type="spellEnd"/>
      <w:r w:rsidRPr="00B90B55">
        <w:rPr>
          <w:rFonts w:ascii="Arial" w:eastAsia="Arial" w:hAnsi="Arial" w:cs="Arial"/>
          <w:color w:val="000000"/>
        </w:rPr>
        <w:t xml:space="preserve"> </w:t>
      </w:r>
      <w:proofErr w:type="spellStart"/>
      <w:r w:rsidRPr="00B90B55">
        <w:rPr>
          <w:rFonts w:ascii="Arial" w:eastAsia="Arial" w:hAnsi="Arial" w:cs="Arial"/>
          <w:color w:val="000000"/>
        </w:rPr>
        <w:t>roku</w:t>
      </w:r>
      <w:proofErr w:type="spellEnd"/>
      <w:r w:rsidRPr="00B90B55">
        <w:rPr>
          <w:rFonts w:ascii="Arial" w:eastAsia="Arial" w:hAnsi="Arial" w:cs="Arial"/>
          <w:color w:val="000000"/>
        </w:rPr>
        <w:t xml:space="preserve"> 2020/2021), </w:t>
      </w:r>
      <w:proofErr w:type="spellStart"/>
      <w:r w:rsidRPr="00B90B55">
        <w:rPr>
          <w:rFonts w:ascii="Arial" w:eastAsia="Arial" w:hAnsi="Arial" w:cs="Arial"/>
          <w:color w:val="000000"/>
        </w:rPr>
        <w:t>což</w:t>
      </w:r>
      <w:proofErr w:type="spellEnd"/>
      <w:r w:rsidRPr="00B90B55">
        <w:rPr>
          <w:rFonts w:ascii="Arial" w:eastAsia="Arial" w:hAnsi="Arial" w:cs="Arial"/>
          <w:color w:val="000000"/>
        </w:rPr>
        <w:t xml:space="preserve"> se </w:t>
      </w:r>
      <w:proofErr w:type="spellStart"/>
      <w:r>
        <w:rPr>
          <w:rFonts w:ascii="Arial" w:eastAsia="Arial" w:hAnsi="Arial" w:cs="Arial"/>
          <w:color w:val="000000"/>
        </w:rPr>
        <w:t>na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čerpání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rozpočtu</w:t>
      </w:r>
      <w:proofErr w:type="spellEnd"/>
      <w:r>
        <w:rPr>
          <w:rFonts w:ascii="Arial" w:eastAsia="Arial" w:hAnsi="Arial" w:cs="Arial"/>
          <w:color w:val="000000"/>
        </w:rPr>
        <w:t xml:space="preserve"> a </w:t>
      </w:r>
      <w:proofErr w:type="spellStart"/>
      <w:r>
        <w:rPr>
          <w:rFonts w:ascii="Arial" w:eastAsia="Arial" w:hAnsi="Arial" w:cs="Arial"/>
          <w:color w:val="000000"/>
        </w:rPr>
        <w:t>vykázání</w:t>
      </w:r>
      <w:proofErr w:type="spellEnd"/>
      <w:r>
        <w:rPr>
          <w:rFonts w:ascii="Arial" w:eastAsia="Arial" w:hAnsi="Arial" w:cs="Arial"/>
          <w:color w:val="000000"/>
        </w:rPr>
        <w:t xml:space="preserve"> v </w:t>
      </w:r>
      <w:proofErr w:type="spellStart"/>
      <w:r>
        <w:rPr>
          <w:rFonts w:ascii="Arial" w:eastAsia="Arial" w:hAnsi="Arial" w:cs="Arial"/>
          <w:color w:val="000000"/>
        </w:rPr>
        <w:t>indikátoru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projeví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až</w:t>
      </w:r>
      <w:proofErr w:type="spellEnd"/>
      <w:r>
        <w:rPr>
          <w:rFonts w:ascii="Arial" w:eastAsia="Arial" w:hAnsi="Arial" w:cs="Arial"/>
          <w:color w:val="000000"/>
        </w:rPr>
        <w:t xml:space="preserve"> po </w:t>
      </w:r>
      <w:proofErr w:type="spellStart"/>
      <w:r>
        <w:rPr>
          <w:rFonts w:ascii="Arial" w:eastAsia="Arial" w:hAnsi="Arial" w:cs="Arial"/>
          <w:color w:val="000000"/>
        </w:rPr>
        <w:t>dokončení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aktivity</w:t>
      </w:r>
      <w:proofErr w:type="spellEnd"/>
      <w:r>
        <w:rPr>
          <w:rFonts w:ascii="Arial" w:eastAsia="Arial" w:hAnsi="Arial" w:cs="Arial"/>
          <w:color w:val="000000"/>
        </w:rPr>
        <w:t xml:space="preserve">, </w:t>
      </w:r>
      <w:proofErr w:type="spellStart"/>
      <w:r>
        <w:rPr>
          <w:rFonts w:ascii="Arial" w:eastAsia="Arial" w:hAnsi="Arial" w:cs="Arial"/>
          <w:color w:val="000000"/>
        </w:rPr>
        <w:t>tedy</w:t>
      </w:r>
      <w:proofErr w:type="spellEnd"/>
      <w:r>
        <w:rPr>
          <w:rFonts w:ascii="Arial" w:eastAsia="Arial" w:hAnsi="Arial" w:cs="Arial"/>
          <w:color w:val="000000"/>
        </w:rPr>
        <w:t xml:space="preserve"> v </w:t>
      </w:r>
      <w:proofErr w:type="spellStart"/>
      <w:r>
        <w:rPr>
          <w:rFonts w:ascii="Arial" w:eastAsia="Arial" w:hAnsi="Arial" w:cs="Arial"/>
          <w:color w:val="000000"/>
        </w:rPr>
        <w:t>dalším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monitorovacím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období</w:t>
      </w:r>
      <w:proofErr w:type="spellEnd"/>
      <w:r>
        <w:rPr>
          <w:rFonts w:ascii="Arial" w:eastAsia="Arial" w:hAnsi="Arial" w:cs="Arial"/>
          <w:color w:val="000000"/>
        </w:rPr>
        <w:t xml:space="preserve">. I </w:t>
      </w:r>
      <w:proofErr w:type="spellStart"/>
      <w:r>
        <w:rPr>
          <w:rFonts w:ascii="Arial" w:eastAsia="Arial" w:hAnsi="Arial" w:cs="Arial"/>
          <w:color w:val="000000"/>
        </w:rPr>
        <w:t>přes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přijatá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opatření</w:t>
      </w:r>
      <w:proofErr w:type="spellEnd"/>
      <w:r>
        <w:rPr>
          <w:rFonts w:ascii="Arial" w:eastAsia="Arial" w:hAnsi="Arial" w:cs="Arial"/>
          <w:color w:val="000000"/>
        </w:rPr>
        <w:t xml:space="preserve"> k </w:t>
      </w:r>
      <w:proofErr w:type="spellStart"/>
      <w:r>
        <w:rPr>
          <w:rFonts w:ascii="Arial" w:eastAsia="Arial" w:hAnsi="Arial" w:cs="Arial"/>
          <w:color w:val="000000"/>
        </w:rPr>
        <w:t>umožnění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distanční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realizace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aktivit</w:t>
      </w:r>
      <w:proofErr w:type="spellEnd"/>
      <w:r>
        <w:rPr>
          <w:rFonts w:ascii="Arial" w:eastAsia="Arial" w:hAnsi="Arial" w:cs="Arial"/>
          <w:color w:val="000000"/>
        </w:rPr>
        <w:t xml:space="preserve"> a v </w:t>
      </w:r>
      <w:proofErr w:type="spellStart"/>
      <w:r>
        <w:rPr>
          <w:rFonts w:ascii="Arial" w:eastAsia="Arial" w:hAnsi="Arial" w:cs="Arial"/>
          <w:color w:val="000000"/>
        </w:rPr>
        <w:t>souvislosti</w:t>
      </w:r>
      <w:proofErr w:type="spellEnd"/>
      <w:r>
        <w:rPr>
          <w:rFonts w:ascii="Arial" w:eastAsia="Arial" w:hAnsi="Arial" w:cs="Arial"/>
          <w:color w:val="000000"/>
        </w:rPr>
        <w:t xml:space="preserve"> s </w:t>
      </w:r>
      <w:proofErr w:type="spellStart"/>
      <w:r>
        <w:rPr>
          <w:rFonts w:ascii="Arial" w:eastAsia="Arial" w:hAnsi="Arial" w:cs="Arial"/>
          <w:color w:val="000000"/>
        </w:rPr>
        <w:t>pokračujícími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omezeními</w:t>
      </w:r>
      <w:proofErr w:type="spellEnd"/>
      <w:r>
        <w:rPr>
          <w:rFonts w:ascii="Arial" w:eastAsia="Arial" w:hAnsi="Arial" w:cs="Arial"/>
          <w:color w:val="000000"/>
        </w:rPr>
        <w:t xml:space="preserve"> z </w:t>
      </w:r>
      <w:proofErr w:type="spellStart"/>
      <w:r>
        <w:rPr>
          <w:rFonts w:ascii="Arial" w:eastAsia="Arial" w:hAnsi="Arial" w:cs="Arial"/>
          <w:color w:val="000000"/>
        </w:rPr>
        <w:t>důvodu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epidemické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situace</w:t>
      </w:r>
      <w:proofErr w:type="spellEnd"/>
      <w:r>
        <w:rPr>
          <w:rFonts w:ascii="Arial" w:eastAsia="Arial" w:hAnsi="Arial" w:cs="Arial"/>
          <w:color w:val="000000"/>
        </w:rPr>
        <w:t xml:space="preserve"> se </w:t>
      </w:r>
      <w:proofErr w:type="spellStart"/>
      <w:r>
        <w:rPr>
          <w:rFonts w:ascii="Arial" w:eastAsia="Arial" w:hAnsi="Arial" w:cs="Arial"/>
          <w:color w:val="000000"/>
        </w:rPr>
        <w:t>projekt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potýká</w:t>
      </w:r>
      <w:proofErr w:type="spellEnd"/>
      <w:r>
        <w:rPr>
          <w:rFonts w:ascii="Arial" w:eastAsia="Arial" w:hAnsi="Arial" w:cs="Arial"/>
          <w:color w:val="000000"/>
        </w:rPr>
        <w:t xml:space="preserve"> s </w:t>
      </w:r>
      <w:proofErr w:type="spellStart"/>
      <w:r>
        <w:rPr>
          <w:rFonts w:ascii="Arial" w:eastAsia="Arial" w:hAnsi="Arial" w:cs="Arial"/>
          <w:color w:val="000000"/>
        </w:rPr>
        <w:t>pomalou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realizací</w:t>
      </w:r>
      <w:proofErr w:type="spellEnd"/>
      <w:r>
        <w:rPr>
          <w:rFonts w:ascii="Arial" w:eastAsia="Arial" w:hAnsi="Arial" w:cs="Arial"/>
          <w:color w:val="000000"/>
        </w:rPr>
        <w:t>.</w:t>
      </w:r>
      <w:r w:rsidR="002675AD">
        <w:rPr>
          <w:rFonts w:ascii="Arial" w:eastAsia="Arial" w:hAnsi="Arial" w:cs="Arial"/>
          <w:color w:val="000000"/>
        </w:rPr>
        <w:t xml:space="preserve"> </w:t>
      </w:r>
      <w:proofErr w:type="spellStart"/>
      <w:r w:rsidR="002675AD">
        <w:rPr>
          <w:rFonts w:ascii="Arial" w:eastAsia="Arial" w:hAnsi="Arial" w:cs="Arial"/>
          <w:color w:val="000000"/>
        </w:rPr>
        <w:t>Tento</w:t>
      </w:r>
      <w:proofErr w:type="spellEnd"/>
      <w:r w:rsidR="002675AD">
        <w:rPr>
          <w:rFonts w:ascii="Arial" w:eastAsia="Arial" w:hAnsi="Arial" w:cs="Arial"/>
          <w:color w:val="000000"/>
        </w:rPr>
        <w:t xml:space="preserve"> </w:t>
      </w:r>
      <w:proofErr w:type="spellStart"/>
      <w:r w:rsidR="002675AD">
        <w:rPr>
          <w:rFonts w:ascii="Arial" w:eastAsia="Arial" w:hAnsi="Arial" w:cs="Arial"/>
          <w:color w:val="000000"/>
        </w:rPr>
        <w:t>stav</w:t>
      </w:r>
      <w:proofErr w:type="spellEnd"/>
      <w:r w:rsidR="002675AD">
        <w:rPr>
          <w:rFonts w:ascii="Arial" w:eastAsia="Arial" w:hAnsi="Arial" w:cs="Arial"/>
          <w:color w:val="000000"/>
        </w:rPr>
        <w:t xml:space="preserve"> ŘO OPZ </w:t>
      </w:r>
      <w:proofErr w:type="spellStart"/>
      <w:r w:rsidR="002675AD">
        <w:rPr>
          <w:rFonts w:ascii="Arial" w:eastAsia="Arial" w:hAnsi="Arial" w:cs="Arial"/>
          <w:color w:val="000000"/>
        </w:rPr>
        <w:t>spolu</w:t>
      </w:r>
      <w:proofErr w:type="spellEnd"/>
      <w:r w:rsidR="002675AD">
        <w:rPr>
          <w:rFonts w:ascii="Arial" w:eastAsia="Arial" w:hAnsi="Arial" w:cs="Arial"/>
          <w:color w:val="000000"/>
        </w:rPr>
        <w:t xml:space="preserve"> s ÚP</w:t>
      </w:r>
      <w:r w:rsidR="001E3E5F">
        <w:rPr>
          <w:rFonts w:ascii="Arial" w:eastAsia="Arial" w:hAnsi="Arial" w:cs="Arial"/>
          <w:color w:val="000000"/>
        </w:rPr>
        <w:t xml:space="preserve"> ČR</w:t>
      </w:r>
      <w:r w:rsidR="002675AD">
        <w:rPr>
          <w:rFonts w:ascii="Arial" w:eastAsia="Arial" w:hAnsi="Arial" w:cs="Arial"/>
          <w:color w:val="000000"/>
        </w:rPr>
        <w:t xml:space="preserve"> </w:t>
      </w:r>
      <w:proofErr w:type="spellStart"/>
      <w:r w:rsidR="002675AD">
        <w:rPr>
          <w:rFonts w:ascii="Arial" w:eastAsia="Arial" w:hAnsi="Arial" w:cs="Arial"/>
          <w:color w:val="000000"/>
        </w:rPr>
        <w:t>intenzivně</w:t>
      </w:r>
      <w:proofErr w:type="spellEnd"/>
      <w:r w:rsidR="002675AD">
        <w:rPr>
          <w:rFonts w:ascii="Arial" w:eastAsia="Arial" w:hAnsi="Arial" w:cs="Arial"/>
          <w:color w:val="000000"/>
        </w:rPr>
        <w:t xml:space="preserve"> </w:t>
      </w:r>
      <w:proofErr w:type="spellStart"/>
      <w:r w:rsidR="002675AD">
        <w:rPr>
          <w:rFonts w:ascii="Arial" w:eastAsia="Arial" w:hAnsi="Arial" w:cs="Arial"/>
          <w:color w:val="000000"/>
        </w:rPr>
        <w:t>řeší</w:t>
      </w:r>
      <w:proofErr w:type="spellEnd"/>
      <w:r w:rsidR="002675AD">
        <w:rPr>
          <w:rFonts w:ascii="Arial" w:eastAsia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</w:rPr>
        <w:t xml:space="preserve"> ÚP ČR</w:t>
      </w:r>
      <w:r w:rsidR="002675AD">
        <w:rPr>
          <w:rFonts w:ascii="Arial" w:eastAsia="Arial" w:hAnsi="Arial" w:cs="Arial"/>
          <w:color w:val="000000"/>
        </w:rPr>
        <w:t xml:space="preserve"> </w:t>
      </w:r>
      <w:proofErr w:type="spellStart"/>
      <w:r w:rsidR="002675AD">
        <w:rPr>
          <w:rFonts w:ascii="Arial" w:eastAsia="Arial" w:hAnsi="Arial" w:cs="Arial"/>
          <w:color w:val="000000"/>
        </w:rPr>
        <w:t>byl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vyzván</w:t>
      </w:r>
      <w:proofErr w:type="spellEnd"/>
      <w:r>
        <w:rPr>
          <w:rFonts w:ascii="Arial" w:eastAsia="Arial" w:hAnsi="Arial" w:cs="Arial"/>
          <w:color w:val="000000"/>
        </w:rPr>
        <w:t xml:space="preserve"> k </w:t>
      </w:r>
      <w:proofErr w:type="spellStart"/>
      <w:r>
        <w:rPr>
          <w:rFonts w:ascii="Arial" w:eastAsia="Arial" w:hAnsi="Arial" w:cs="Arial"/>
          <w:color w:val="000000"/>
        </w:rPr>
        <w:t>vypracování</w:t>
      </w:r>
      <w:proofErr w:type="spellEnd"/>
      <w:r>
        <w:rPr>
          <w:rFonts w:ascii="Arial" w:eastAsia="Arial" w:hAnsi="Arial" w:cs="Arial"/>
          <w:color w:val="000000"/>
        </w:rPr>
        <w:t xml:space="preserve"> a </w:t>
      </w:r>
      <w:proofErr w:type="spellStart"/>
      <w:r>
        <w:rPr>
          <w:rFonts w:ascii="Arial" w:eastAsia="Arial" w:hAnsi="Arial" w:cs="Arial"/>
          <w:color w:val="000000"/>
        </w:rPr>
        <w:t>přijetí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dalších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 w:rsidR="002675AD">
        <w:rPr>
          <w:rFonts w:ascii="Arial" w:eastAsia="Arial" w:hAnsi="Arial" w:cs="Arial"/>
          <w:color w:val="000000"/>
        </w:rPr>
        <w:t>efektivních</w:t>
      </w:r>
      <w:proofErr w:type="spellEnd"/>
      <w:r w:rsidR="002675AD"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opatření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na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podporu</w:t>
      </w:r>
      <w:proofErr w:type="spellEnd"/>
      <w:r w:rsidR="002675AD">
        <w:rPr>
          <w:rFonts w:ascii="Arial" w:eastAsia="Arial" w:hAnsi="Arial" w:cs="Arial"/>
          <w:color w:val="000000"/>
        </w:rPr>
        <w:t xml:space="preserve"> </w:t>
      </w:r>
      <w:proofErr w:type="spellStart"/>
      <w:r w:rsidR="002675AD">
        <w:rPr>
          <w:rFonts w:ascii="Arial" w:eastAsia="Arial" w:hAnsi="Arial" w:cs="Arial"/>
          <w:color w:val="000000"/>
        </w:rPr>
        <w:t>mladých</w:t>
      </w:r>
      <w:proofErr w:type="spellEnd"/>
      <w:r w:rsidR="001E3E5F">
        <w:rPr>
          <w:rFonts w:ascii="Arial" w:eastAsia="Arial" w:hAnsi="Arial" w:cs="Arial"/>
          <w:color w:val="000000"/>
        </w:rPr>
        <w:t xml:space="preserve"> z </w:t>
      </w:r>
      <w:proofErr w:type="spellStart"/>
      <w:r w:rsidR="001E3E5F">
        <w:rPr>
          <w:rFonts w:ascii="Arial" w:eastAsia="Arial" w:hAnsi="Arial" w:cs="Arial"/>
          <w:color w:val="000000"/>
        </w:rPr>
        <w:t>projektu</w:t>
      </w:r>
      <w:proofErr w:type="spellEnd"/>
      <w:r w:rsidR="001E3E5F">
        <w:rPr>
          <w:rFonts w:ascii="Arial" w:eastAsia="Arial" w:hAnsi="Arial" w:cs="Arial"/>
          <w:color w:val="000000"/>
        </w:rPr>
        <w:t xml:space="preserve"> </w:t>
      </w:r>
      <w:proofErr w:type="spellStart"/>
      <w:r w:rsidR="001E3E5F">
        <w:rPr>
          <w:rFonts w:ascii="Arial" w:eastAsia="Arial" w:hAnsi="Arial" w:cs="Arial"/>
          <w:color w:val="000000"/>
        </w:rPr>
        <w:t>Iniciativy</w:t>
      </w:r>
      <w:proofErr w:type="spellEnd"/>
      <w:r w:rsidR="002675AD">
        <w:rPr>
          <w:rFonts w:ascii="Arial" w:eastAsia="Arial" w:hAnsi="Arial" w:cs="Arial"/>
          <w:color w:val="000000"/>
        </w:rPr>
        <w:t xml:space="preserve">, </w:t>
      </w:r>
      <w:proofErr w:type="spellStart"/>
      <w:r w:rsidR="002675AD">
        <w:rPr>
          <w:rFonts w:ascii="Arial" w:eastAsia="Arial" w:hAnsi="Arial" w:cs="Arial"/>
          <w:color w:val="000000"/>
        </w:rPr>
        <w:t>která</w:t>
      </w:r>
      <w:proofErr w:type="spellEnd"/>
      <w:r w:rsidR="002675AD">
        <w:rPr>
          <w:rFonts w:ascii="Arial" w:eastAsia="Arial" w:hAnsi="Arial" w:cs="Arial"/>
          <w:color w:val="000000"/>
        </w:rPr>
        <w:t xml:space="preserve"> </w:t>
      </w:r>
      <w:proofErr w:type="spellStart"/>
      <w:r w:rsidR="002675AD">
        <w:rPr>
          <w:rFonts w:ascii="Arial" w:eastAsia="Arial" w:hAnsi="Arial" w:cs="Arial"/>
          <w:color w:val="000000"/>
        </w:rPr>
        <w:t>povedou</w:t>
      </w:r>
      <w:proofErr w:type="spellEnd"/>
      <w:r w:rsidR="002675AD">
        <w:rPr>
          <w:rFonts w:ascii="Arial" w:eastAsia="Arial" w:hAnsi="Arial" w:cs="Arial"/>
          <w:color w:val="000000"/>
        </w:rPr>
        <w:t xml:space="preserve"> </w:t>
      </w:r>
      <w:proofErr w:type="spellStart"/>
      <w:r w:rsidR="002675AD">
        <w:rPr>
          <w:rFonts w:ascii="Arial" w:eastAsia="Arial" w:hAnsi="Arial" w:cs="Arial"/>
          <w:color w:val="000000"/>
        </w:rPr>
        <w:t>také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r w:rsidR="002675AD">
        <w:rPr>
          <w:rFonts w:ascii="Arial" w:eastAsia="Arial" w:hAnsi="Arial" w:cs="Arial"/>
          <w:color w:val="000000"/>
        </w:rPr>
        <w:t xml:space="preserve">k </w:t>
      </w:r>
      <w:proofErr w:type="spellStart"/>
      <w:r w:rsidR="002675AD">
        <w:rPr>
          <w:rFonts w:ascii="Arial" w:eastAsia="Arial" w:hAnsi="Arial" w:cs="Arial"/>
          <w:color w:val="000000"/>
        </w:rPr>
        <w:t>do</w:t>
      </w:r>
      <w:r>
        <w:rPr>
          <w:rFonts w:ascii="Arial" w:eastAsia="Arial" w:hAnsi="Arial" w:cs="Arial"/>
          <w:color w:val="000000"/>
        </w:rPr>
        <w:t>čerpání</w:t>
      </w:r>
      <w:proofErr w:type="spellEnd"/>
      <w:r>
        <w:rPr>
          <w:rFonts w:ascii="Arial" w:eastAsia="Arial" w:hAnsi="Arial" w:cs="Arial"/>
          <w:color w:val="000000"/>
        </w:rPr>
        <w:t xml:space="preserve"> v </w:t>
      </w:r>
      <w:proofErr w:type="spellStart"/>
      <w:r>
        <w:rPr>
          <w:rFonts w:ascii="Arial" w:eastAsia="Arial" w:hAnsi="Arial" w:cs="Arial"/>
          <w:color w:val="000000"/>
        </w:rPr>
        <w:t>projektu</w:t>
      </w:r>
      <w:proofErr w:type="spellEnd"/>
      <w:r>
        <w:rPr>
          <w:rFonts w:ascii="Arial" w:eastAsia="Arial" w:hAnsi="Arial" w:cs="Arial"/>
          <w:color w:val="000000"/>
        </w:rPr>
        <w:t>.</w:t>
      </w:r>
      <w:r w:rsidR="002675AD">
        <w:rPr>
          <w:rFonts w:ascii="Arial" w:eastAsia="Arial" w:hAnsi="Arial" w:cs="Arial"/>
          <w:color w:val="000000"/>
        </w:rPr>
        <w:t xml:space="preserve"> </w:t>
      </w:r>
      <w:proofErr w:type="spellStart"/>
      <w:r w:rsidR="002675AD">
        <w:rPr>
          <w:rFonts w:ascii="Arial" w:eastAsia="Arial" w:hAnsi="Arial" w:cs="Arial"/>
          <w:color w:val="000000"/>
        </w:rPr>
        <w:t>Projekt</w:t>
      </w:r>
      <w:proofErr w:type="spellEnd"/>
      <w:r w:rsidR="002675AD">
        <w:rPr>
          <w:rFonts w:ascii="Arial" w:eastAsia="Arial" w:hAnsi="Arial" w:cs="Arial"/>
          <w:color w:val="000000"/>
        </w:rPr>
        <w:t xml:space="preserve"> </w:t>
      </w:r>
      <w:proofErr w:type="spellStart"/>
      <w:r w:rsidR="002675AD">
        <w:rPr>
          <w:rFonts w:ascii="Arial" w:eastAsia="Arial" w:hAnsi="Arial" w:cs="Arial"/>
          <w:color w:val="000000"/>
        </w:rPr>
        <w:t>bude</w:t>
      </w:r>
      <w:proofErr w:type="spellEnd"/>
      <w:r w:rsidR="002675AD">
        <w:rPr>
          <w:rFonts w:ascii="Arial" w:eastAsia="Arial" w:hAnsi="Arial" w:cs="Arial"/>
          <w:color w:val="000000"/>
        </w:rPr>
        <w:t xml:space="preserve"> </w:t>
      </w:r>
      <w:r w:rsidR="001E3E5F">
        <w:rPr>
          <w:rFonts w:ascii="Arial" w:eastAsia="Arial" w:hAnsi="Arial" w:cs="Arial"/>
          <w:color w:val="000000"/>
        </w:rPr>
        <w:t xml:space="preserve">po </w:t>
      </w:r>
      <w:proofErr w:type="spellStart"/>
      <w:r w:rsidR="001E3E5F">
        <w:rPr>
          <w:rFonts w:ascii="Arial" w:eastAsia="Arial" w:hAnsi="Arial" w:cs="Arial"/>
          <w:color w:val="000000"/>
        </w:rPr>
        <w:t>dohodě</w:t>
      </w:r>
      <w:proofErr w:type="spellEnd"/>
      <w:r w:rsidR="001E3E5F">
        <w:rPr>
          <w:rFonts w:ascii="Arial" w:eastAsia="Arial" w:hAnsi="Arial" w:cs="Arial"/>
          <w:color w:val="000000"/>
        </w:rPr>
        <w:t xml:space="preserve"> s ÚP ČR </w:t>
      </w:r>
      <w:proofErr w:type="spellStart"/>
      <w:r w:rsidR="001E3E5F">
        <w:rPr>
          <w:rFonts w:ascii="Arial" w:eastAsia="Arial" w:hAnsi="Arial" w:cs="Arial"/>
          <w:color w:val="000000"/>
        </w:rPr>
        <w:t>prodloužen</w:t>
      </w:r>
      <w:proofErr w:type="spellEnd"/>
      <w:r w:rsidR="001E3E5F">
        <w:rPr>
          <w:rFonts w:ascii="Arial" w:eastAsia="Arial" w:hAnsi="Arial" w:cs="Arial"/>
          <w:color w:val="000000"/>
        </w:rPr>
        <w:t>.</w:t>
      </w:r>
    </w:p>
    <w:p w14:paraId="179D1DFE" w14:textId="77777777" w:rsidR="00A2351A" w:rsidRDefault="002D5C25" w:rsidP="00496C84">
      <w:pPr>
        <w:pStyle w:val="Nadpis1"/>
        <w:rPr>
          <w:sz w:val="16"/>
        </w:rPr>
      </w:pPr>
      <w:bookmarkStart w:id="19" w:name="_Hlk65483197"/>
      <w:bookmarkStart w:id="20" w:name="_Toc66814538"/>
      <w:r>
        <w:t>ZÁLEŽITOSTI OVLIVŇUJÍCÍ VÝKONNOST PROGRAMU A PŘIJATÁ OPATŘENÍ (</w:t>
      </w:r>
      <w:proofErr w:type="spellStart"/>
      <w:r>
        <w:t>čl</w:t>
      </w:r>
      <w:proofErr w:type="spellEnd"/>
      <w:r>
        <w:t xml:space="preserve">. 50 </w:t>
      </w:r>
      <w:proofErr w:type="spellStart"/>
      <w:r>
        <w:t>odst</w:t>
      </w:r>
      <w:proofErr w:type="spellEnd"/>
      <w:r>
        <w:t xml:space="preserve">. 2 </w:t>
      </w:r>
      <w:proofErr w:type="spellStart"/>
      <w:r>
        <w:t>nařízení</w:t>
      </w:r>
      <w:proofErr w:type="spellEnd"/>
      <w:r>
        <w:t xml:space="preserve"> (EU) č. 1303/2013</w:t>
      </w:r>
      <w:proofErr w:type="gramStart"/>
      <w:r>
        <w:t>)</w:t>
      </w:r>
      <w:r>
        <w:rPr>
          <w:sz w:val="20"/>
        </w:rPr>
        <w:t xml:space="preserve">  </w:t>
      </w:r>
      <w:r>
        <w:rPr>
          <w:sz w:val="16"/>
        </w:rPr>
        <w:t>(</w:t>
      </w:r>
      <w:bookmarkEnd w:id="19"/>
      <w:proofErr w:type="gramEnd"/>
      <w:r>
        <w:rPr>
          <w:sz w:val="16"/>
        </w:rPr>
        <w:t>15)</w:t>
      </w:r>
      <w:bookmarkEnd w:id="20"/>
    </w:p>
    <w:p w14:paraId="174FF931" w14:textId="77777777" w:rsidR="00FA2FEF" w:rsidRDefault="00FA2FEF">
      <w:pPr>
        <w:spacing w:after="120" w:line="264" w:lineRule="auto"/>
        <w:ind w:left="119" w:right="121"/>
        <w:jc w:val="both"/>
        <w:rPr>
          <w:rFonts w:ascii="Arial" w:eastAsia="Arial" w:hAnsi="Arial" w:cs="Arial"/>
          <w:color w:val="000000"/>
          <w:sz w:val="20"/>
        </w:rPr>
      </w:pPr>
    </w:p>
    <w:p w14:paraId="0194622F" w14:textId="735B7979" w:rsidR="00A2351A" w:rsidRDefault="002D5C25">
      <w:pPr>
        <w:spacing w:after="120" w:line="264" w:lineRule="auto"/>
        <w:ind w:left="119" w:right="121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a) </w:t>
      </w:r>
      <w:proofErr w:type="spellStart"/>
      <w:r>
        <w:rPr>
          <w:rFonts w:ascii="Arial" w:eastAsia="Arial" w:hAnsi="Arial" w:cs="Arial"/>
          <w:color w:val="000000"/>
          <w:sz w:val="20"/>
        </w:rPr>
        <w:t>Záležitosti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0"/>
        </w:rPr>
        <w:t>které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ovlivňují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výkonnost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programu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20"/>
        </w:rPr>
        <w:t>přijatých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opatření</w:t>
      </w:r>
      <w:proofErr w:type="spellEnd"/>
    </w:p>
    <w:p w14:paraId="68DE47C9" w14:textId="52608273" w:rsidR="00545837" w:rsidRDefault="00D53213" w:rsidP="0077025C">
      <w:pPr>
        <w:spacing w:after="120" w:line="276" w:lineRule="auto"/>
        <w:jc w:val="both"/>
        <w:rPr>
          <w:rFonts w:ascii="Arial" w:eastAsiaTheme="minorHAnsi" w:hAnsi="Arial" w:cs="Arial"/>
          <w:color w:val="000000"/>
          <w:lang w:val="cs-CZ" w:eastAsia="x-none"/>
        </w:rPr>
      </w:pPr>
      <w:r w:rsidRPr="00D53213">
        <w:rPr>
          <w:rFonts w:ascii="Arial" w:eastAsiaTheme="minorHAnsi" w:hAnsi="Arial" w:cs="Arial"/>
          <w:color w:val="000000"/>
          <w:lang w:val="cs-CZ" w:eastAsia="x-none"/>
        </w:rPr>
        <w:t xml:space="preserve">Z důvodu pandemie COVID 19 a přijatých mimořádných opatření nebylo možné </w:t>
      </w:r>
      <w:r>
        <w:rPr>
          <w:rFonts w:ascii="Arial" w:eastAsiaTheme="minorHAnsi" w:hAnsi="Arial" w:cs="Arial"/>
          <w:color w:val="000000"/>
          <w:lang w:val="cs-CZ" w:eastAsia="x-none"/>
        </w:rPr>
        <w:t>v regi</w:t>
      </w:r>
      <w:r w:rsidR="00C11F1A">
        <w:rPr>
          <w:rFonts w:ascii="Arial" w:eastAsiaTheme="minorHAnsi" w:hAnsi="Arial" w:cs="Arial"/>
          <w:color w:val="000000"/>
          <w:lang w:val="cs-CZ" w:eastAsia="x-none"/>
        </w:rPr>
        <w:t>o</w:t>
      </w:r>
      <w:r>
        <w:rPr>
          <w:rFonts w:ascii="Arial" w:eastAsiaTheme="minorHAnsi" w:hAnsi="Arial" w:cs="Arial"/>
          <w:color w:val="000000"/>
          <w:lang w:val="cs-CZ" w:eastAsia="x-none"/>
        </w:rPr>
        <w:t>nálních projektech z výzev č</w:t>
      </w:r>
      <w:r w:rsidRPr="00CF472A">
        <w:rPr>
          <w:rFonts w:ascii="Arial" w:eastAsiaTheme="minorHAnsi" w:hAnsi="Arial" w:cs="Arial"/>
          <w:color w:val="000000"/>
          <w:lang w:val="cs-CZ" w:eastAsia="x-none"/>
        </w:rPr>
        <w:t xml:space="preserve">. </w:t>
      </w:r>
      <w:r w:rsidRPr="00CF472A">
        <w:rPr>
          <w:rFonts w:ascii="Arial" w:eastAsiaTheme="minorHAnsi" w:hAnsi="Arial" w:cs="Arial"/>
          <w:b/>
          <w:bCs/>
          <w:color w:val="000000"/>
          <w:lang w:val="cs-CZ" w:eastAsia="x-none"/>
        </w:rPr>
        <w:t>4</w:t>
      </w:r>
      <w:r w:rsidR="00833271" w:rsidRPr="00CF472A">
        <w:rPr>
          <w:rFonts w:ascii="Arial" w:eastAsiaTheme="minorHAnsi" w:hAnsi="Arial" w:cs="Arial"/>
          <w:b/>
          <w:bCs/>
          <w:color w:val="000000"/>
          <w:lang w:val="cs-CZ" w:eastAsia="x-none"/>
        </w:rPr>
        <w:t xml:space="preserve"> „Záruky pro mladé</w:t>
      </w:r>
      <w:r w:rsidR="00CF472A" w:rsidRPr="00CF472A">
        <w:rPr>
          <w:rFonts w:ascii="Arial" w:eastAsiaTheme="minorHAnsi" w:hAnsi="Arial" w:cs="Arial"/>
          <w:b/>
          <w:bCs/>
          <w:color w:val="000000"/>
          <w:lang w:val="cs-CZ" w:eastAsia="x-none"/>
        </w:rPr>
        <w:t>“</w:t>
      </w:r>
      <w:r w:rsidRPr="00CF472A">
        <w:rPr>
          <w:rFonts w:ascii="Arial" w:eastAsiaTheme="minorHAnsi" w:hAnsi="Arial" w:cs="Arial"/>
          <w:color w:val="000000"/>
          <w:lang w:val="cs-CZ" w:eastAsia="x-none"/>
        </w:rPr>
        <w:t xml:space="preserve"> a </w:t>
      </w:r>
      <w:r w:rsidRPr="00CF472A">
        <w:rPr>
          <w:rFonts w:ascii="Arial" w:eastAsiaTheme="minorHAnsi" w:hAnsi="Arial" w:cs="Arial"/>
          <w:b/>
          <w:bCs/>
          <w:color w:val="000000"/>
          <w:lang w:val="cs-CZ" w:eastAsia="x-none"/>
        </w:rPr>
        <w:t>10</w:t>
      </w:r>
      <w:r w:rsidR="00CF472A" w:rsidRPr="00CF472A">
        <w:rPr>
          <w:rFonts w:ascii="Arial" w:eastAsiaTheme="minorHAnsi" w:hAnsi="Arial" w:cs="Arial"/>
          <w:b/>
          <w:bCs/>
          <w:color w:val="000000"/>
          <w:lang w:val="cs-CZ" w:eastAsia="x-none"/>
        </w:rPr>
        <w:t xml:space="preserve"> „Realizace projektů zaměřených na řešení specifických problémů na regionální úrovni pomocí kombinace nástrojů APZ“</w:t>
      </w:r>
      <w:r>
        <w:rPr>
          <w:rFonts w:ascii="Arial" w:eastAsiaTheme="minorHAnsi" w:hAnsi="Arial" w:cs="Arial"/>
          <w:color w:val="000000"/>
          <w:lang w:val="cs-CZ" w:eastAsia="x-none"/>
        </w:rPr>
        <w:t xml:space="preserve"> </w:t>
      </w:r>
      <w:r w:rsidRPr="00D53213">
        <w:rPr>
          <w:rFonts w:ascii="Arial" w:eastAsiaTheme="minorHAnsi" w:hAnsi="Arial" w:cs="Arial"/>
          <w:color w:val="000000"/>
          <w:lang w:val="cs-CZ" w:eastAsia="x-none"/>
        </w:rPr>
        <w:t xml:space="preserve">realizovat některé </w:t>
      </w:r>
      <w:r w:rsidR="005A0CF5">
        <w:rPr>
          <w:rFonts w:ascii="Arial" w:eastAsiaTheme="minorHAnsi" w:hAnsi="Arial" w:cs="Arial"/>
          <w:color w:val="000000"/>
          <w:lang w:val="cs-CZ" w:eastAsia="x-none"/>
        </w:rPr>
        <w:t>klíčové aktivity</w:t>
      </w:r>
      <w:r w:rsidRPr="00D53213">
        <w:rPr>
          <w:rFonts w:ascii="Arial" w:eastAsiaTheme="minorHAnsi" w:hAnsi="Arial" w:cs="Arial"/>
          <w:color w:val="000000"/>
          <w:lang w:val="cs-CZ" w:eastAsia="x-none"/>
        </w:rPr>
        <w:t xml:space="preserve"> v plném rozsahu např. osobní schůzky v rámci individuálního poradenství, poradenské aktivity nebo rekvalifikace nebyly realizovány prezenční formou, ale většinou pouze elektronickou, telefonickou formou či formou distanční výuky </w:t>
      </w:r>
      <w:r w:rsidR="00B876CD">
        <w:rPr>
          <w:rFonts w:ascii="Arial" w:eastAsiaTheme="minorHAnsi" w:hAnsi="Arial" w:cs="Arial"/>
          <w:color w:val="000000"/>
          <w:lang w:val="cs-CZ" w:eastAsia="x-none"/>
        </w:rPr>
        <w:t>on-line</w:t>
      </w:r>
      <w:r w:rsidRPr="00D53213">
        <w:rPr>
          <w:rFonts w:ascii="Arial" w:eastAsiaTheme="minorHAnsi" w:hAnsi="Arial" w:cs="Arial"/>
          <w:color w:val="000000"/>
          <w:lang w:val="cs-CZ" w:eastAsia="x-none"/>
        </w:rPr>
        <w:t>. Zahájené rekvalifikační kurzy byly na základě dohody mezi realizátorem a ÚP ČR přerušeny nebo předčasně ukončeny.</w:t>
      </w:r>
      <w:r>
        <w:rPr>
          <w:rFonts w:ascii="Arial" w:eastAsiaTheme="minorHAnsi" w:hAnsi="Arial" w:cs="Arial"/>
          <w:color w:val="000000"/>
          <w:lang w:val="cs-CZ" w:eastAsia="x-none"/>
        </w:rPr>
        <w:t xml:space="preserve"> Tyto skutečnosti </w:t>
      </w:r>
      <w:r w:rsidR="000C50E4">
        <w:rPr>
          <w:rFonts w:ascii="Arial" w:eastAsiaTheme="minorHAnsi" w:hAnsi="Arial" w:cs="Arial"/>
          <w:color w:val="000000"/>
          <w:lang w:val="cs-CZ" w:eastAsia="x-none"/>
        </w:rPr>
        <w:t>m</w:t>
      </w:r>
      <w:r w:rsidR="00A834C6">
        <w:rPr>
          <w:rFonts w:ascii="Arial" w:eastAsiaTheme="minorHAnsi" w:hAnsi="Arial" w:cs="Arial"/>
          <w:color w:val="000000"/>
          <w:lang w:val="cs-CZ" w:eastAsia="x-none"/>
        </w:rPr>
        <w:t>ají</w:t>
      </w:r>
      <w:r>
        <w:rPr>
          <w:rFonts w:ascii="Arial" w:eastAsiaTheme="minorHAnsi" w:hAnsi="Arial" w:cs="Arial"/>
          <w:color w:val="000000"/>
          <w:lang w:val="cs-CZ" w:eastAsia="x-none"/>
        </w:rPr>
        <w:t xml:space="preserve"> dopad na čerpání fin</w:t>
      </w:r>
      <w:r w:rsidR="00A834C6">
        <w:rPr>
          <w:rFonts w:ascii="Arial" w:eastAsiaTheme="minorHAnsi" w:hAnsi="Arial" w:cs="Arial"/>
          <w:color w:val="000000"/>
          <w:lang w:val="cs-CZ" w:eastAsia="x-none"/>
        </w:rPr>
        <w:t>ančních</w:t>
      </w:r>
      <w:r>
        <w:rPr>
          <w:rFonts w:ascii="Arial" w:eastAsiaTheme="minorHAnsi" w:hAnsi="Arial" w:cs="Arial"/>
          <w:color w:val="000000"/>
          <w:lang w:val="cs-CZ" w:eastAsia="x-none"/>
        </w:rPr>
        <w:t xml:space="preserve"> prostředků v</w:t>
      </w:r>
      <w:r w:rsidR="00A834C6">
        <w:rPr>
          <w:rFonts w:ascii="Arial" w:eastAsiaTheme="minorHAnsi" w:hAnsi="Arial" w:cs="Arial"/>
          <w:color w:val="000000"/>
          <w:lang w:val="cs-CZ" w:eastAsia="x-none"/>
        </w:rPr>
        <w:t> předkládaných zprávách o realizaci</w:t>
      </w:r>
      <w:r>
        <w:rPr>
          <w:rFonts w:ascii="Arial" w:eastAsiaTheme="minorHAnsi" w:hAnsi="Arial" w:cs="Arial"/>
          <w:color w:val="000000"/>
          <w:lang w:val="cs-CZ" w:eastAsia="x-none"/>
        </w:rPr>
        <w:t xml:space="preserve"> a plnění indikátorů.</w:t>
      </w:r>
      <w:r w:rsidR="00647EE0">
        <w:rPr>
          <w:rFonts w:ascii="Arial" w:eastAsiaTheme="minorHAnsi" w:hAnsi="Arial" w:cs="Arial"/>
          <w:color w:val="000000"/>
          <w:lang w:val="cs-CZ" w:eastAsia="x-none"/>
        </w:rPr>
        <w:t xml:space="preserve"> Projektové aktivity v plném rozsahu nebylo možné z</w:t>
      </w:r>
      <w:r w:rsidR="00A834C6">
        <w:rPr>
          <w:rFonts w:ascii="Arial" w:eastAsiaTheme="minorHAnsi" w:hAnsi="Arial" w:cs="Arial"/>
          <w:color w:val="000000"/>
          <w:lang w:val="cs-CZ" w:eastAsia="x-none"/>
        </w:rPr>
        <w:t> důvodu opatření vlády spojených s pandemií C</w:t>
      </w:r>
      <w:r w:rsidR="005A0CF5">
        <w:rPr>
          <w:rFonts w:ascii="Arial" w:eastAsiaTheme="minorHAnsi" w:hAnsi="Arial" w:cs="Arial"/>
          <w:color w:val="000000"/>
          <w:lang w:val="cs-CZ" w:eastAsia="x-none"/>
        </w:rPr>
        <w:t>OVID-</w:t>
      </w:r>
      <w:r w:rsidR="00A834C6">
        <w:rPr>
          <w:rFonts w:ascii="Arial" w:eastAsiaTheme="minorHAnsi" w:hAnsi="Arial" w:cs="Arial"/>
          <w:color w:val="000000"/>
          <w:lang w:val="cs-CZ" w:eastAsia="x-none"/>
        </w:rPr>
        <w:t>19</w:t>
      </w:r>
      <w:r w:rsidR="00647EE0">
        <w:rPr>
          <w:rFonts w:ascii="Arial" w:eastAsiaTheme="minorHAnsi" w:hAnsi="Arial" w:cs="Arial"/>
          <w:color w:val="000000"/>
          <w:lang w:val="cs-CZ" w:eastAsia="x-none"/>
        </w:rPr>
        <w:t xml:space="preserve"> realizovat taktéž v projektu z výzvy č. </w:t>
      </w:r>
      <w:r w:rsidR="00647EE0" w:rsidRPr="00CF472A">
        <w:rPr>
          <w:rFonts w:ascii="Arial" w:eastAsiaTheme="minorHAnsi" w:hAnsi="Arial" w:cs="Arial"/>
          <w:b/>
          <w:bCs/>
          <w:color w:val="000000"/>
          <w:lang w:val="cs-CZ" w:eastAsia="x-none"/>
        </w:rPr>
        <w:t>136</w:t>
      </w:r>
      <w:r w:rsidR="00647EE0">
        <w:rPr>
          <w:rFonts w:ascii="Arial" w:eastAsiaTheme="minorHAnsi" w:hAnsi="Arial" w:cs="Arial"/>
          <w:color w:val="000000"/>
          <w:lang w:val="cs-CZ" w:eastAsia="x-none"/>
        </w:rPr>
        <w:t xml:space="preserve"> v IP1.5, což mělo dopad na finanční čerpání a plnění indikátorů.</w:t>
      </w:r>
      <w:r w:rsidR="00F41C72">
        <w:rPr>
          <w:rFonts w:ascii="Arial" w:eastAsiaTheme="minorHAnsi" w:hAnsi="Arial" w:cs="Arial"/>
          <w:color w:val="000000"/>
          <w:lang w:val="cs-CZ" w:eastAsia="x-none"/>
        </w:rPr>
        <w:t xml:space="preserve"> </w:t>
      </w:r>
      <w:r w:rsidR="00B4336C">
        <w:rPr>
          <w:rFonts w:ascii="Arial" w:eastAsiaTheme="minorHAnsi" w:hAnsi="Arial" w:cs="Arial"/>
          <w:color w:val="000000"/>
          <w:lang w:val="cs-CZ" w:eastAsia="x-none"/>
        </w:rPr>
        <w:t>Někteří projektoví pracovníci ÚP ČR byly také zapojeni do cíleného programu Antivirus na základě pandemického opatření vlády</w:t>
      </w:r>
      <w:r w:rsidR="00BC515D">
        <w:rPr>
          <w:rFonts w:ascii="Arial" w:eastAsiaTheme="minorHAnsi" w:hAnsi="Arial" w:cs="Arial"/>
          <w:color w:val="000000"/>
          <w:lang w:val="cs-CZ" w:eastAsia="x-none"/>
        </w:rPr>
        <w:t>, a nemohli se tak plně věnovat aktivitám projektů</w:t>
      </w:r>
      <w:r w:rsidR="00B4336C">
        <w:rPr>
          <w:rFonts w:ascii="Arial" w:eastAsiaTheme="minorHAnsi" w:hAnsi="Arial" w:cs="Arial"/>
          <w:color w:val="000000"/>
          <w:lang w:val="cs-CZ" w:eastAsia="x-none"/>
        </w:rPr>
        <w:t>, což se také odrazilo v</w:t>
      </w:r>
      <w:r w:rsidR="00BC515D">
        <w:rPr>
          <w:rFonts w:ascii="Arial" w:eastAsiaTheme="minorHAnsi" w:hAnsi="Arial" w:cs="Arial"/>
          <w:color w:val="000000"/>
          <w:lang w:val="cs-CZ" w:eastAsia="x-none"/>
        </w:rPr>
        <w:t> menším čerpání mzdových i ostatních nákladů</w:t>
      </w:r>
      <w:r w:rsidR="00B4336C">
        <w:rPr>
          <w:rFonts w:ascii="Arial" w:eastAsiaTheme="minorHAnsi" w:hAnsi="Arial" w:cs="Arial"/>
          <w:color w:val="000000"/>
          <w:lang w:val="cs-CZ" w:eastAsia="x-none"/>
        </w:rPr>
        <w:t xml:space="preserve">. </w:t>
      </w:r>
      <w:r w:rsidR="00701EB6">
        <w:rPr>
          <w:rFonts w:ascii="Arial" w:eastAsiaTheme="minorHAnsi" w:hAnsi="Arial" w:cs="Arial"/>
          <w:color w:val="000000"/>
          <w:lang w:val="cs-CZ" w:eastAsia="x-none"/>
        </w:rPr>
        <w:t xml:space="preserve">Z výše popsaných důvodů </w:t>
      </w:r>
      <w:r w:rsidR="006F47A1">
        <w:rPr>
          <w:rFonts w:ascii="Arial" w:eastAsiaTheme="minorHAnsi" w:hAnsi="Arial" w:cs="Arial"/>
          <w:color w:val="000000"/>
          <w:lang w:val="cs-CZ" w:eastAsia="x-none"/>
        </w:rPr>
        <w:t xml:space="preserve">byl </w:t>
      </w:r>
      <w:r w:rsidR="00701EB6">
        <w:rPr>
          <w:rFonts w:ascii="Arial" w:eastAsiaTheme="minorHAnsi" w:hAnsi="Arial" w:cs="Arial"/>
          <w:color w:val="000000"/>
          <w:lang w:val="cs-CZ" w:eastAsia="x-none"/>
        </w:rPr>
        <w:t xml:space="preserve">v rámci výzvy </w:t>
      </w:r>
      <w:r w:rsidR="00701EB6" w:rsidRPr="00CF472A">
        <w:rPr>
          <w:rFonts w:ascii="Arial" w:eastAsiaTheme="minorHAnsi" w:hAnsi="Arial" w:cs="Arial"/>
          <w:color w:val="000000"/>
          <w:lang w:val="cs-CZ" w:eastAsia="x-none"/>
        </w:rPr>
        <w:t xml:space="preserve">č. </w:t>
      </w:r>
      <w:r w:rsidR="00701EB6" w:rsidRPr="00CF472A">
        <w:rPr>
          <w:rFonts w:ascii="Arial" w:eastAsiaTheme="minorHAnsi" w:hAnsi="Arial" w:cs="Arial"/>
          <w:b/>
          <w:bCs/>
          <w:color w:val="000000"/>
          <w:lang w:val="cs-CZ" w:eastAsia="x-none"/>
        </w:rPr>
        <w:t>54</w:t>
      </w:r>
      <w:r w:rsidR="002A059C">
        <w:rPr>
          <w:rFonts w:ascii="Arial" w:eastAsiaTheme="minorHAnsi" w:hAnsi="Arial" w:cs="Arial"/>
          <w:b/>
          <w:bCs/>
          <w:color w:val="000000"/>
          <w:lang w:val="cs-CZ" w:eastAsia="x-none"/>
        </w:rPr>
        <w:t xml:space="preserve"> </w:t>
      </w:r>
      <w:r w:rsidR="00CF472A" w:rsidRPr="00CF472A">
        <w:rPr>
          <w:rFonts w:ascii="Arial" w:eastAsiaTheme="minorHAnsi" w:hAnsi="Arial" w:cs="Arial"/>
          <w:b/>
          <w:bCs/>
          <w:color w:val="000000"/>
          <w:lang w:val="cs-CZ" w:eastAsia="x-none"/>
        </w:rPr>
        <w:t>„Výzva pro organizační složky státu a jimi řízené / zřízené příspěvkové organizace“</w:t>
      </w:r>
      <w:r w:rsidR="00701EB6">
        <w:rPr>
          <w:rFonts w:ascii="Arial" w:eastAsiaTheme="minorHAnsi" w:hAnsi="Arial" w:cs="Arial"/>
          <w:color w:val="000000"/>
          <w:lang w:val="cs-CZ" w:eastAsia="x-none"/>
        </w:rPr>
        <w:t xml:space="preserve"> </w:t>
      </w:r>
      <w:r w:rsidR="006F47A1">
        <w:rPr>
          <w:rFonts w:ascii="Arial" w:eastAsiaTheme="minorHAnsi" w:hAnsi="Arial" w:cs="Arial"/>
          <w:color w:val="000000"/>
          <w:lang w:val="cs-CZ" w:eastAsia="x-none"/>
        </w:rPr>
        <w:t xml:space="preserve">k 18. 12. 2020 </w:t>
      </w:r>
      <w:r w:rsidR="00701EB6">
        <w:rPr>
          <w:rFonts w:ascii="Arial" w:eastAsiaTheme="minorHAnsi" w:hAnsi="Arial" w:cs="Arial"/>
          <w:color w:val="000000"/>
          <w:lang w:val="cs-CZ" w:eastAsia="x-none"/>
        </w:rPr>
        <w:t>předčasně ukončen projekt</w:t>
      </w:r>
      <w:r w:rsidR="006F47A1">
        <w:rPr>
          <w:rFonts w:ascii="Arial" w:eastAsiaTheme="minorHAnsi" w:hAnsi="Arial" w:cs="Arial"/>
          <w:color w:val="000000"/>
          <w:lang w:val="cs-CZ" w:eastAsia="x-none"/>
        </w:rPr>
        <w:t xml:space="preserve"> </w:t>
      </w:r>
      <w:r w:rsidR="006F47A1" w:rsidRPr="00CF472A">
        <w:rPr>
          <w:rFonts w:ascii="Arial" w:eastAsiaTheme="minorHAnsi" w:hAnsi="Arial" w:cs="Arial"/>
          <w:b/>
          <w:bCs/>
          <w:color w:val="000000"/>
          <w:lang w:val="cs-CZ" w:eastAsia="x-none"/>
        </w:rPr>
        <w:t>Vzdělávání v cestovním ruchu</w:t>
      </w:r>
      <w:r w:rsidR="006F47A1">
        <w:rPr>
          <w:rFonts w:ascii="Arial" w:eastAsiaTheme="minorHAnsi" w:hAnsi="Arial" w:cs="Arial"/>
          <w:color w:val="000000"/>
          <w:lang w:val="cs-CZ" w:eastAsia="x-none"/>
        </w:rPr>
        <w:t xml:space="preserve"> České centrály cestovního ruchu CzechTourism.</w:t>
      </w:r>
    </w:p>
    <w:p w14:paraId="478CFDEF" w14:textId="71832C1D" w:rsidR="00545837" w:rsidRDefault="00545837" w:rsidP="00CF472A">
      <w:pPr>
        <w:pStyle w:val="Zkladntext"/>
        <w:spacing w:after="120" w:line="276" w:lineRule="auto"/>
        <w:rPr>
          <w:rFonts w:cs="Arial"/>
          <w:color w:val="auto"/>
          <w:lang w:val="cs-CZ"/>
        </w:rPr>
      </w:pPr>
      <w:r>
        <w:rPr>
          <w:rFonts w:eastAsia="Arial"/>
          <w:color w:val="auto"/>
          <w:lang w:val="cs-CZ" w:eastAsia="en-US"/>
        </w:rPr>
        <w:t>V</w:t>
      </w:r>
      <w:r w:rsidRPr="00CB0AFE">
        <w:rPr>
          <w:rFonts w:eastAsia="Arial"/>
          <w:color w:val="auto"/>
          <w:lang w:val="cs-CZ" w:eastAsia="en-US"/>
        </w:rPr>
        <w:t xml:space="preserve"> rámci hodnocení rizik OPZ za 1.</w:t>
      </w:r>
      <w:r>
        <w:rPr>
          <w:rFonts w:eastAsia="Arial"/>
          <w:color w:val="auto"/>
          <w:lang w:val="cs-CZ" w:eastAsia="en-US"/>
        </w:rPr>
        <w:t> </w:t>
      </w:r>
      <w:r w:rsidRPr="00CB0AFE">
        <w:rPr>
          <w:rFonts w:eastAsia="Arial"/>
          <w:color w:val="auto"/>
          <w:lang w:val="cs-CZ" w:eastAsia="en-US"/>
        </w:rPr>
        <w:t>pololetí roku 2020 bylo identifikováno nové kritické riziko</w:t>
      </w:r>
      <w:r w:rsidRPr="00CB0AFE">
        <w:rPr>
          <w:rFonts w:eastAsia="Arial"/>
          <w:i/>
          <w:color w:val="auto"/>
          <w:lang w:val="cs-CZ" w:eastAsia="en-US"/>
        </w:rPr>
        <w:t xml:space="preserve"> </w:t>
      </w:r>
      <w:r w:rsidR="005007AE">
        <w:rPr>
          <w:rFonts w:eastAsia="Arial"/>
          <w:iCs/>
          <w:color w:val="auto"/>
          <w:lang w:val="cs-CZ" w:eastAsia="en-US"/>
        </w:rPr>
        <w:t>č</w:t>
      </w:r>
      <w:r w:rsidRPr="00460F46">
        <w:rPr>
          <w:rFonts w:eastAsia="Arial"/>
          <w:iCs/>
          <w:color w:val="auto"/>
          <w:lang w:val="cs-CZ" w:eastAsia="en-US"/>
        </w:rPr>
        <w:t>erpání prostředků EU ve vazbě na rok 2021,</w:t>
      </w:r>
      <w:r>
        <w:rPr>
          <w:rFonts w:eastAsia="Arial"/>
          <w:iCs/>
          <w:color w:val="auto"/>
          <w:lang w:val="cs-CZ" w:eastAsia="en-US"/>
        </w:rPr>
        <w:t xml:space="preserve"> </w:t>
      </w:r>
      <w:r w:rsidRPr="00460F46">
        <w:rPr>
          <w:rFonts w:cs="Arial"/>
          <w:iCs/>
          <w:color w:val="auto"/>
        </w:rPr>
        <w:t>spočívající v nejistotě ohledně výše</w:t>
      </w:r>
      <w:r>
        <w:rPr>
          <w:rFonts w:cs="Arial"/>
          <w:iCs/>
          <w:color w:val="auto"/>
          <w:lang w:val="cs-CZ"/>
        </w:rPr>
        <w:t xml:space="preserve"> </w:t>
      </w:r>
      <w:r w:rsidRPr="00460F46">
        <w:rPr>
          <w:rFonts w:cs="Arial"/>
          <w:iCs/>
          <w:color w:val="auto"/>
        </w:rPr>
        <w:t>finančních</w:t>
      </w:r>
      <w:r>
        <w:rPr>
          <w:rFonts w:cs="Arial"/>
          <w:iCs/>
          <w:color w:val="auto"/>
          <w:lang w:val="cs-CZ"/>
        </w:rPr>
        <w:t xml:space="preserve"> </w:t>
      </w:r>
      <w:r w:rsidRPr="00E35944">
        <w:rPr>
          <w:rFonts w:cs="Arial"/>
          <w:iCs/>
          <w:color w:val="auto"/>
        </w:rPr>
        <w:t>prostředků na předfinancování neinvestičních transferů OPZ v roce 2021</w:t>
      </w:r>
      <w:r w:rsidRPr="00E35944">
        <w:rPr>
          <w:rFonts w:cs="Arial"/>
          <w:iCs/>
          <w:color w:val="auto"/>
          <w:lang w:val="cs-CZ"/>
        </w:rPr>
        <w:t>.</w:t>
      </w:r>
      <w:r w:rsidRPr="00E35944">
        <w:rPr>
          <w:rFonts w:cs="Arial"/>
          <w:color w:val="auto"/>
          <w:lang w:val="cs-CZ"/>
        </w:rPr>
        <w:t xml:space="preserve"> </w:t>
      </w:r>
      <w:r w:rsidRPr="00E35944">
        <w:rPr>
          <w:color w:val="auto"/>
          <w:lang w:val="cs-CZ"/>
        </w:rPr>
        <w:t xml:space="preserve">Z důvodu vládních opatření a celkové nejistoty v souvislosti s pandemií COVID-19, která v uvedeném období propukla, došlo dále k umocnění doposud málo významného rizika </w:t>
      </w:r>
      <w:r w:rsidR="005007AE">
        <w:rPr>
          <w:color w:val="auto"/>
          <w:lang w:val="cs-CZ"/>
        </w:rPr>
        <w:t>n</w:t>
      </w:r>
      <w:r w:rsidRPr="00E35944">
        <w:rPr>
          <w:color w:val="auto"/>
          <w:lang w:val="cs-CZ"/>
        </w:rPr>
        <w:t xml:space="preserve">edočerpávání finančních prostředků v realizovaných projektech </w:t>
      </w:r>
      <w:r>
        <w:rPr>
          <w:color w:val="auto"/>
          <w:lang w:val="cs-CZ"/>
        </w:rPr>
        <w:t xml:space="preserve">a potažmo k jeho </w:t>
      </w:r>
      <w:r w:rsidRPr="00E35944">
        <w:rPr>
          <w:rFonts w:cs="Arial"/>
          <w:color w:val="auto"/>
          <w:lang w:val="cs-CZ"/>
        </w:rPr>
        <w:t>přeřazen</w:t>
      </w:r>
      <w:r>
        <w:rPr>
          <w:rFonts w:cs="Arial"/>
          <w:color w:val="auto"/>
          <w:lang w:val="cs-CZ"/>
        </w:rPr>
        <w:t>í</w:t>
      </w:r>
      <w:r w:rsidRPr="00E35944">
        <w:rPr>
          <w:rFonts w:cs="Arial"/>
          <w:color w:val="auto"/>
        </w:rPr>
        <w:t xml:space="preserve"> do kategorie středně významných rizik</w:t>
      </w:r>
      <w:r w:rsidRPr="00E35944">
        <w:rPr>
          <w:color w:val="auto"/>
          <w:lang w:val="cs-CZ"/>
        </w:rPr>
        <w:t xml:space="preserve">. </w:t>
      </w:r>
      <w:r w:rsidRPr="00E35944">
        <w:rPr>
          <w:rFonts w:cs="Arial"/>
          <w:color w:val="auto"/>
        </w:rPr>
        <w:t>Ačkoliv byla za 1.</w:t>
      </w:r>
      <w:r w:rsidRPr="00E35944">
        <w:rPr>
          <w:rFonts w:cs="Arial"/>
          <w:color w:val="auto"/>
          <w:lang w:val="cs-CZ"/>
        </w:rPr>
        <w:t xml:space="preserve"> </w:t>
      </w:r>
      <w:r w:rsidRPr="00E35944">
        <w:rPr>
          <w:rFonts w:cs="Arial"/>
          <w:color w:val="auto"/>
        </w:rPr>
        <w:t>pololetí roku 20</w:t>
      </w:r>
      <w:r w:rsidRPr="00E35944">
        <w:rPr>
          <w:rFonts w:cs="Arial"/>
          <w:color w:val="auto"/>
          <w:lang w:val="cs-CZ"/>
        </w:rPr>
        <w:t>20</w:t>
      </w:r>
      <w:r w:rsidRPr="00E35944">
        <w:rPr>
          <w:rFonts w:cs="Arial"/>
          <w:color w:val="auto"/>
        </w:rPr>
        <w:t xml:space="preserve"> řádně plněna stanovená opatření k eliminaci všech identifikovaných rizik OPZ, která jsou v kompetenci ŘO OPZ, nepodařilo se zcela eliminovat žádné z vykazovaných rizik. K datu 30. června 20</w:t>
      </w:r>
      <w:r w:rsidRPr="00E35944">
        <w:rPr>
          <w:rFonts w:cs="Arial"/>
          <w:color w:val="auto"/>
          <w:lang w:val="cs-CZ"/>
        </w:rPr>
        <w:t>20</w:t>
      </w:r>
      <w:r w:rsidRPr="00E35944">
        <w:rPr>
          <w:rFonts w:cs="Arial"/>
          <w:color w:val="auto"/>
        </w:rPr>
        <w:t xml:space="preserve"> tak bylo v</w:t>
      </w:r>
      <w:r>
        <w:rPr>
          <w:rFonts w:cs="Arial"/>
          <w:color w:val="auto"/>
          <w:lang w:val="cs-CZ"/>
        </w:rPr>
        <w:t> </w:t>
      </w:r>
      <w:r w:rsidRPr="00E35944">
        <w:rPr>
          <w:rFonts w:cs="Arial"/>
          <w:color w:val="auto"/>
        </w:rPr>
        <w:t>systému řízení rizik OPZ evidováno celkem 1</w:t>
      </w:r>
      <w:r w:rsidRPr="00E35944">
        <w:rPr>
          <w:rFonts w:cs="Arial"/>
          <w:color w:val="auto"/>
          <w:lang w:val="cs-CZ"/>
        </w:rPr>
        <w:t>9</w:t>
      </w:r>
      <w:r w:rsidRPr="00E35944">
        <w:rPr>
          <w:rFonts w:cs="Arial"/>
          <w:color w:val="auto"/>
        </w:rPr>
        <w:t xml:space="preserve"> rizik různé míry významnosti, z toho </w:t>
      </w:r>
      <w:r w:rsidRPr="00E35944">
        <w:rPr>
          <w:rFonts w:cs="Arial"/>
          <w:color w:val="auto"/>
          <w:lang w:val="cs-CZ"/>
        </w:rPr>
        <w:t>3</w:t>
      </w:r>
      <w:r w:rsidRPr="00E35944">
        <w:rPr>
          <w:rFonts w:cs="Arial"/>
          <w:color w:val="auto"/>
        </w:rPr>
        <w:t xml:space="preserve"> rizik</w:t>
      </w:r>
      <w:r w:rsidRPr="00E35944">
        <w:rPr>
          <w:rFonts w:cs="Arial"/>
          <w:color w:val="auto"/>
          <w:lang w:val="cs-CZ"/>
        </w:rPr>
        <w:t>a</w:t>
      </w:r>
      <w:r w:rsidRPr="00E35944">
        <w:rPr>
          <w:rFonts w:cs="Arial"/>
          <w:color w:val="auto"/>
        </w:rPr>
        <w:t xml:space="preserve"> kritick</w:t>
      </w:r>
      <w:r w:rsidRPr="00E35944">
        <w:rPr>
          <w:rFonts w:cs="Arial"/>
          <w:color w:val="auto"/>
          <w:lang w:val="cs-CZ"/>
        </w:rPr>
        <w:t>á</w:t>
      </w:r>
      <w:r w:rsidRPr="00E35944">
        <w:rPr>
          <w:rFonts w:cs="Arial"/>
          <w:color w:val="auto"/>
        </w:rPr>
        <w:t>.</w:t>
      </w:r>
      <w:r w:rsidRPr="00E35944">
        <w:rPr>
          <w:rFonts w:eastAsia="Arial"/>
          <w:color w:val="auto"/>
          <w:lang w:val="cs-CZ" w:eastAsia="en-US"/>
        </w:rPr>
        <w:t xml:space="preserve"> V rámci hodnocení rizik OPZ za 2. pololetí roku 2020 </w:t>
      </w:r>
      <w:r w:rsidRPr="00E35944">
        <w:rPr>
          <w:rFonts w:cs="Arial"/>
          <w:color w:val="auto"/>
        </w:rPr>
        <w:t>nebyl zaznamenán výraznější pokrok v řešení kritického rizika</w:t>
      </w:r>
      <w:r w:rsidRPr="00E35944">
        <w:rPr>
          <w:rFonts w:eastAsia="Arial"/>
          <w:color w:val="auto"/>
          <w:lang w:val="cs-CZ" w:eastAsia="en-US"/>
        </w:rPr>
        <w:t xml:space="preserve"> identifikovaného v 1. pololetí roku 2020, naproti tomu však byla velice efektivně řízena další dvě kritická rizika, identifikovaná již v předešlých obdobích, a sice riziko </w:t>
      </w:r>
      <w:r w:rsidR="005007AE">
        <w:rPr>
          <w:rFonts w:eastAsia="Arial"/>
          <w:color w:val="auto"/>
          <w:lang w:val="cs-CZ" w:eastAsia="en-US"/>
        </w:rPr>
        <w:t>č</w:t>
      </w:r>
      <w:r w:rsidRPr="00E35944">
        <w:rPr>
          <w:rFonts w:eastAsia="Arial"/>
          <w:iCs/>
          <w:color w:val="auto"/>
          <w:lang w:val="cs-CZ" w:eastAsia="en-US"/>
        </w:rPr>
        <w:t xml:space="preserve">erpání prostředků EU ve vazbě na rok 2020, </w:t>
      </w:r>
      <w:r w:rsidRPr="00E35944">
        <w:rPr>
          <w:rFonts w:eastAsia="Arial"/>
          <w:color w:val="auto"/>
          <w:lang w:val="cs-CZ" w:eastAsia="en-US"/>
        </w:rPr>
        <w:t xml:space="preserve">které se v důsledku splnění stanoveného nápravného opatření podařilo zcela odstranit, a dále riziko </w:t>
      </w:r>
      <w:r w:rsidR="005007AE">
        <w:rPr>
          <w:rFonts w:eastAsia="Arial"/>
          <w:color w:val="auto"/>
          <w:lang w:val="cs-CZ" w:eastAsia="en-US"/>
        </w:rPr>
        <w:t>n</w:t>
      </w:r>
      <w:proofErr w:type="spellStart"/>
      <w:r w:rsidRPr="00E35944">
        <w:rPr>
          <w:rFonts w:cs="Arial"/>
          <w:color w:val="auto"/>
        </w:rPr>
        <w:t>edostupnost</w:t>
      </w:r>
      <w:r w:rsidR="005007AE">
        <w:rPr>
          <w:rFonts w:cs="Arial"/>
          <w:color w:val="auto"/>
          <w:lang w:val="cs-CZ"/>
        </w:rPr>
        <w:t>i</w:t>
      </w:r>
      <w:proofErr w:type="spellEnd"/>
      <w:r w:rsidRPr="00E35944">
        <w:rPr>
          <w:rFonts w:cs="Arial"/>
          <w:color w:val="auto"/>
        </w:rPr>
        <w:t xml:space="preserve"> informačního systému pro danou činnost</w:t>
      </w:r>
      <w:r w:rsidRPr="00E35944">
        <w:rPr>
          <w:rFonts w:cs="Arial"/>
          <w:color w:val="auto"/>
          <w:lang w:val="cs-CZ"/>
        </w:rPr>
        <w:t xml:space="preserve">, jehož významnost se podařilo snížit na střední úroveň. Mimo výše popsané riziko </w:t>
      </w:r>
      <w:r w:rsidR="005007AE">
        <w:rPr>
          <w:rFonts w:cs="Arial"/>
          <w:color w:val="auto"/>
          <w:lang w:val="cs-CZ"/>
        </w:rPr>
        <w:t>č</w:t>
      </w:r>
      <w:r w:rsidRPr="00E35944">
        <w:rPr>
          <w:rFonts w:eastAsia="Arial"/>
          <w:iCs/>
          <w:color w:val="auto"/>
          <w:lang w:val="cs-CZ" w:eastAsia="en-US"/>
        </w:rPr>
        <w:t xml:space="preserve">erpání prostředků EU ve vazbě na rok 2021 </w:t>
      </w:r>
      <w:r w:rsidRPr="00E35944">
        <w:rPr>
          <w:rFonts w:cs="Arial"/>
          <w:color w:val="auto"/>
          <w:lang w:val="cs-CZ"/>
        </w:rPr>
        <w:t xml:space="preserve">nebylo v systému </w:t>
      </w:r>
      <w:r w:rsidRPr="00E35944">
        <w:rPr>
          <w:rFonts w:cs="Arial"/>
          <w:color w:val="auto"/>
          <w:lang w:val="cs-CZ"/>
        </w:rPr>
        <w:lastRenderedPageBreak/>
        <w:t>řízení rizik OPZ k datu 31. prosince 2020 evidováno žádné další kritické riziko, které by mohlo významným způsobem ohrozit implementaci programu.</w:t>
      </w:r>
    </w:p>
    <w:p w14:paraId="7F1CC445" w14:textId="3FD8B3D0" w:rsidR="001937BA" w:rsidRDefault="001937BA" w:rsidP="00CF472A">
      <w:pPr>
        <w:pStyle w:val="Zkladntext"/>
        <w:spacing w:after="120" w:line="276" w:lineRule="auto"/>
        <w:rPr>
          <w:rFonts w:cs="Arial"/>
          <w:color w:val="auto"/>
        </w:rPr>
      </w:pPr>
      <w:r w:rsidRPr="001937BA">
        <w:rPr>
          <w:rFonts w:cs="Arial"/>
          <w:color w:val="auto"/>
        </w:rPr>
        <w:t>V rámci IP1.2 Rovnost žen a mužů dále identifikujeme riziko komplikací při zajištění kontinuity a návazného financování služby péče o děti v dětských skupinách po ukončení financování z OPZ. Důvodem je, že se v roce 2020 nepodařilo schválit zákonnou úpravu, která by systémově řešila financování podpořených dětských skupin z OPZ poté, co bude jejich podpora z OPZ ukončena. Pokud by nedošlo ke schválení a</w:t>
      </w:r>
      <w:r w:rsidR="009864CF">
        <w:rPr>
          <w:rFonts w:cs="Arial"/>
          <w:color w:val="auto"/>
          <w:lang w:val="cs-CZ"/>
        </w:rPr>
        <w:t> </w:t>
      </w:r>
      <w:r w:rsidRPr="001937BA">
        <w:rPr>
          <w:rFonts w:cs="Arial"/>
          <w:color w:val="auto"/>
        </w:rPr>
        <w:t>tím i k plánovanému nabytí účinnosti novely zákona č. 247/2014., o poskytování služby péče o dítě v</w:t>
      </w:r>
      <w:r w:rsidR="009864CF">
        <w:rPr>
          <w:rFonts w:cs="Arial"/>
          <w:color w:val="auto"/>
          <w:lang w:val="cs-CZ"/>
        </w:rPr>
        <w:t> </w:t>
      </w:r>
      <w:r w:rsidRPr="001937BA">
        <w:rPr>
          <w:rFonts w:cs="Arial"/>
          <w:color w:val="auto"/>
        </w:rPr>
        <w:t>dětské skupině a o změně souvisejících zákonů, může se stát, že původně plánovaný termín ukončení podpory stávajících projektů z OPZ v roce 2022 nebude pravděpodobně možné udržet a v následujícím roce bude třeba najít nové řešení, jak plynulý přechod na financování ze státního rozpočtu zajistit.</w:t>
      </w:r>
    </w:p>
    <w:p w14:paraId="6742214A" w14:textId="650F7174" w:rsidR="00E92F98" w:rsidRPr="00CF472A" w:rsidRDefault="008D2065" w:rsidP="00CF472A">
      <w:pPr>
        <w:spacing w:after="120" w:line="276" w:lineRule="auto"/>
        <w:jc w:val="both"/>
        <w:rPr>
          <w:rFonts w:ascii="Arial" w:hAnsi="Arial" w:cs="Arial"/>
        </w:rPr>
      </w:pPr>
      <w:r w:rsidRPr="0000261D">
        <w:rPr>
          <w:rFonts w:ascii="Arial" w:hAnsi="Arial" w:cs="Arial"/>
          <w:lang w:eastAsia="en-US"/>
        </w:rPr>
        <w:t xml:space="preserve">V IP1.3 </w:t>
      </w:r>
      <w:proofErr w:type="spellStart"/>
      <w:r w:rsidRPr="0000261D">
        <w:rPr>
          <w:rFonts w:ascii="Arial" w:hAnsi="Arial" w:cs="Arial"/>
          <w:lang w:eastAsia="en-US"/>
        </w:rPr>
        <w:t>začala</w:t>
      </w:r>
      <w:proofErr w:type="spellEnd"/>
      <w:r w:rsidRPr="0000261D">
        <w:rPr>
          <w:rFonts w:ascii="Arial" w:hAnsi="Arial" w:cs="Arial"/>
        </w:rPr>
        <w:t xml:space="preserve"> v </w:t>
      </w:r>
      <w:proofErr w:type="spellStart"/>
      <w:r w:rsidRPr="0000261D">
        <w:rPr>
          <w:rFonts w:ascii="Arial" w:hAnsi="Arial" w:cs="Arial"/>
        </w:rPr>
        <w:t>březnu</w:t>
      </w:r>
      <w:proofErr w:type="spellEnd"/>
      <w:r w:rsidRPr="0000261D">
        <w:rPr>
          <w:rFonts w:ascii="Arial" w:hAnsi="Arial" w:cs="Arial"/>
        </w:rPr>
        <w:t xml:space="preserve"> 2020</w:t>
      </w:r>
      <w:r w:rsidRPr="0000261D">
        <w:rPr>
          <w:rFonts w:ascii="Arial" w:hAnsi="Arial" w:cs="Arial"/>
          <w:lang w:eastAsia="en-US"/>
        </w:rPr>
        <w:t xml:space="preserve"> </w:t>
      </w:r>
      <w:proofErr w:type="spellStart"/>
      <w:r w:rsidRPr="0000261D">
        <w:rPr>
          <w:rFonts w:ascii="Arial" w:hAnsi="Arial" w:cs="Arial"/>
          <w:lang w:eastAsia="en-US"/>
        </w:rPr>
        <w:t>realizaci</w:t>
      </w:r>
      <w:proofErr w:type="spellEnd"/>
      <w:r w:rsidRPr="0000261D">
        <w:rPr>
          <w:rFonts w:ascii="Arial" w:hAnsi="Arial" w:cs="Arial"/>
          <w:lang w:eastAsia="en-US"/>
        </w:rPr>
        <w:t xml:space="preserve"> </w:t>
      </w:r>
      <w:proofErr w:type="spellStart"/>
      <w:r w:rsidRPr="0000261D">
        <w:rPr>
          <w:rFonts w:ascii="Arial" w:hAnsi="Arial" w:cs="Arial"/>
          <w:lang w:eastAsia="en-US"/>
        </w:rPr>
        <w:t>projektů</w:t>
      </w:r>
      <w:proofErr w:type="spellEnd"/>
      <w:r w:rsidRPr="0000261D">
        <w:rPr>
          <w:rFonts w:ascii="Arial" w:hAnsi="Arial" w:cs="Arial"/>
          <w:lang w:eastAsia="en-US"/>
        </w:rPr>
        <w:t xml:space="preserve"> </w:t>
      </w:r>
      <w:proofErr w:type="spellStart"/>
      <w:r w:rsidR="00E92F98">
        <w:rPr>
          <w:rFonts w:ascii="Arial" w:hAnsi="Arial" w:cs="Arial"/>
          <w:lang w:eastAsia="en-US"/>
        </w:rPr>
        <w:t>ve</w:t>
      </w:r>
      <w:proofErr w:type="spellEnd"/>
      <w:r w:rsidRPr="0000261D">
        <w:rPr>
          <w:rFonts w:ascii="Arial" w:hAnsi="Arial" w:cs="Arial"/>
          <w:lang w:eastAsia="en-US"/>
        </w:rPr>
        <w:t xml:space="preserve"> </w:t>
      </w:r>
      <w:proofErr w:type="spellStart"/>
      <w:r w:rsidRPr="0000261D">
        <w:rPr>
          <w:rFonts w:ascii="Arial" w:hAnsi="Arial" w:cs="Arial"/>
          <w:lang w:eastAsia="en-US"/>
        </w:rPr>
        <w:t>zjednodušen</w:t>
      </w:r>
      <w:r w:rsidR="00E92F98">
        <w:rPr>
          <w:rFonts w:ascii="Arial" w:hAnsi="Arial" w:cs="Arial"/>
          <w:lang w:eastAsia="en-US"/>
        </w:rPr>
        <w:t>ém</w:t>
      </w:r>
      <w:proofErr w:type="spellEnd"/>
      <w:r w:rsidRPr="0000261D">
        <w:rPr>
          <w:rFonts w:ascii="Arial" w:hAnsi="Arial" w:cs="Arial"/>
          <w:lang w:eastAsia="en-US"/>
        </w:rPr>
        <w:t xml:space="preserve"> </w:t>
      </w:r>
      <w:proofErr w:type="spellStart"/>
      <w:r w:rsidRPr="0000261D">
        <w:rPr>
          <w:rFonts w:ascii="Arial" w:hAnsi="Arial" w:cs="Arial"/>
        </w:rPr>
        <w:t>vykazování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výdajů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formou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jednotkových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nákladů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zaměřených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na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další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profesní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vzdělávání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zaměstnanců</w:t>
      </w:r>
      <w:proofErr w:type="spellEnd"/>
      <w:r w:rsidR="00E92F98">
        <w:rPr>
          <w:rFonts w:ascii="Arial" w:hAnsi="Arial" w:cs="Arial"/>
        </w:rPr>
        <w:t>,</w:t>
      </w:r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  <w:lang w:eastAsia="en-US"/>
        </w:rPr>
        <w:t>ovlivňovat</w:t>
      </w:r>
      <w:proofErr w:type="spellEnd"/>
      <w:r w:rsidRPr="0000261D">
        <w:rPr>
          <w:rFonts w:ascii="Arial" w:eastAsiaTheme="minorHAnsi" w:hAnsi="Arial" w:cs="Arial"/>
          <w:color w:val="000000"/>
          <w:lang w:val="cs-CZ" w:eastAsia="en-US"/>
        </w:rPr>
        <w:t xml:space="preserve"> pandemie COVID</w:t>
      </w:r>
      <w:r w:rsidR="00E92F98">
        <w:rPr>
          <w:rFonts w:ascii="Arial" w:eastAsiaTheme="minorHAnsi" w:hAnsi="Arial" w:cs="Arial"/>
          <w:color w:val="000000"/>
          <w:lang w:val="cs-CZ" w:eastAsia="en-US"/>
        </w:rPr>
        <w:t>-</w:t>
      </w:r>
      <w:r w:rsidRPr="0000261D">
        <w:rPr>
          <w:rFonts w:ascii="Arial" w:eastAsiaTheme="minorHAnsi" w:hAnsi="Arial" w:cs="Arial"/>
          <w:color w:val="000000"/>
          <w:lang w:val="cs-CZ" w:eastAsia="en-US"/>
        </w:rPr>
        <w:t>19</w:t>
      </w:r>
      <w:r w:rsidRPr="0000261D">
        <w:rPr>
          <w:rFonts w:ascii="Arial" w:hAnsi="Arial" w:cs="Arial"/>
          <w:lang w:eastAsia="en-US"/>
        </w:rPr>
        <w:t xml:space="preserve">, </w:t>
      </w:r>
      <w:proofErr w:type="spellStart"/>
      <w:r w:rsidRPr="0000261D">
        <w:rPr>
          <w:rFonts w:ascii="Arial" w:hAnsi="Arial" w:cs="Arial"/>
          <w:lang w:eastAsia="en-US"/>
        </w:rPr>
        <w:t>zejména</w:t>
      </w:r>
      <w:proofErr w:type="spellEnd"/>
      <w:r w:rsidRPr="0000261D">
        <w:rPr>
          <w:rFonts w:ascii="Arial" w:hAnsi="Arial" w:cs="Arial"/>
          <w:lang w:eastAsia="en-US"/>
        </w:rPr>
        <w:t xml:space="preserve"> </w:t>
      </w:r>
      <w:proofErr w:type="spellStart"/>
      <w:r w:rsidRPr="0000261D">
        <w:rPr>
          <w:rFonts w:ascii="Arial" w:hAnsi="Arial" w:cs="Arial"/>
          <w:lang w:eastAsia="en-US"/>
        </w:rPr>
        <w:t>pak</w:t>
      </w:r>
      <w:proofErr w:type="spellEnd"/>
      <w:r w:rsidRPr="0000261D">
        <w:rPr>
          <w:rFonts w:ascii="Arial" w:hAnsi="Arial" w:cs="Arial"/>
          <w:lang w:eastAsia="en-US"/>
        </w:rPr>
        <w:t xml:space="preserve"> </w:t>
      </w:r>
      <w:proofErr w:type="spellStart"/>
      <w:r w:rsidRPr="0000261D">
        <w:rPr>
          <w:rFonts w:ascii="Arial" w:hAnsi="Arial" w:cs="Arial"/>
          <w:lang w:eastAsia="en-US"/>
        </w:rPr>
        <w:t>v</w:t>
      </w:r>
      <w:r w:rsidRPr="0000261D">
        <w:rPr>
          <w:rFonts w:ascii="Arial" w:hAnsi="Arial" w:cs="Arial"/>
        </w:rPr>
        <w:t>yhlášení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nouzového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stavu</w:t>
      </w:r>
      <w:proofErr w:type="spellEnd"/>
      <w:r w:rsidRPr="0000261D">
        <w:rPr>
          <w:rFonts w:ascii="Arial" w:hAnsi="Arial" w:cs="Arial"/>
        </w:rPr>
        <w:t xml:space="preserve"> v ČR a </w:t>
      </w:r>
      <w:proofErr w:type="spellStart"/>
      <w:r w:rsidRPr="0000261D">
        <w:rPr>
          <w:rFonts w:ascii="Arial" w:hAnsi="Arial" w:cs="Arial"/>
        </w:rPr>
        <w:t>přijetí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mimořádných</w:t>
      </w:r>
      <w:proofErr w:type="spellEnd"/>
      <w:r w:rsidRPr="0000261D">
        <w:rPr>
          <w:rFonts w:ascii="Arial" w:hAnsi="Arial" w:cs="Arial"/>
        </w:rPr>
        <w:t xml:space="preserve"> a </w:t>
      </w:r>
      <w:proofErr w:type="spellStart"/>
      <w:r w:rsidRPr="0000261D">
        <w:rPr>
          <w:rFonts w:ascii="Arial" w:hAnsi="Arial" w:cs="Arial"/>
        </w:rPr>
        <w:t>krizových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opatření</w:t>
      </w:r>
      <w:proofErr w:type="spellEnd"/>
      <w:r w:rsidRPr="0000261D">
        <w:rPr>
          <w:rFonts w:ascii="Arial" w:hAnsi="Arial" w:cs="Arial"/>
        </w:rPr>
        <w:t>. V </w:t>
      </w:r>
      <w:proofErr w:type="spellStart"/>
      <w:r w:rsidRPr="0000261D">
        <w:rPr>
          <w:rFonts w:ascii="Arial" w:hAnsi="Arial" w:cs="Arial"/>
        </w:rPr>
        <w:t>reakci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na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tyto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skutečnosti</w:t>
      </w:r>
      <w:proofErr w:type="spellEnd"/>
      <w:r w:rsidRPr="0000261D">
        <w:rPr>
          <w:rFonts w:ascii="Arial" w:hAnsi="Arial" w:cs="Arial"/>
        </w:rPr>
        <w:t xml:space="preserve"> ŘO </w:t>
      </w:r>
      <w:proofErr w:type="spellStart"/>
      <w:r w:rsidRPr="0000261D">
        <w:rPr>
          <w:rFonts w:ascii="Arial" w:hAnsi="Arial" w:cs="Arial"/>
        </w:rPr>
        <w:t>vydal</w:t>
      </w:r>
      <w:proofErr w:type="spellEnd"/>
      <w:r w:rsidRPr="0000261D">
        <w:rPr>
          <w:rFonts w:ascii="Arial" w:hAnsi="Arial" w:cs="Arial"/>
        </w:rPr>
        <w:t xml:space="preserve"> v </w:t>
      </w:r>
      <w:proofErr w:type="spellStart"/>
      <w:r w:rsidRPr="0000261D">
        <w:rPr>
          <w:rFonts w:ascii="Arial" w:hAnsi="Arial" w:cs="Arial"/>
        </w:rPr>
        <w:t>dubnu</w:t>
      </w:r>
      <w:proofErr w:type="spellEnd"/>
      <w:r w:rsidRPr="0000261D">
        <w:rPr>
          <w:rFonts w:ascii="Arial" w:hAnsi="Arial" w:cs="Arial"/>
        </w:rPr>
        <w:t xml:space="preserve"> 2020 a </w:t>
      </w:r>
      <w:proofErr w:type="spellStart"/>
      <w:r w:rsidRPr="0000261D">
        <w:rPr>
          <w:rFonts w:ascii="Arial" w:hAnsi="Arial" w:cs="Arial"/>
        </w:rPr>
        <w:t>prosinci</w:t>
      </w:r>
      <w:proofErr w:type="spellEnd"/>
      <w:r w:rsidRPr="0000261D">
        <w:rPr>
          <w:rFonts w:ascii="Arial" w:hAnsi="Arial" w:cs="Arial"/>
        </w:rPr>
        <w:t xml:space="preserve"> 2020 (s </w:t>
      </w:r>
      <w:proofErr w:type="spellStart"/>
      <w:r w:rsidRPr="0000261D">
        <w:rPr>
          <w:rFonts w:ascii="Arial" w:hAnsi="Arial" w:cs="Arial"/>
        </w:rPr>
        <w:t>účinností</w:t>
      </w:r>
      <w:proofErr w:type="spellEnd"/>
      <w:r w:rsidRPr="0000261D">
        <w:rPr>
          <w:rFonts w:ascii="Arial" w:hAnsi="Arial" w:cs="Arial"/>
        </w:rPr>
        <w:t xml:space="preserve"> od 1.1.2021) </w:t>
      </w:r>
      <w:proofErr w:type="spellStart"/>
      <w:r w:rsidRPr="0000261D">
        <w:rPr>
          <w:rFonts w:ascii="Arial" w:hAnsi="Arial" w:cs="Arial"/>
        </w:rPr>
        <w:t>několik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výjimek</w:t>
      </w:r>
      <w:proofErr w:type="spellEnd"/>
      <w:r w:rsidRPr="0000261D">
        <w:rPr>
          <w:rFonts w:ascii="Arial" w:hAnsi="Arial" w:cs="Arial"/>
        </w:rPr>
        <w:t xml:space="preserve"> z </w:t>
      </w:r>
      <w:proofErr w:type="spellStart"/>
      <w:r w:rsidRPr="0000261D">
        <w:rPr>
          <w:rFonts w:ascii="Arial" w:hAnsi="Arial" w:cs="Arial"/>
        </w:rPr>
        <w:t>řídící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dokumentace</w:t>
      </w:r>
      <w:proofErr w:type="spellEnd"/>
      <w:r w:rsidRPr="0000261D">
        <w:rPr>
          <w:rFonts w:ascii="Arial" w:hAnsi="Arial" w:cs="Arial"/>
        </w:rPr>
        <w:t xml:space="preserve">, </w:t>
      </w:r>
      <w:proofErr w:type="spellStart"/>
      <w:r w:rsidRPr="0000261D">
        <w:rPr>
          <w:rFonts w:ascii="Arial" w:hAnsi="Arial" w:cs="Arial"/>
        </w:rPr>
        <w:t>které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konkrétně</w:t>
      </w:r>
      <w:proofErr w:type="spellEnd"/>
      <w:r w:rsidRPr="0000261D">
        <w:rPr>
          <w:rFonts w:ascii="Arial" w:hAnsi="Arial" w:cs="Arial"/>
        </w:rPr>
        <w:t xml:space="preserve"> v </w:t>
      </w:r>
      <w:proofErr w:type="spellStart"/>
      <w:r w:rsidRPr="0000261D">
        <w:rPr>
          <w:rFonts w:ascii="Arial" w:hAnsi="Arial" w:cs="Arial"/>
        </w:rPr>
        <w:t>projektech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výzev</w:t>
      </w:r>
      <w:proofErr w:type="spellEnd"/>
      <w:r w:rsidRPr="0000261D">
        <w:rPr>
          <w:rFonts w:ascii="Arial" w:hAnsi="Arial" w:cs="Arial"/>
        </w:rPr>
        <w:t xml:space="preserve"> </w:t>
      </w:r>
      <w:r w:rsidRPr="00CF472A">
        <w:rPr>
          <w:rFonts w:ascii="Arial" w:hAnsi="Arial" w:cs="Arial"/>
          <w:b/>
          <w:bCs/>
        </w:rPr>
        <w:t>43</w:t>
      </w:r>
      <w:r w:rsidRPr="0000261D">
        <w:rPr>
          <w:rFonts w:ascii="Arial" w:hAnsi="Arial" w:cs="Arial"/>
        </w:rPr>
        <w:t xml:space="preserve">, </w:t>
      </w:r>
      <w:r w:rsidRPr="00CF472A">
        <w:rPr>
          <w:rFonts w:ascii="Arial" w:hAnsi="Arial" w:cs="Arial"/>
          <w:b/>
          <w:bCs/>
        </w:rPr>
        <w:t>60</w:t>
      </w:r>
      <w:r w:rsidRPr="0000261D">
        <w:rPr>
          <w:rFonts w:ascii="Arial" w:hAnsi="Arial" w:cs="Arial"/>
        </w:rPr>
        <w:t xml:space="preserve">, </w:t>
      </w:r>
      <w:r w:rsidRPr="00CF472A">
        <w:rPr>
          <w:rFonts w:ascii="Arial" w:hAnsi="Arial" w:cs="Arial"/>
          <w:b/>
          <w:bCs/>
        </w:rPr>
        <w:t>110</w:t>
      </w:r>
      <w:r w:rsidRPr="0000261D">
        <w:rPr>
          <w:rFonts w:ascii="Arial" w:hAnsi="Arial" w:cs="Arial"/>
        </w:rPr>
        <w:t xml:space="preserve"> a </w:t>
      </w:r>
      <w:r w:rsidRPr="00CF472A">
        <w:rPr>
          <w:rFonts w:ascii="Arial" w:hAnsi="Arial" w:cs="Arial"/>
          <w:b/>
          <w:bCs/>
        </w:rPr>
        <w:t>97</w:t>
      </w:r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umožnili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realizaci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vzdělávacích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aktivit</w:t>
      </w:r>
      <w:proofErr w:type="spellEnd"/>
      <w:r w:rsidRPr="0000261D">
        <w:rPr>
          <w:rFonts w:ascii="Arial" w:hAnsi="Arial" w:cs="Arial"/>
        </w:rPr>
        <w:t xml:space="preserve"> v </w:t>
      </w:r>
      <w:proofErr w:type="spellStart"/>
      <w:r w:rsidRPr="0000261D">
        <w:rPr>
          <w:rFonts w:ascii="Arial" w:hAnsi="Arial" w:cs="Arial"/>
        </w:rPr>
        <w:t>elektronické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formě</w:t>
      </w:r>
      <w:proofErr w:type="spellEnd"/>
      <w:r w:rsidRPr="0000261D">
        <w:rPr>
          <w:rFonts w:ascii="Arial" w:hAnsi="Arial" w:cs="Arial"/>
        </w:rPr>
        <w:t xml:space="preserve"> a </w:t>
      </w:r>
      <w:proofErr w:type="spellStart"/>
      <w:r w:rsidRPr="0000261D">
        <w:rPr>
          <w:rFonts w:ascii="Arial" w:hAnsi="Arial" w:cs="Arial"/>
        </w:rPr>
        <w:t>upravili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pravidla</w:t>
      </w:r>
      <w:proofErr w:type="spellEnd"/>
      <w:r w:rsidRPr="0000261D">
        <w:rPr>
          <w:rFonts w:ascii="Arial" w:hAnsi="Arial" w:cs="Arial"/>
        </w:rPr>
        <w:t xml:space="preserve"> pro </w:t>
      </w:r>
      <w:proofErr w:type="spellStart"/>
      <w:r w:rsidRPr="0000261D">
        <w:rPr>
          <w:rFonts w:ascii="Arial" w:hAnsi="Arial" w:cs="Arial"/>
        </w:rPr>
        <w:t>předkládání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plánů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aktivit</w:t>
      </w:r>
      <w:proofErr w:type="spellEnd"/>
      <w:r w:rsidRPr="0000261D">
        <w:rPr>
          <w:rFonts w:ascii="Arial" w:hAnsi="Arial" w:cs="Arial"/>
        </w:rPr>
        <w:t xml:space="preserve">, </w:t>
      </w:r>
      <w:proofErr w:type="spellStart"/>
      <w:r w:rsidRPr="0000261D">
        <w:rPr>
          <w:rFonts w:ascii="Arial" w:hAnsi="Arial" w:cs="Arial"/>
        </w:rPr>
        <w:t>tak</w:t>
      </w:r>
      <w:proofErr w:type="spellEnd"/>
      <w:r w:rsidRPr="0000261D">
        <w:rPr>
          <w:rFonts w:ascii="Arial" w:hAnsi="Arial" w:cs="Arial"/>
        </w:rPr>
        <w:t xml:space="preserve">, aby </w:t>
      </w:r>
      <w:proofErr w:type="spellStart"/>
      <w:r w:rsidRPr="0000261D">
        <w:rPr>
          <w:rFonts w:ascii="Arial" w:hAnsi="Arial" w:cs="Arial"/>
        </w:rPr>
        <w:t>bylo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možné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plán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aktivit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flexibilně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upravovat</w:t>
      </w:r>
      <w:proofErr w:type="spellEnd"/>
      <w:r w:rsidRPr="0000261D">
        <w:rPr>
          <w:rFonts w:ascii="Arial" w:hAnsi="Arial" w:cs="Arial"/>
        </w:rPr>
        <w:t xml:space="preserve"> a </w:t>
      </w:r>
      <w:proofErr w:type="spellStart"/>
      <w:r w:rsidRPr="0000261D">
        <w:rPr>
          <w:rFonts w:ascii="Arial" w:hAnsi="Arial" w:cs="Arial"/>
        </w:rPr>
        <w:t>reagovat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tak</w:t>
      </w:r>
      <w:proofErr w:type="spellEnd"/>
      <w:r w:rsidRPr="0000261D">
        <w:rPr>
          <w:rFonts w:ascii="Arial" w:hAnsi="Arial" w:cs="Arial"/>
        </w:rPr>
        <w:t xml:space="preserve">, </w:t>
      </w:r>
      <w:proofErr w:type="spellStart"/>
      <w:r w:rsidRPr="0000261D">
        <w:rPr>
          <w:rFonts w:ascii="Arial" w:hAnsi="Arial" w:cs="Arial"/>
        </w:rPr>
        <w:t>na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neustále</w:t>
      </w:r>
      <w:proofErr w:type="spellEnd"/>
      <w:r w:rsidRPr="0000261D">
        <w:rPr>
          <w:rFonts w:ascii="Arial" w:hAnsi="Arial" w:cs="Arial"/>
        </w:rPr>
        <w:t xml:space="preserve"> se </w:t>
      </w:r>
      <w:proofErr w:type="spellStart"/>
      <w:r w:rsidRPr="0000261D">
        <w:rPr>
          <w:rFonts w:ascii="Arial" w:hAnsi="Arial" w:cs="Arial"/>
        </w:rPr>
        <w:t>měnící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mimořádná</w:t>
      </w:r>
      <w:proofErr w:type="spellEnd"/>
      <w:r w:rsidRPr="0000261D">
        <w:rPr>
          <w:rFonts w:ascii="Arial" w:hAnsi="Arial" w:cs="Arial"/>
        </w:rPr>
        <w:t xml:space="preserve"> a </w:t>
      </w:r>
      <w:proofErr w:type="spellStart"/>
      <w:r w:rsidRPr="0000261D">
        <w:rPr>
          <w:rFonts w:ascii="Arial" w:hAnsi="Arial" w:cs="Arial"/>
        </w:rPr>
        <w:t>krizová</w:t>
      </w:r>
      <w:proofErr w:type="spellEnd"/>
      <w:r w:rsidRPr="0000261D">
        <w:rPr>
          <w:rFonts w:ascii="Arial" w:hAnsi="Arial" w:cs="Arial"/>
        </w:rPr>
        <w:t xml:space="preserve"> </w:t>
      </w:r>
      <w:proofErr w:type="spellStart"/>
      <w:r w:rsidRPr="0000261D">
        <w:rPr>
          <w:rFonts w:ascii="Arial" w:hAnsi="Arial" w:cs="Arial"/>
        </w:rPr>
        <w:t>opatření</w:t>
      </w:r>
      <w:proofErr w:type="spellEnd"/>
      <w:r w:rsidRPr="0000261D">
        <w:rPr>
          <w:rFonts w:ascii="Arial" w:hAnsi="Arial" w:cs="Arial"/>
        </w:rPr>
        <w:t>.</w:t>
      </w:r>
    </w:p>
    <w:p w14:paraId="4CF972C5" w14:textId="5637A79B" w:rsidR="00E815B5" w:rsidRPr="00E92F98" w:rsidRDefault="00E815B5" w:rsidP="00E92F98">
      <w:pPr>
        <w:pStyle w:val="Zkladntext"/>
        <w:spacing w:after="240" w:line="276" w:lineRule="auto"/>
        <w:rPr>
          <w:rFonts w:cs="Arial"/>
          <w:color w:val="auto"/>
          <w:lang w:val="cs-CZ"/>
        </w:rPr>
      </w:pPr>
      <w:bookmarkStart w:id="21" w:name="_Hlk64903236"/>
      <w:r w:rsidRPr="00E92F98">
        <w:rPr>
          <w:rFonts w:cs="Arial"/>
          <w:color w:val="auto"/>
        </w:rPr>
        <w:t>V souvislosti s </w:t>
      </w:r>
      <w:proofErr w:type="spellStart"/>
      <w:r w:rsidRPr="00E92F98">
        <w:rPr>
          <w:rFonts w:cs="Arial"/>
          <w:color w:val="auto"/>
        </w:rPr>
        <w:t>koronavavirovou</w:t>
      </w:r>
      <w:proofErr w:type="spellEnd"/>
      <w:r w:rsidRPr="00E92F98">
        <w:rPr>
          <w:rFonts w:cs="Arial"/>
          <w:color w:val="auto"/>
        </w:rPr>
        <w:t xml:space="preserve"> pandemií schválila Evropská komise na žádost ŘO OPZ použití podpory </w:t>
      </w:r>
      <w:r>
        <w:rPr>
          <w:rFonts w:cs="Arial"/>
          <w:color w:val="auto"/>
          <w:lang w:val="cs-CZ"/>
        </w:rPr>
        <w:t xml:space="preserve">poskytované </w:t>
      </w:r>
      <w:r w:rsidRPr="00A957D8">
        <w:rPr>
          <w:rFonts w:cs="Arial"/>
          <w:color w:val="auto"/>
        </w:rPr>
        <w:t xml:space="preserve">podle </w:t>
      </w:r>
      <w:r w:rsidRPr="00E92F98">
        <w:rPr>
          <w:rFonts w:cs="Arial"/>
          <w:color w:val="auto"/>
        </w:rPr>
        <w:t xml:space="preserve">bodu 3.1 tzv. </w:t>
      </w:r>
      <w:r w:rsidR="00E92F98">
        <w:rPr>
          <w:rFonts w:cs="Arial"/>
          <w:color w:val="auto"/>
          <w:lang w:val="cs-CZ"/>
        </w:rPr>
        <w:t>D</w:t>
      </w:r>
      <w:proofErr w:type="spellStart"/>
      <w:r w:rsidRPr="00E92F98">
        <w:rPr>
          <w:rFonts w:cs="Arial"/>
          <w:color w:val="auto"/>
        </w:rPr>
        <w:t>očasného</w:t>
      </w:r>
      <w:proofErr w:type="spellEnd"/>
      <w:r w:rsidRPr="00E92F98">
        <w:rPr>
          <w:rFonts w:cs="Arial"/>
          <w:color w:val="auto"/>
        </w:rPr>
        <w:t xml:space="preserve"> rámce </w:t>
      </w:r>
      <w:r>
        <w:rPr>
          <w:rFonts w:cs="Arial"/>
          <w:color w:val="auto"/>
          <w:lang w:val="cs-CZ"/>
        </w:rPr>
        <w:t xml:space="preserve">v projektech OPZ </w:t>
      </w:r>
      <w:r w:rsidRPr="00E92F98">
        <w:rPr>
          <w:rFonts w:cs="Arial"/>
          <w:color w:val="auto"/>
        </w:rPr>
        <w:t>(</w:t>
      </w:r>
      <w:proofErr w:type="spellStart"/>
      <w:r w:rsidRPr="00E92F98">
        <w:rPr>
          <w:rFonts w:cs="Arial"/>
          <w:color w:val="auto"/>
        </w:rPr>
        <w:t>State</w:t>
      </w:r>
      <w:proofErr w:type="spellEnd"/>
      <w:r w:rsidRPr="00E92F98">
        <w:rPr>
          <w:rFonts w:cs="Arial"/>
          <w:color w:val="auto"/>
        </w:rPr>
        <w:t xml:space="preserve"> Aid SA.58167 (2020/N) – Czech Republic COVID-19: </w:t>
      </w:r>
      <w:proofErr w:type="spellStart"/>
      <w:r w:rsidRPr="00E92F98">
        <w:rPr>
          <w:rFonts w:cs="Arial"/>
          <w:color w:val="auto"/>
        </w:rPr>
        <w:t>Operational</w:t>
      </w:r>
      <w:proofErr w:type="spellEnd"/>
      <w:r w:rsidRPr="00E92F98">
        <w:rPr>
          <w:rFonts w:cs="Arial"/>
          <w:color w:val="auto"/>
        </w:rPr>
        <w:t xml:space="preserve"> </w:t>
      </w:r>
      <w:proofErr w:type="spellStart"/>
      <w:r w:rsidRPr="00E92F98">
        <w:rPr>
          <w:rFonts w:cs="Arial"/>
          <w:color w:val="auto"/>
        </w:rPr>
        <w:t>Programme</w:t>
      </w:r>
      <w:proofErr w:type="spellEnd"/>
      <w:r w:rsidRPr="00E92F98">
        <w:rPr>
          <w:rFonts w:cs="Arial"/>
          <w:color w:val="auto"/>
        </w:rPr>
        <w:t xml:space="preserve"> </w:t>
      </w:r>
      <w:proofErr w:type="spellStart"/>
      <w:r w:rsidRPr="00E92F98">
        <w:rPr>
          <w:rFonts w:cs="Arial"/>
          <w:color w:val="auto"/>
        </w:rPr>
        <w:t>Employment</w:t>
      </w:r>
      <w:proofErr w:type="spellEnd"/>
      <w:r>
        <w:rPr>
          <w:rFonts w:cs="Arial"/>
          <w:color w:val="auto"/>
          <w:lang w:val="cs-CZ"/>
        </w:rPr>
        <w:t>).</w:t>
      </w:r>
      <w:r w:rsidR="005504E1">
        <w:rPr>
          <w:rFonts w:cs="Arial"/>
          <w:color w:val="auto"/>
          <w:lang w:val="cs-CZ"/>
        </w:rPr>
        <w:t xml:space="preserve"> Celková hodnota takto poskytnuté podpory může činit až </w:t>
      </w:r>
      <w:r w:rsidR="005504E1" w:rsidRPr="005504E1">
        <w:rPr>
          <w:rFonts w:cs="Arial"/>
          <w:color w:val="auto"/>
          <w:lang w:val="cs-CZ"/>
        </w:rPr>
        <w:t xml:space="preserve">100 </w:t>
      </w:r>
      <w:r w:rsidR="00E92F98">
        <w:rPr>
          <w:rFonts w:cs="Arial"/>
          <w:color w:val="auto"/>
          <w:lang w:val="cs-CZ"/>
        </w:rPr>
        <w:t>mil.</w:t>
      </w:r>
      <w:r w:rsidR="005504E1" w:rsidRPr="005504E1">
        <w:rPr>
          <w:rFonts w:cs="Arial"/>
          <w:color w:val="auto"/>
          <w:lang w:val="cs-CZ"/>
        </w:rPr>
        <w:t xml:space="preserve"> EUR</w:t>
      </w:r>
      <w:r w:rsidR="005504E1">
        <w:rPr>
          <w:rFonts w:cs="Arial"/>
          <w:color w:val="auto"/>
          <w:lang w:val="cs-CZ"/>
        </w:rPr>
        <w:t>.</w:t>
      </w:r>
      <w:bookmarkEnd w:id="21"/>
    </w:p>
    <w:p w14:paraId="45D8DC5B" w14:textId="77777777" w:rsidR="00A2351A" w:rsidRDefault="002D5C25">
      <w:pPr>
        <w:spacing w:after="120" w:line="264" w:lineRule="auto"/>
        <w:ind w:left="119" w:right="121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b) VOLITELNĚ U KRÁTKÝCH ZPRÁV, v </w:t>
      </w:r>
      <w:proofErr w:type="spellStart"/>
      <w:r>
        <w:rPr>
          <w:rFonts w:ascii="Arial" w:eastAsia="Arial" w:hAnsi="Arial" w:cs="Arial"/>
          <w:color w:val="000000"/>
          <w:sz w:val="20"/>
        </w:rPr>
        <w:t>opačném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případě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to </w:t>
      </w:r>
      <w:proofErr w:type="spellStart"/>
      <w:r>
        <w:rPr>
          <w:rFonts w:ascii="Arial" w:eastAsia="Arial" w:hAnsi="Arial" w:cs="Arial"/>
          <w:color w:val="000000"/>
          <w:sz w:val="20"/>
        </w:rPr>
        <w:t>bude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</w:rPr>
        <w:t>uvedeno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v </w:t>
      </w:r>
      <w:proofErr w:type="spellStart"/>
      <w:r>
        <w:rPr>
          <w:rFonts w:ascii="Arial" w:eastAsia="Arial" w:hAnsi="Arial" w:cs="Arial"/>
          <w:color w:val="000000"/>
          <w:sz w:val="20"/>
        </w:rPr>
        <w:t>bodě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 11.1 </w:t>
      </w:r>
      <w:proofErr w:type="spellStart"/>
      <w:r>
        <w:rPr>
          <w:rFonts w:ascii="Arial" w:eastAsia="Arial" w:hAnsi="Arial" w:cs="Arial"/>
          <w:color w:val="000000"/>
          <w:sz w:val="20"/>
        </w:rPr>
        <w:t>vzoru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(</w:t>
      </w:r>
      <w:proofErr w:type="spellStart"/>
      <w:r>
        <w:rPr>
          <w:rFonts w:ascii="Arial" w:eastAsia="Arial" w:hAnsi="Arial" w:cs="Arial"/>
          <w:color w:val="000000"/>
          <w:sz w:val="20"/>
        </w:rPr>
        <w:t>čl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. 50 </w:t>
      </w:r>
      <w:proofErr w:type="spellStart"/>
      <w:r>
        <w:rPr>
          <w:rFonts w:ascii="Arial" w:eastAsia="Arial" w:hAnsi="Arial" w:cs="Arial"/>
          <w:color w:val="000000"/>
          <w:sz w:val="20"/>
        </w:rPr>
        <w:t>odst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. 4 </w:t>
      </w:r>
      <w:proofErr w:type="spellStart"/>
      <w:r>
        <w:rPr>
          <w:rFonts w:ascii="Arial" w:eastAsia="Arial" w:hAnsi="Arial" w:cs="Arial"/>
          <w:color w:val="000000"/>
          <w:sz w:val="20"/>
        </w:rPr>
        <w:t>nařízení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 (EU) č. 1303/2013):</w:t>
      </w:r>
    </w:p>
    <w:p w14:paraId="11CF1D16" w14:textId="6E585872" w:rsidR="005C5E28" w:rsidRPr="00E92F98" w:rsidRDefault="005C5E28" w:rsidP="002E03DE">
      <w:pPr>
        <w:spacing w:after="120" w:line="276" w:lineRule="auto"/>
        <w:ind w:right="121"/>
        <w:jc w:val="both"/>
        <w:rPr>
          <w:rFonts w:ascii="Arial" w:eastAsia="Arial" w:hAnsi="Arial" w:cs="Arial"/>
          <w:color w:val="000000"/>
        </w:rPr>
      </w:pPr>
      <w:proofErr w:type="spellStart"/>
      <w:r w:rsidRPr="0077769D">
        <w:rPr>
          <w:rFonts w:ascii="Arial" w:eastAsia="Arial" w:hAnsi="Arial" w:cs="Arial"/>
          <w:color w:val="000000"/>
        </w:rPr>
        <w:t>Objem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</w:t>
      </w:r>
      <w:proofErr w:type="spellStart"/>
      <w:r w:rsidR="00FB191E" w:rsidRPr="00FB191E">
        <w:rPr>
          <w:rFonts w:ascii="Arial" w:eastAsia="Arial" w:hAnsi="Arial" w:cs="Arial"/>
          <w:color w:val="000000"/>
        </w:rPr>
        <w:t>vydaných</w:t>
      </w:r>
      <w:proofErr w:type="spellEnd"/>
      <w:r w:rsidR="00FB191E" w:rsidRPr="00FB191E">
        <w:rPr>
          <w:rFonts w:ascii="Arial" w:eastAsia="Arial" w:hAnsi="Arial" w:cs="Arial"/>
          <w:color w:val="000000"/>
        </w:rPr>
        <w:t xml:space="preserve"> </w:t>
      </w:r>
      <w:proofErr w:type="spellStart"/>
      <w:r w:rsidR="00FB191E" w:rsidRPr="00FB191E">
        <w:rPr>
          <w:rFonts w:ascii="Arial" w:eastAsia="Arial" w:hAnsi="Arial" w:cs="Arial"/>
          <w:color w:val="000000"/>
        </w:rPr>
        <w:t>právních</w:t>
      </w:r>
      <w:proofErr w:type="spellEnd"/>
      <w:r w:rsidR="00FB191E" w:rsidRPr="00FB191E">
        <w:rPr>
          <w:rFonts w:ascii="Arial" w:eastAsia="Arial" w:hAnsi="Arial" w:cs="Arial"/>
          <w:color w:val="000000"/>
        </w:rPr>
        <w:t xml:space="preserve"> </w:t>
      </w:r>
      <w:proofErr w:type="spellStart"/>
      <w:r w:rsidR="00FB191E" w:rsidRPr="00FB191E">
        <w:rPr>
          <w:rFonts w:ascii="Arial" w:eastAsia="Arial" w:hAnsi="Arial" w:cs="Arial"/>
          <w:color w:val="000000"/>
        </w:rPr>
        <w:t>aktů</w:t>
      </w:r>
      <w:proofErr w:type="spellEnd"/>
      <w:r w:rsidR="00FB191E" w:rsidRPr="00FB191E">
        <w:rPr>
          <w:rFonts w:ascii="Arial" w:eastAsia="Arial" w:hAnsi="Arial" w:cs="Arial"/>
          <w:color w:val="000000"/>
        </w:rPr>
        <w:t xml:space="preserve"> </w:t>
      </w:r>
      <w:proofErr w:type="spellStart"/>
      <w:r w:rsidR="00FB191E" w:rsidRPr="00FB191E">
        <w:rPr>
          <w:rFonts w:ascii="Arial" w:eastAsia="Arial" w:hAnsi="Arial" w:cs="Arial"/>
          <w:color w:val="000000"/>
        </w:rPr>
        <w:t>na</w:t>
      </w:r>
      <w:proofErr w:type="spellEnd"/>
      <w:r w:rsidR="00FB191E" w:rsidRPr="00FB191E">
        <w:rPr>
          <w:rFonts w:ascii="Arial" w:eastAsia="Arial" w:hAnsi="Arial" w:cs="Arial"/>
          <w:color w:val="000000"/>
        </w:rPr>
        <w:t xml:space="preserve"> </w:t>
      </w:r>
      <w:proofErr w:type="spellStart"/>
      <w:r w:rsidR="00FB191E" w:rsidRPr="00FB191E">
        <w:rPr>
          <w:rFonts w:ascii="Arial" w:eastAsia="Arial" w:hAnsi="Arial" w:cs="Arial"/>
          <w:color w:val="000000"/>
        </w:rPr>
        <w:t>projekty</w:t>
      </w:r>
      <w:proofErr w:type="spellEnd"/>
      <w:r w:rsidR="00FB191E" w:rsidRPr="00FB191E">
        <w:rPr>
          <w:rFonts w:ascii="Arial" w:eastAsia="Arial" w:hAnsi="Arial" w:cs="Arial"/>
          <w:color w:val="000000"/>
        </w:rPr>
        <w:t xml:space="preserve"> </w:t>
      </w:r>
      <w:proofErr w:type="spellStart"/>
      <w:r w:rsidRPr="0077769D">
        <w:rPr>
          <w:rFonts w:ascii="Arial" w:eastAsia="Arial" w:hAnsi="Arial" w:cs="Arial"/>
          <w:color w:val="000000"/>
        </w:rPr>
        <w:t>dosáhl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</w:t>
      </w:r>
      <w:proofErr w:type="spellStart"/>
      <w:r w:rsidRPr="0077769D">
        <w:rPr>
          <w:rFonts w:ascii="Arial" w:eastAsia="Arial" w:hAnsi="Arial" w:cs="Arial"/>
          <w:color w:val="000000"/>
        </w:rPr>
        <w:t>výše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2 8</w:t>
      </w:r>
      <w:r w:rsidR="00A64B05">
        <w:rPr>
          <w:rFonts w:ascii="Arial" w:eastAsia="Arial" w:hAnsi="Arial" w:cs="Arial"/>
          <w:color w:val="000000"/>
        </w:rPr>
        <w:t>11</w:t>
      </w:r>
      <w:r w:rsidRPr="0077769D">
        <w:rPr>
          <w:rFonts w:ascii="Arial" w:eastAsia="Arial" w:hAnsi="Arial" w:cs="Arial"/>
          <w:color w:val="000000"/>
        </w:rPr>
        <w:t xml:space="preserve"> mil. EUR a </w:t>
      </w:r>
      <w:proofErr w:type="spellStart"/>
      <w:r w:rsidRPr="0077769D">
        <w:rPr>
          <w:rFonts w:ascii="Arial" w:eastAsia="Arial" w:hAnsi="Arial" w:cs="Arial"/>
          <w:color w:val="000000"/>
        </w:rPr>
        <w:t>pokryl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</w:t>
      </w:r>
      <w:proofErr w:type="spellStart"/>
      <w:r w:rsidRPr="0077769D">
        <w:rPr>
          <w:rFonts w:ascii="Arial" w:eastAsia="Arial" w:hAnsi="Arial" w:cs="Arial"/>
          <w:color w:val="000000"/>
        </w:rPr>
        <w:t>již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</w:t>
      </w:r>
      <w:proofErr w:type="spellStart"/>
      <w:r w:rsidRPr="0077769D">
        <w:rPr>
          <w:rFonts w:ascii="Arial" w:eastAsia="Arial" w:hAnsi="Arial" w:cs="Arial"/>
          <w:color w:val="000000"/>
        </w:rPr>
        <w:t>přes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9</w:t>
      </w:r>
      <w:r w:rsidR="00A64B05">
        <w:rPr>
          <w:rFonts w:ascii="Arial" w:eastAsia="Arial" w:hAnsi="Arial" w:cs="Arial"/>
          <w:color w:val="000000"/>
        </w:rPr>
        <w:t>7</w:t>
      </w:r>
      <w:r w:rsidRPr="0077769D">
        <w:rPr>
          <w:rFonts w:ascii="Arial" w:eastAsia="Arial" w:hAnsi="Arial" w:cs="Arial"/>
          <w:color w:val="000000"/>
        </w:rPr>
        <w:t xml:space="preserve"> % </w:t>
      </w:r>
      <w:proofErr w:type="spellStart"/>
      <w:r w:rsidRPr="0077769D">
        <w:rPr>
          <w:rFonts w:ascii="Arial" w:eastAsia="Arial" w:hAnsi="Arial" w:cs="Arial"/>
          <w:color w:val="000000"/>
        </w:rPr>
        <w:t>celkové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</w:t>
      </w:r>
      <w:proofErr w:type="spellStart"/>
      <w:r w:rsidRPr="0077769D">
        <w:rPr>
          <w:rFonts w:ascii="Arial" w:eastAsia="Arial" w:hAnsi="Arial" w:cs="Arial"/>
          <w:color w:val="000000"/>
        </w:rPr>
        <w:t>alokace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. </w:t>
      </w:r>
      <w:proofErr w:type="spellStart"/>
      <w:r w:rsidRPr="0077769D">
        <w:rPr>
          <w:rFonts w:ascii="Arial" w:eastAsia="Arial" w:hAnsi="Arial" w:cs="Arial"/>
          <w:color w:val="000000"/>
        </w:rPr>
        <w:t>Finanční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</w:t>
      </w:r>
      <w:proofErr w:type="spellStart"/>
      <w:r w:rsidRPr="0077769D">
        <w:rPr>
          <w:rFonts w:ascii="Arial" w:eastAsia="Arial" w:hAnsi="Arial" w:cs="Arial"/>
          <w:color w:val="000000"/>
        </w:rPr>
        <w:t>prostředky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</w:t>
      </w:r>
      <w:proofErr w:type="spellStart"/>
      <w:r w:rsidRPr="0077769D">
        <w:rPr>
          <w:rFonts w:ascii="Arial" w:eastAsia="Arial" w:hAnsi="Arial" w:cs="Arial"/>
          <w:color w:val="000000"/>
        </w:rPr>
        <w:t>vyúčtované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v </w:t>
      </w:r>
      <w:proofErr w:type="spellStart"/>
      <w:r w:rsidRPr="0077769D">
        <w:rPr>
          <w:rFonts w:ascii="Arial" w:eastAsia="Arial" w:hAnsi="Arial" w:cs="Arial"/>
          <w:color w:val="000000"/>
        </w:rPr>
        <w:t>žádostech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o </w:t>
      </w:r>
      <w:proofErr w:type="spellStart"/>
      <w:r w:rsidRPr="0077769D">
        <w:rPr>
          <w:rFonts w:ascii="Arial" w:eastAsia="Arial" w:hAnsi="Arial" w:cs="Arial"/>
          <w:color w:val="000000"/>
        </w:rPr>
        <w:t>platbu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</w:t>
      </w:r>
      <w:proofErr w:type="spellStart"/>
      <w:r w:rsidRPr="0077769D">
        <w:rPr>
          <w:rFonts w:ascii="Arial" w:eastAsia="Arial" w:hAnsi="Arial" w:cs="Arial"/>
          <w:color w:val="000000"/>
        </w:rPr>
        <w:t>dosáhly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</w:t>
      </w:r>
      <w:proofErr w:type="spellStart"/>
      <w:r w:rsidRPr="0077769D">
        <w:rPr>
          <w:rFonts w:ascii="Arial" w:eastAsia="Arial" w:hAnsi="Arial" w:cs="Arial"/>
          <w:color w:val="000000"/>
        </w:rPr>
        <w:t>výše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1 56</w:t>
      </w:r>
      <w:r w:rsidR="00A64B05">
        <w:rPr>
          <w:rFonts w:ascii="Arial" w:eastAsia="Arial" w:hAnsi="Arial" w:cs="Arial"/>
          <w:color w:val="000000"/>
        </w:rPr>
        <w:t>9</w:t>
      </w:r>
      <w:r w:rsidRPr="0077769D">
        <w:rPr>
          <w:rFonts w:ascii="Arial" w:eastAsia="Arial" w:hAnsi="Arial" w:cs="Arial"/>
          <w:color w:val="000000"/>
        </w:rPr>
        <w:t xml:space="preserve"> mil. EUR, resp. 5</w:t>
      </w:r>
      <w:r>
        <w:rPr>
          <w:rFonts w:ascii="Arial" w:eastAsia="Arial" w:hAnsi="Arial" w:cs="Arial"/>
          <w:color w:val="000000"/>
        </w:rPr>
        <w:t>4</w:t>
      </w:r>
      <w:r w:rsidRPr="0077769D">
        <w:rPr>
          <w:rFonts w:ascii="Arial" w:eastAsia="Arial" w:hAnsi="Arial" w:cs="Arial"/>
          <w:color w:val="000000"/>
        </w:rPr>
        <w:t xml:space="preserve"> % </w:t>
      </w:r>
      <w:proofErr w:type="spellStart"/>
      <w:r w:rsidRPr="0077769D">
        <w:rPr>
          <w:rFonts w:ascii="Arial" w:eastAsia="Arial" w:hAnsi="Arial" w:cs="Arial"/>
          <w:color w:val="000000"/>
        </w:rPr>
        <w:t>alokace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, z toho </w:t>
      </w:r>
      <w:proofErr w:type="spellStart"/>
      <w:r w:rsidRPr="0077769D">
        <w:rPr>
          <w:rFonts w:ascii="Arial" w:eastAsia="Arial" w:hAnsi="Arial" w:cs="Arial"/>
          <w:color w:val="000000"/>
        </w:rPr>
        <w:t>prostředky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</w:t>
      </w:r>
      <w:proofErr w:type="spellStart"/>
      <w:r w:rsidRPr="0077769D">
        <w:rPr>
          <w:rFonts w:ascii="Arial" w:eastAsia="Arial" w:hAnsi="Arial" w:cs="Arial"/>
          <w:color w:val="000000"/>
        </w:rPr>
        <w:t>zahrnuté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v </w:t>
      </w:r>
      <w:proofErr w:type="spellStart"/>
      <w:r w:rsidRPr="0077769D">
        <w:rPr>
          <w:rFonts w:ascii="Arial" w:eastAsia="Arial" w:hAnsi="Arial" w:cs="Arial"/>
          <w:color w:val="000000"/>
        </w:rPr>
        <w:t>souhrnných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</w:t>
      </w:r>
      <w:proofErr w:type="spellStart"/>
      <w:r w:rsidRPr="0077769D">
        <w:rPr>
          <w:rFonts w:ascii="Arial" w:eastAsia="Arial" w:hAnsi="Arial" w:cs="Arial"/>
          <w:color w:val="000000"/>
        </w:rPr>
        <w:t>žádostech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</w:t>
      </w:r>
      <w:proofErr w:type="spellStart"/>
      <w:r w:rsidRPr="0077769D">
        <w:rPr>
          <w:rFonts w:ascii="Arial" w:eastAsia="Arial" w:hAnsi="Arial" w:cs="Arial"/>
          <w:color w:val="000000"/>
        </w:rPr>
        <w:t>autorizovaných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</w:t>
      </w:r>
      <w:proofErr w:type="spellStart"/>
      <w:r w:rsidRPr="0077769D">
        <w:rPr>
          <w:rFonts w:ascii="Arial" w:eastAsia="Arial" w:hAnsi="Arial" w:cs="Arial"/>
          <w:color w:val="000000"/>
        </w:rPr>
        <w:t>řídicím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</w:t>
      </w:r>
      <w:proofErr w:type="spellStart"/>
      <w:r w:rsidRPr="0077769D">
        <w:rPr>
          <w:rFonts w:ascii="Arial" w:eastAsia="Arial" w:hAnsi="Arial" w:cs="Arial"/>
          <w:color w:val="000000"/>
        </w:rPr>
        <w:t>orgánem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</w:t>
      </w:r>
      <w:proofErr w:type="spellStart"/>
      <w:r w:rsidRPr="0077769D">
        <w:rPr>
          <w:rFonts w:ascii="Arial" w:eastAsia="Arial" w:hAnsi="Arial" w:cs="Arial"/>
          <w:color w:val="000000"/>
        </w:rPr>
        <w:t>představují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53 % </w:t>
      </w:r>
      <w:proofErr w:type="spellStart"/>
      <w:r w:rsidRPr="0077769D">
        <w:rPr>
          <w:rFonts w:ascii="Arial" w:eastAsia="Arial" w:hAnsi="Arial" w:cs="Arial"/>
          <w:color w:val="000000"/>
        </w:rPr>
        <w:t>alokace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OPZ. V </w:t>
      </w:r>
      <w:proofErr w:type="spellStart"/>
      <w:r w:rsidRPr="0077769D">
        <w:rPr>
          <w:rFonts w:ascii="Arial" w:eastAsia="Arial" w:hAnsi="Arial" w:cs="Arial"/>
          <w:color w:val="000000"/>
        </w:rPr>
        <w:t>roce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20</w:t>
      </w:r>
      <w:r>
        <w:rPr>
          <w:rFonts w:ascii="Arial" w:eastAsia="Arial" w:hAnsi="Arial" w:cs="Arial"/>
          <w:color w:val="000000"/>
        </w:rPr>
        <w:t>20</w:t>
      </w:r>
      <w:r w:rsidRPr="0077769D">
        <w:rPr>
          <w:rFonts w:ascii="Arial" w:eastAsia="Arial" w:hAnsi="Arial" w:cs="Arial"/>
          <w:color w:val="000000"/>
        </w:rPr>
        <w:t xml:space="preserve"> </w:t>
      </w:r>
      <w:proofErr w:type="spellStart"/>
      <w:r w:rsidRPr="0077769D">
        <w:rPr>
          <w:rFonts w:ascii="Arial" w:eastAsia="Arial" w:hAnsi="Arial" w:cs="Arial"/>
          <w:color w:val="000000"/>
        </w:rPr>
        <w:t>proběhlo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</w:t>
      </w:r>
      <w:proofErr w:type="spellStart"/>
      <w:r w:rsidRPr="0077769D">
        <w:rPr>
          <w:rFonts w:ascii="Arial" w:eastAsia="Arial" w:hAnsi="Arial" w:cs="Arial"/>
          <w:color w:val="000000"/>
        </w:rPr>
        <w:t>šest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</w:t>
      </w:r>
      <w:proofErr w:type="spellStart"/>
      <w:r w:rsidRPr="0077769D">
        <w:rPr>
          <w:rFonts w:ascii="Arial" w:eastAsia="Arial" w:hAnsi="Arial" w:cs="Arial"/>
          <w:color w:val="000000"/>
        </w:rPr>
        <w:t>certifikací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</w:t>
      </w:r>
      <w:proofErr w:type="spellStart"/>
      <w:r w:rsidRPr="0077769D">
        <w:rPr>
          <w:rFonts w:ascii="Arial" w:eastAsia="Arial" w:hAnsi="Arial" w:cs="Arial"/>
          <w:color w:val="000000"/>
        </w:rPr>
        <w:t>výdajů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a </w:t>
      </w:r>
      <w:proofErr w:type="spellStart"/>
      <w:r w:rsidRPr="0077769D">
        <w:rPr>
          <w:rFonts w:ascii="Arial" w:eastAsia="Arial" w:hAnsi="Arial" w:cs="Arial"/>
          <w:color w:val="000000"/>
        </w:rPr>
        <w:t>výdaje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</w:t>
      </w:r>
      <w:proofErr w:type="spellStart"/>
      <w:r w:rsidRPr="0077769D">
        <w:rPr>
          <w:rFonts w:ascii="Arial" w:eastAsia="Arial" w:hAnsi="Arial" w:cs="Arial"/>
          <w:color w:val="000000"/>
        </w:rPr>
        <w:t>certifikované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a </w:t>
      </w:r>
      <w:proofErr w:type="spellStart"/>
      <w:r w:rsidRPr="0077769D">
        <w:rPr>
          <w:rFonts w:ascii="Arial" w:eastAsia="Arial" w:hAnsi="Arial" w:cs="Arial"/>
          <w:color w:val="000000"/>
        </w:rPr>
        <w:t>následně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</w:t>
      </w:r>
      <w:proofErr w:type="spellStart"/>
      <w:r w:rsidRPr="0077769D">
        <w:rPr>
          <w:rFonts w:ascii="Arial" w:eastAsia="Arial" w:hAnsi="Arial" w:cs="Arial"/>
          <w:color w:val="000000"/>
        </w:rPr>
        <w:t>vyžádané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</w:t>
      </w:r>
      <w:proofErr w:type="spellStart"/>
      <w:r w:rsidRPr="0077769D">
        <w:rPr>
          <w:rFonts w:ascii="Arial" w:eastAsia="Arial" w:hAnsi="Arial" w:cs="Arial"/>
          <w:color w:val="000000"/>
        </w:rPr>
        <w:t>na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EK </w:t>
      </w:r>
      <w:proofErr w:type="spellStart"/>
      <w:r w:rsidRPr="0077769D">
        <w:rPr>
          <w:rFonts w:ascii="Arial" w:eastAsia="Arial" w:hAnsi="Arial" w:cs="Arial"/>
          <w:color w:val="000000"/>
        </w:rPr>
        <w:t>přesáhly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</w:t>
      </w:r>
      <w:r w:rsidR="00FB191E" w:rsidRPr="00FB191E">
        <w:rPr>
          <w:rFonts w:ascii="Arial" w:eastAsia="Arial" w:hAnsi="Arial" w:cs="Arial"/>
          <w:color w:val="000000"/>
        </w:rPr>
        <w:t xml:space="preserve">1 242 </w:t>
      </w:r>
      <w:r w:rsidRPr="0077769D">
        <w:rPr>
          <w:rFonts w:ascii="Arial" w:eastAsia="Arial" w:hAnsi="Arial" w:cs="Arial"/>
          <w:color w:val="000000"/>
        </w:rPr>
        <w:t xml:space="preserve">mil. EUR (EU </w:t>
      </w:r>
      <w:proofErr w:type="spellStart"/>
      <w:r w:rsidRPr="0077769D">
        <w:rPr>
          <w:rFonts w:ascii="Arial" w:eastAsia="Arial" w:hAnsi="Arial" w:cs="Arial"/>
          <w:color w:val="000000"/>
        </w:rPr>
        <w:t>podíl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), </w:t>
      </w:r>
      <w:proofErr w:type="spellStart"/>
      <w:r w:rsidRPr="0077769D">
        <w:rPr>
          <w:rFonts w:ascii="Arial" w:eastAsia="Arial" w:hAnsi="Arial" w:cs="Arial"/>
          <w:color w:val="000000"/>
        </w:rPr>
        <w:t>tj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. 52 % </w:t>
      </w:r>
      <w:proofErr w:type="spellStart"/>
      <w:r w:rsidRPr="0077769D">
        <w:rPr>
          <w:rFonts w:ascii="Arial" w:eastAsia="Arial" w:hAnsi="Arial" w:cs="Arial"/>
          <w:color w:val="000000"/>
        </w:rPr>
        <w:t>celkové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</w:t>
      </w:r>
      <w:proofErr w:type="spellStart"/>
      <w:r w:rsidRPr="0077769D">
        <w:rPr>
          <w:rFonts w:ascii="Arial" w:eastAsia="Arial" w:hAnsi="Arial" w:cs="Arial"/>
          <w:color w:val="000000"/>
        </w:rPr>
        <w:t>alokace</w:t>
      </w:r>
      <w:proofErr w:type="spellEnd"/>
      <w:r w:rsidRPr="0077769D">
        <w:rPr>
          <w:rFonts w:ascii="Arial" w:eastAsia="Arial" w:hAnsi="Arial" w:cs="Arial"/>
          <w:color w:val="000000"/>
        </w:rPr>
        <w:t xml:space="preserve"> OPZ. </w:t>
      </w:r>
      <w:r w:rsidRPr="00C374CB">
        <w:rPr>
          <w:rFonts w:ascii="Arial" w:eastAsia="Arial" w:hAnsi="Arial" w:cs="Arial"/>
          <w:color w:val="000000"/>
        </w:rPr>
        <w:t xml:space="preserve">Program </w:t>
      </w:r>
      <w:proofErr w:type="spellStart"/>
      <w:r w:rsidRPr="00C374CB">
        <w:rPr>
          <w:rFonts w:ascii="Arial" w:eastAsia="Arial" w:hAnsi="Arial" w:cs="Arial"/>
          <w:color w:val="000000"/>
        </w:rPr>
        <w:t>přesáhl</w:t>
      </w:r>
      <w:proofErr w:type="spellEnd"/>
      <w:r w:rsidRPr="00C374CB">
        <w:rPr>
          <w:rFonts w:ascii="Arial" w:eastAsia="Arial" w:hAnsi="Arial" w:cs="Arial"/>
          <w:color w:val="000000"/>
        </w:rPr>
        <w:t xml:space="preserve"> limit </w:t>
      </w:r>
      <w:proofErr w:type="spellStart"/>
      <w:r w:rsidRPr="00C374CB">
        <w:rPr>
          <w:rFonts w:ascii="Arial" w:eastAsia="Arial" w:hAnsi="Arial" w:cs="Arial"/>
          <w:color w:val="000000"/>
        </w:rPr>
        <w:t>potřebný</w:t>
      </w:r>
      <w:proofErr w:type="spellEnd"/>
      <w:r w:rsidRPr="00C374CB">
        <w:rPr>
          <w:rFonts w:ascii="Arial" w:eastAsia="Arial" w:hAnsi="Arial" w:cs="Arial"/>
          <w:color w:val="000000"/>
        </w:rPr>
        <w:t xml:space="preserve"> pro </w:t>
      </w:r>
      <w:proofErr w:type="spellStart"/>
      <w:r w:rsidRPr="00C374CB">
        <w:rPr>
          <w:rFonts w:ascii="Arial" w:eastAsia="Arial" w:hAnsi="Arial" w:cs="Arial"/>
          <w:color w:val="000000"/>
        </w:rPr>
        <w:t>splnění</w:t>
      </w:r>
      <w:proofErr w:type="spellEnd"/>
      <w:r w:rsidRPr="00C374CB">
        <w:rPr>
          <w:rFonts w:ascii="Arial" w:eastAsia="Arial" w:hAnsi="Arial" w:cs="Arial"/>
          <w:color w:val="000000"/>
        </w:rPr>
        <w:t xml:space="preserve"> </w:t>
      </w:r>
      <w:proofErr w:type="spellStart"/>
      <w:r w:rsidRPr="00C374CB">
        <w:rPr>
          <w:rFonts w:ascii="Arial" w:eastAsia="Arial" w:hAnsi="Arial" w:cs="Arial"/>
          <w:color w:val="000000"/>
        </w:rPr>
        <w:t>pravidla</w:t>
      </w:r>
      <w:proofErr w:type="spellEnd"/>
      <w:r w:rsidRPr="00C374CB">
        <w:rPr>
          <w:rFonts w:ascii="Arial" w:eastAsia="Arial" w:hAnsi="Arial" w:cs="Arial"/>
          <w:color w:val="000000"/>
        </w:rPr>
        <w:t xml:space="preserve"> n+3 </w:t>
      </w:r>
      <w:proofErr w:type="spellStart"/>
      <w:r w:rsidR="00FB191E">
        <w:rPr>
          <w:rFonts w:ascii="Arial" w:eastAsia="Arial" w:hAnsi="Arial" w:cs="Arial"/>
          <w:color w:val="000000"/>
        </w:rPr>
        <w:t>nejen</w:t>
      </w:r>
      <w:proofErr w:type="spellEnd"/>
      <w:r w:rsidR="00FB191E">
        <w:rPr>
          <w:rFonts w:ascii="Arial" w:eastAsia="Arial" w:hAnsi="Arial" w:cs="Arial"/>
          <w:color w:val="000000"/>
        </w:rPr>
        <w:t xml:space="preserve"> pro </w:t>
      </w:r>
      <w:proofErr w:type="spellStart"/>
      <w:r w:rsidR="00FB191E">
        <w:rPr>
          <w:rFonts w:ascii="Arial" w:eastAsia="Arial" w:hAnsi="Arial" w:cs="Arial"/>
          <w:color w:val="000000"/>
        </w:rPr>
        <w:t>rok</w:t>
      </w:r>
      <w:proofErr w:type="spellEnd"/>
      <w:r w:rsidR="00FB191E">
        <w:rPr>
          <w:rFonts w:ascii="Arial" w:eastAsia="Arial" w:hAnsi="Arial" w:cs="Arial"/>
          <w:color w:val="000000"/>
        </w:rPr>
        <w:t xml:space="preserve"> 2020, ale </w:t>
      </w:r>
      <w:proofErr w:type="spellStart"/>
      <w:r w:rsidR="004D0A85">
        <w:rPr>
          <w:rFonts w:ascii="Arial" w:eastAsia="Arial" w:hAnsi="Arial" w:cs="Arial"/>
          <w:color w:val="000000"/>
        </w:rPr>
        <w:t>i</w:t>
      </w:r>
      <w:proofErr w:type="spellEnd"/>
      <w:r w:rsidR="004D0A85">
        <w:rPr>
          <w:rFonts w:ascii="Arial" w:eastAsia="Arial" w:hAnsi="Arial" w:cs="Arial"/>
          <w:color w:val="000000"/>
        </w:rPr>
        <w:t xml:space="preserve"> </w:t>
      </w:r>
      <w:r w:rsidRPr="00C374CB">
        <w:rPr>
          <w:rFonts w:ascii="Arial" w:eastAsia="Arial" w:hAnsi="Arial" w:cs="Arial"/>
          <w:color w:val="000000"/>
        </w:rPr>
        <w:t xml:space="preserve">pro </w:t>
      </w:r>
      <w:proofErr w:type="spellStart"/>
      <w:r w:rsidRPr="00C374CB">
        <w:rPr>
          <w:rFonts w:ascii="Arial" w:eastAsia="Arial" w:hAnsi="Arial" w:cs="Arial"/>
          <w:color w:val="000000"/>
        </w:rPr>
        <w:t>rok</w:t>
      </w:r>
      <w:proofErr w:type="spellEnd"/>
      <w:r w:rsidRPr="00C374CB">
        <w:rPr>
          <w:rFonts w:ascii="Arial" w:eastAsia="Arial" w:hAnsi="Arial" w:cs="Arial"/>
          <w:color w:val="000000"/>
        </w:rPr>
        <w:t xml:space="preserve"> 2021.</w:t>
      </w:r>
      <w:r w:rsidR="00FB191E">
        <w:rPr>
          <w:rFonts w:ascii="Arial" w:eastAsia="Arial" w:hAnsi="Arial" w:cs="Arial"/>
          <w:color w:val="000000"/>
        </w:rPr>
        <w:t xml:space="preserve"> </w:t>
      </w:r>
      <w:proofErr w:type="spellStart"/>
      <w:r w:rsidR="00FB191E" w:rsidRPr="00FB191E">
        <w:rPr>
          <w:rFonts w:ascii="Arial" w:eastAsia="Arial" w:hAnsi="Arial" w:cs="Arial"/>
          <w:color w:val="000000"/>
        </w:rPr>
        <w:t>Podpořeno</w:t>
      </w:r>
      <w:proofErr w:type="spellEnd"/>
      <w:r w:rsidR="00FB191E" w:rsidRPr="00FB191E">
        <w:rPr>
          <w:rFonts w:ascii="Arial" w:eastAsia="Arial" w:hAnsi="Arial" w:cs="Arial"/>
          <w:color w:val="000000"/>
        </w:rPr>
        <w:t xml:space="preserve"> </w:t>
      </w:r>
      <w:proofErr w:type="spellStart"/>
      <w:r w:rsidR="00FB191E" w:rsidRPr="00FB191E">
        <w:rPr>
          <w:rFonts w:ascii="Arial" w:eastAsia="Arial" w:hAnsi="Arial" w:cs="Arial"/>
          <w:color w:val="000000"/>
        </w:rPr>
        <w:t>bylo</w:t>
      </w:r>
      <w:proofErr w:type="spellEnd"/>
      <w:r w:rsidR="00FB191E" w:rsidRPr="00FB191E">
        <w:rPr>
          <w:rFonts w:ascii="Arial" w:eastAsia="Arial" w:hAnsi="Arial" w:cs="Arial"/>
          <w:color w:val="000000"/>
        </w:rPr>
        <w:t xml:space="preserve"> </w:t>
      </w:r>
      <w:proofErr w:type="spellStart"/>
      <w:r w:rsidR="00FB191E" w:rsidRPr="00FB191E">
        <w:rPr>
          <w:rFonts w:ascii="Arial" w:eastAsia="Arial" w:hAnsi="Arial" w:cs="Arial"/>
          <w:color w:val="000000"/>
        </w:rPr>
        <w:t>již</w:t>
      </w:r>
      <w:proofErr w:type="spellEnd"/>
      <w:r w:rsidR="00FB191E" w:rsidRPr="00FB191E">
        <w:rPr>
          <w:rFonts w:ascii="Arial" w:eastAsia="Arial" w:hAnsi="Arial" w:cs="Arial"/>
          <w:color w:val="000000"/>
        </w:rPr>
        <w:t xml:space="preserve"> </w:t>
      </w:r>
      <w:proofErr w:type="spellStart"/>
      <w:r w:rsidR="005F2040">
        <w:rPr>
          <w:rFonts w:ascii="Arial" w:eastAsia="Arial" w:hAnsi="Arial" w:cs="Arial"/>
          <w:color w:val="000000"/>
        </w:rPr>
        <w:t>přes</w:t>
      </w:r>
      <w:proofErr w:type="spellEnd"/>
      <w:r w:rsidR="005F2040">
        <w:rPr>
          <w:rFonts w:ascii="Arial" w:eastAsia="Arial" w:hAnsi="Arial" w:cs="Arial"/>
          <w:color w:val="000000"/>
        </w:rPr>
        <w:t xml:space="preserve"> </w:t>
      </w:r>
      <w:r w:rsidR="00FB191E" w:rsidRPr="00FB191E">
        <w:rPr>
          <w:rFonts w:ascii="Arial" w:eastAsia="Arial" w:hAnsi="Arial" w:cs="Arial"/>
          <w:color w:val="000000"/>
        </w:rPr>
        <w:t>4</w:t>
      </w:r>
      <w:r w:rsidR="00467828">
        <w:rPr>
          <w:rFonts w:ascii="Arial" w:eastAsia="Arial" w:hAnsi="Arial" w:cs="Arial"/>
          <w:color w:val="000000"/>
        </w:rPr>
        <w:t>98</w:t>
      </w:r>
      <w:r w:rsidR="00FB191E" w:rsidRPr="00FB191E">
        <w:rPr>
          <w:rFonts w:ascii="Arial" w:eastAsia="Arial" w:hAnsi="Arial" w:cs="Arial"/>
          <w:color w:val="000000"/>
        </w:rPr>
        <w:t xml:space="preserve"> </w:t>
      </w:r>
      <w:proofErr w:type="spellStart"/>
      <w:r w:rsidR="00FB191E" w:rsidRPr="00FB191E">
        <w:rPr>
          <w:rFonts w:ascii="Arial" w:eastAsia="Arial" w:hAnsi="Arial" w:cs="Arial"/>
          <w:color w:val="000000"/>
        </w:rPr>
        <w:t>tisíc</w:t>
      </w:r>
      <w:proofErr w:type="spellEnd"/>
      <w:r w:rsidR="00FB191E" w:rsidRPr="00FB191E">
        <w:rPr>
          <w:rFonts w:ascii="Arial" w:eastAsia="Arial" w:hAnsi="Arial" w:cs="Arial"/>
          <w:color w:val="000000"/>
        </w:rPr>
        <w:t xml:space="preserve"> </w:t>
      </w:r>
      <w:proofErr w:type="spellStart"/>
      <w:r w:rsidR="00FB191E" w:rsidRPr="00FB191E">
        <w:rPr>
          <w:rFonts w:ascii="Arial" w:eastAsia="Arial" w:hAnsi="Arial" w:cs="Arial"/>
          <w:color w:val="000000"/>
        </w:rPr>
        <w:t>účastníků</w:t>
      </w:r>
      <w:proofErr w:type="spellEnd"/>
      <w:r w:rsidR="00FB191E" w:rsidRPr="00FB191E">
        <w:rPr>
          <w:rFonts w:ascii="Arial" w:eastAsia="Arial" w:hAnsi="Arial" w:cs="Arial"/>
          <w:color w:val="000000"/>
        </w:rPr>
        <w:t>.</w:t>
      </w:r>
    </w:p>
    <w:p w14:paraId="27FCB027" w14:textId="77777777" w:rsidR="00A2351A" w:rsidRDefault="002D5C25" w:rsidP="00496C84">
      <w:pPr>
        <w:pStyle w:val="Nadpis1"/>
        <w:rPr>
          <w:sz w:val="16"/>
        </w:rPr>
      </w:pPr>
      <w:bookmarkStart w:id="22" w:name="_Toc66814539"/>
      <w:r>
        <w:t>SHRNUTÍ PRO VEŘEJNOST (</w:t>
      </w:r>
      <w:proofErr w:type="spellStart"/>
      <w:r>
        <w:t>čl</w:t>
      </w:r>
      <w:proofErr w:type="spellEnd"/>
      <w:r>
        <w:t xml:space="preserve">. 50 </w:t>
      </w:r>
      <w:proofErr w:type="spellStart"/>
      <w:r>
        <w:t>odst</w:t>
      </w:r>
      <w:proofErr w:type="spellEnd"/>
      <w:r>
        <w:t xml:space="preserve">. 9 </w:t>
      </w:r>
      <w:proofErr w:type="spellStart"/>
      <w:r>
        <w:t>nařízení</w:t>
      </w:r>
      <w:proofErr w:type="spellEnd"/>
      <w:r>
        <w:t xml:space="preserve"> (EU) č. 1303/2013</w:t>
      </w:r>
      <w:proofErr w:type="gramStart"/>
      <w:r>
        <w:t>)</w:t>
      </w:r>
      <w:r>
        <w:rPr>
          <w:sz w:val="20"/>
        </w:rPr>
        <w:t xml:space="preserve">  </w:t>
      </w:r>
      <w:r>
        <w:rPr>
          <w:sz w:val="16"/>
        </w:rPr>
        <w:t>(</w:t>
      </w:r>
      <w:proofErr w:type="gramEnd"/>
      <w:r>
        <w:rPr>
          <w:sz w:val="16"/>
        </w:rPr>
        <w:t>16)</w:t>
      </w:r>
      <w:bookmarkEnd w:id="22"/>
    </w:p>
    <w:p w14:paraId="2641DFD2" w14:textId="77777777" w:rsidR="00CE70C5" w:rsidRPr="00E0096B" w:rsidRDefault="00CE70C5" w:rsidP="003139E9">
      <w:pPr>
        <w:spacing w:after="120" w:line="264" w:lineRule="auto"/>
        <w:ind w:right="121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AF06999" w14:textId="2DE78764" w:rsidR="003139E9" w:rsidRPr="00C904F1" w:rsidRDefault="003139E9" w:rsidP="003139E9">
      <w:pPr>
        <w:spacing w:after="120" w:line="264" w:lineRule="auto"/>
        <w:ind w:right="121"/>
        <w:jc w:val="both"/>
        <w:rPr>
          <w:rFonts w:ascii="Arial" w:eastAsia="Arial" w:hAnsi="Arial" w:cs="Arial"/>
          <w:b/>
          <w:color w:val="000000"/>
          <w:lang w:val="cs-CZ"/>
        </w:rPr>
      </w:pPr>
      <w:r w:rsidRPr="00C904F1">
        <w:rPr>
          <w:rFonts w:ascii="Arial" w:eastAsia="Arial" w:hAnsi="Arial" w:cs="Arial"/>
          <w:b/>
          <w:color w:val="000000"/>
          <w:lang w:val="cs-CZ"/>
        </w:rPr>
        <w:t>Evropský sociální fond (ESF) v Česku pomáhá rozvíjet zaměstnanost, snižovat nezaměstnanost či podporovat sociální začleňování lidí a rovné příležitosti žen a mužů</w:t>
      </w:r>
      <w:r w:rsidRPr="002D1998">
        <w:rPr>
          <w:rFonts w:ascii="Arial" w:eastAsia="Arial" w:hAnsi="Arial" w:cs="Arial"/>
          <w:b/>
          <w:color w:val="000000"/>
          <w:lang w:val="cs-CZ"/>
        </w:rPr>
        <w:t xml:space="preserve"> </w:t>
      </w:r>
      <w:r>
        <w:rPr>
          <w:rFonts w:ascii="Arial" w:eastAsia="Arial" w:hAnsi="Arial" w:cs="Arial"/>
          <w:b/>
          <w:color w:val="000000"/>
          <w:lang w:val="cs-CZ"/>
        </w:rPr>
        <w:t>j</w:t>
      </w:r>
      <w:r w:rsidRPr="00C904F1">
        <w:rPr>
          <w:rFonts w:ascii="Arial" w:eastAsia="Arial" w:hAnsi="Arial" w:cs="Arial"/>
          <w:b/>
          <w:color w:val="000000"/>
          <w:lang w:val="cs-CZ"/>
        </w:rPr>
        <w:t xml:space="preserve">iž od roku 2004. V programovém období 2014–2020 </w:t>
      </w:r>
      <w:r>
        <w:rPr>
          <w:rFonts w:ascii="Arial" w:eastAsia="Arial" w:hAnsi="Arial" w:cs="Arial"/>
          <w:b/>
          <w:color w:val="000000"/>
          <w:lang w:val="cs-CZ"/>
        </w:rPr>
        <w:t>mělo</w:t>
      </w:r>
      <w:r w:rsidRPr="00C904F1">
        <w:rPr>
          <w:rFonts w:ascii="Arial" w:eastAsia="Arial" w:hAnsi="Arial" w:cs="Arial"/>
          <w:b/>
          <w:color w:val="000000"/>
          <w:lang w:val="cs-CZ"/>
        </w:rPr>
        <w:t xml:space="preserve"> Česko </w:t>
      </w:r>
      <w:r>
        <w:rPr>
          <w:rFonts w:ascii="Arial" w:eastAsia="Arial" w:hAnsi="Arial" w:cs="Arial"/>
          <w:b/>
          <w:color w:val="000000"/>
          <w:lang w:val="cs-CZ"/>
        </w:rPr>
        <w:t xml:space="preserve">prostřednictvím Operačního programu Zaměstnanost (OPZ) </w:t>
      </w:r>
      <w:r w:rsidRPr="00C904F1">
        <w:rPr>
          <w:rFonts w:ascii="Arial" w:eastAsia="Arial" w:hAnsi="Arial" w:cs="Arial"/>
          <w:b/>
          <w:color w:val="000000"/>
          <w:lang w:val="cs-CZ"/>
        </w:rPr>
        <w:t xml:space="preserve">k </w:t>
      </w:r>
      <w:r w:rsidRPr="0020390F">
        <w:rPr>
          <w:rFonts w:ascii="Arial" w:eastAsia="Arial" w:hAnsi="Arial" w:cs="Arial"/>
          <w:b/>
          <w:color w:val="000000"/>
          <w:lang w:val="cs-CZ"/>
        </w:rPr>
        <w:t>dispozici okolo 2,6 mld. EUR</w:t>
      </w:r>
      <w:r>
        <w:rPr>
          <w:rFonts w:ascii="Arial" w:eastAsia="Arial" w:hAnsi="Arial" w:cs="Arial"/>
          <w:b/>
          <w:color w:val="000000"/>
          <w:lang w:val="cs-CZ"/>
        </w:rPr>
        <w:t>. V prosinci 2020 byla tato částka navýšena na 2,9 mld. EUR s cílem zmírnit dopady</w:t>
      </w:r>
      <w:r w:rsidRPr="009909A4">
        <w:rPr>
          <w:lang w:val="cs-CZ"/>
        </w:rPr>
        <w:t xml:space="preserve"> </w:t>
      </w:r>
      <w:bookmarkStart w:id="23" w:name="_Hlk66108860"/>
      <w:r w:rsidRPr="006040D5">
        <w:rPr>
          <w:rFonts w:ascii="Arial" w:eastAsia="Arial" w:hAnsi="Arial" w:cs="Arial"/>
          <w:b/>
          <w:color w:val="000000"/>
          <w:lang w:val="cs-CZ"/>
        </w:rPr>
        <w:t>epidemie onemocnění COVID-19</w:t>
      </w:r>
      <w:bookmarkEnd w:id="23"/>
      <w:r w:rsidRPr="006040D5">
        <w:rPr>
          <w:rFonts w:ascii="Trebuchet MS" w:hAnsi="Trebuchet MS"/>
          <w:color w:val="333333"/>
          <w:sz w:val="21"/>
          <w:szCs w:val="21"/>
          <w:shd w:val="clear" w:color="auto" w:fill="FFFFFF"/>
          <w:lang w:val="cs-CZ"/>
        </w:rPr>
        <w:t xml:space="preserve"> </w:t>
      </w:r>
      <w:r w:rsidRPr="009909A4">
        <w:rPr>
          <w:rFonts w:ascii="Arial" w:eastAsia="Arial" w:hAnsi="Arial" w:cs="Arial"/>
          <w:b/>
          <w:color w:val="000000"/>
          <w:lang w:val="cs-CZ"/>
        </w:rPr>
        <w:t>na ekonomiku a trh práce</w:t>
      </w:r>
      <w:r>
        <w:rPr>
          <w:rFonts w:ascii="Arial" w:eastAsia="Arial" w:hAnsi="Arial" w:cs="Arial"/>
          <w:b/>
          <w:color w:val="000000"/>
          <w:lang w:val="cs-CZ"/>
        </w:rPr>
        <w:t xml:space="preserve">. Přestože epidemie poznamenala realizaci projektů, řídicí orgán zajistil řádné fungování OPZ i v době tohoto mimořádného stavu. </w:t>
      </w:r>
    </w:p>
    <w:p w14:paraId="440FCFB9" w14:textId="77777777" w:rsidR="003139E9" w:rsidRPr="009909A4" w:rsidRDefault="003139E9" w:rsidP="003139E9">
      <w:pPr>
        <w:spacing w:after="120" w:line="264" w:lineRule="auto"/>
        <w:ind w:right="121"/>
        <w:jc w:val="both"/>
        <w:rPr>
          <w:rFonts w:ascii="Arial" w:eastAsia="Calibri" w:hAnsi="Arial" w:cs="Arial"/>
          <w:iCs/>
          <w:lang w:val="cs-CZ" w:eastAsia="en-US"/>
        </w:rPr>
      </w:pPr>
      <w:r w:rsidRPr="009909A4">
        <w:rPr>
          <w:rFonts w:ascii="Arial" w:eastAsia="Calibri" w:hAnsi="Arial" w:cs="Arial"/>
          <w:iCs/>
          <w:lang w:val="cs-CZ" w:eastAsia="en-US"/>
        </w:rPr>
        <w:t>Z důvodu protiepidemických opatření přijatých vládou ČR do</w:t>
      </w:r>
      <w:r>
        <w:rPr>
          <w:rFonts w:ascii="Arial" w:eastAsia="Calibri" w:hAnsi="Arial" w:cs="Arial"/>
          <w:iCs/>
          <w:lang w:val="cs-CZ" w:eastAsia="en-US"/>
        </w:rPr>
        <w:t>cháze</w:t>
      </w:r>
      <w:r w:rsidRPr="009909A4">
        <w:rPr>
          <w:rFonts w:ascii="Arial" w:eastAsia="Calibri" w:hAnsi="Arial" w:cs="Arial"/>
          <w:iCs/>
          <w:lang w:val="cs-CZ" w:eastAsia="en-US"/>
        </w:rPr>
        <w:t>lo v roce 2020 k omez</w:t>
      </w:r>
      <w:r>
        <w:rPr>
          <w:rFonts w:ascii="Arial" w:eastAsia="Calibri" w:hAnsi="Arial" w:cs="Arial"/>
          <w:iCs/>
          <w:lang w:val="cs-CZ" w:eastAsia="en-US"/>
        </w:rPr>
        <w:t>ová</w:t>
      </w:r>
      <w:r w:rsidRPr="009909A4">
        <w:rPr>
          <w:rFonts w:ascii="Arial" w:eastAsia="Calibri" w:hAnsi="Arial" w:cs="Arial"/>
          <w:iCs/>
          <w:lang w:val="cs-CZ" w:eastAsia="en-US"/>
        </w:rPr>
        <w:t>ní či přeruš</w:t>
      </w:r>
      <w:r>
        <w:rPr>
          <w:rFonts w:ascii="Arial" w:eastAsia="Calibri" w:hAnsi="Arial" w:cs="Arial"/>
          <w:iCs/>
          <w:lang w:val="cs-CZ" w:eastAsia="en-US"/>
        </w:rPr>
        <w:t>ová</w:t>
      </w:r>
      <w:r w:rsidRPr="009909A4">
        <w:rPr>
          <w:rFonts w:ascii="Arial" w:eastAsia="Calibri" w:hAnsi="Arial" w:cs="Arial"/>
          <w:iCs/>
          <w:lang w:val="cs-CZ" w:eastAsia="en-US"/>
        </w:rPr>
        <w:t xml:space="preserve">ní projektových aktivit. Řídicí orgán proto upravil formou výjimek pravidla pro realizaci projektů a posuzování způsobilosti výdajů tak, aby mohli příjemci realizovat aktivity jiným vhodným způsobem, např. v elektronické a telefonické formě. </w:t>
      </w:r>
    </w:p>
    <w:p w14:paraId="2DA0CE71" w14:textId="77777777" w:rsidR="003139E9" w:rsidRPr="009909A4" w:rsidRDefault="003139E9" w:rsidP="003139E9">
      <w:pPr>
        <w:spacing w:after="120" w:line="264" w:lineRule="auto"/>
        <w:ind w:right="121"/>
        <w:jc w:val="both"/>
        <w:rPr>
          <w:rFonts w:ascii="Arial" w:hAnsi="Arial" w:cs="Arial"/>
          <w:color w:val="333333"/>
          <w:shd w:val="clear" w:color="auto" w:fill="FFFFFF"/>
          <w:lang w:val="cs-CZ"/>
        </w:rPr>
      </w:pPr>
      <w:r w:rsidRPr="009909A4">
        <w:rPr>
          <w:rFonts w:ascii="Arial" w:eastAsia="Calibri" w:hAnsi="Arial" w:cs="Arial"/>
          <w:iCs/>
          <w:lang w:val="cs-CZ" w:eastAsia="en-US"/>
        </w:rPr>
        <w:t xml:space="preserve">Metodika provádění programu byla v roce 2020 několikrát aktualizována, avšak věcné nastavení zůstalo zachováno. </w:t>
      </w:r>
      <w:r w:rsidRPr="009909A4">
        <w:rPr>
          <w:rFonts w:ascii="Arial" w:hAnsi="Arial" w:cs="Arial"/>
          <w:shd w:val="clear" w:color="auto" w:fill="FFFFFF"/>
          <w:lang w:val="cs-CZ"/>
        </w:rPr>
        <w:t xml:space="preserve">V rámci </w:t>
      </w:r>
      <w:r w:rsidRPr="009909A4">
        <w:rPr>
          <w:rFonts w:ascii="Arial" w:hAnsi="Arial" w:cs="Arial"/>
          <w:color w:val="333333"/>
          <w:shd w:val="clear" w:color="auto" w:fill="FFFFFF"/>
          <w:lang w:val="cs-CZ"/>
        </w:rPr>
        <w:t xml:space="preserve">3. revize programu bylo převedeno okolo 240 mil. EUR (EU podíl) z </w:t>
      </w:r>
      <w:bookmarkStart w:id="24" w:name="_Hlk66095552"/>
      <w:r w:rsidRPr="009909A4">
        <w:rPr>
          <w:rFonts w:ascii="Arial" w:hAnsi="Arial" w:cs="Arial"/>
          <w:color w:val="333333"/>
          <w:shd w:val="clear" w:color="auto" w:fill="FFFFFF"/>
          <w:lang w:val="cs-CZ"/>
        </w:rPr>
        <w:t xml:space="preserve">Operačního programu Podnikání a inovace pro konkurenceschopnost </w:t>
      </w:r>
      <w:bookmarkEnd w:id="24"/>
      <w:r w:rsidRPr="009909A4">
        <w:rPr>
          <w:rFonts w:ascii="Arial" w:hAnsi="Arial" w:cs="Arial"/>
          <w:color w:val="333333"/>
          <w:shd w:val="clear" w:color="auto" w:fill="FFFFFF"/>
          <w:lang w:val="cs-CZ"/>
        </w:rPr>
        <w:t>do OPZ</w:t>
      </w:r>
      <w:r>
        <w:rPr>
          <w:rFonts w:ascii="Arial" w:hAnsi="Arial" w:cs="Arial"/>
          <w:color w:val="333333"/>
          <w:shd w:val="clear" w:color="auto" w:fill="FFFFFF"/>
          <w:lang w:val="cs-CZ"/>
        </w:rPr>
        <w:t xml:space="preserve"> </w:t>
      </w:r>
      <w:r w:rsidRPr="003A4E18">
        <w:rPr>
          <w:rFonts w:ascii="Arial" w:eastAsia="Arial" w:hAnsi="Arial" w:cs="Arial"/>
          <w:color w:val="000000"/>
          <w:lang w:val="cs-CZ"/>
        </w:rPr>
        <w:t>s cílem zmírnit dopady krize v souvislosti s šířením nemoci COVID-19 na ekonomiku a trh práce</w:t>
      </w:r>
      <w:r w:rsidRPr="009909A4">
        <w:rPr>
          <w:rFonts w:ascii="Arial" w:hAnsi="Arial" w:cs="Arial"/>
          <w:color w:val="333333"/>
          <w:shd w:val="clear" w:color="auto" w:fill="FFFFFF"/>
          <w:lang w:val="cs-CZ"/>
        </w:rPr>
        <w:t>. </w:t>
      </w:r>
    </w:p>
    <w:p w14:paraId="0D1C7D8D" w14:textId="2C214875" w:rsidR="003139E9" w:rsidRPr="009909A4" w:rsidRDefault="003139E9" w:rsidP="003139E9">
      <w:pPr>
        <w:spacing w:after="120" w:line="264" w:lineRule="auto"/>
        <w:ind w:right="121"/>
        <w:jc w:val="both"/>
        <w:rPr>
          <w:rFonts w:ascii="Arial" w:eastAsia="Arial" w:hAnsi="Arial" w:cs="Arial"/>
          <w:color w:val="000000"/>
          <w:lang w:val="cs-CZ"/>
        </w:rPr>
      </w:pPr>
      <w:r w:rsidRPr="00F861C7">
        <w:rPr>
          <w:rFonts w:ascii="Arial" w:eastAsia="Arial" w:hAnsi="Arial" w:cs="Arial"/>
          <w:color w:val="000000"/>
          <w:lang w:val="cs-CZ"/>
        </w:rPr>
        <w:lastRenderedPageBreak/>
        <w:t xml:space="preserve">Od schválení programu v roce 2015 do </w:t>
      </w:r>
      <w:r w:rsidRPr="0020390F">
        <w:rPr>
          <w:rFonts w:ascii="Arial" w:eastAsia="Arial" w:hAnsi="Arial" w:cs="Arial"/>
          <w:color w:val="000000"/>
          <w:lang w:val="cs-CZ"/>
        </w:rPr>
        <w:t>konce roku 2020 vyhlásil řídicí orgán OPZ celkem 12</w:t>
      </w:r>
      <w:r w:rsidR="0020390F" w:rsidRPr="0020390F">
        <w:rPr>
          <w:rFonts w:ascii="Arial" w:eastAsia="Arial" w:hAnsi="Arial" w:cs="Arial"/>
          <w:color w:val="000000"/>
          <w:lang w:val="cs-CZ"/>
        </w:rPr>
        <w:t>7</w:t>
      </w:r>
      <w:r w:rsidRPr="0020390F">
        <w:rPr>
          <w:rFonts w:ascii="Arial" w:eastAsia="Arial" w:hAnsi="Arial" w:cs="Arial"/>
          <w:color w:val="000000"/>
          <w:lang w:val="cs-CZ"/>
        </w:rPr>
        <w:t xml:space="preserve"> výzev</w:t>
      </w:r>
      <w:r w:rsidR="00582F46">
        <w:rPr>
          <w:rFonts w:ascii="Arial" w:eastAsia="Arial" w:hAnsi="Arial" w:cs="Arial"/>
          <w:color w:val="000000"/>
          <w:lang w:val="cs-CZ"/>
        </w:rPr>
        <w:t xml:space="preserve"> v souhrnném objemu </w:t>
      </w:r>
      <w:r w:rsidRPr="0020390F">
        <w:rPr>
          <w:rFonts w:ascii="Arial" w:eastAsia="Arial" w:hAnsi="Arial" w:cs="Arial"/>
          <w:color w:val="000000"/>
          <w:lang w:val="cs-CZ"/>
        </w:rPr>
        <w:t>3,4 mld. EUR. Počet zaregistrovaných žádostí o podporu dosáhl ke konci roku 2020 hodnoty 17 tisíc, z nich bylo p</w:t>
      </w:r>
      <w:r w:rsidRPr="009909A4">
        <w:rPr>
          <w:rFonts w:ascii="Arial" w:eastAsia="Arial" w:hAnsi="Arial" w:cs="Arial"/>
          <w:color w:val="000000"/>
          <w:lang w:val="cs-CZ"/>
        </w:rPr>
        <w:t xml:space="preserve">odpořeno </w:t>
      </w:r>
      <w:r w:rsidRPr="0020390F">
        <w:rPr>
          <w:rFonts w:ascii="Arial" w:eastAsia="Arial" w:hAnsi="Arial" w:cs="Arial"/>
          <w:color w:val="000000"/>
          <w:lang w:val="cs-CZ"/>
        </w:rPr>
        <w:t xml:space="preserve">9,6 tisíc. Finanční objem podpořených projektů činil téměř 2,9 mld. EUR, což představuje 99 % alokace programu. </w:t>
      </w:r>
      <w:bookmarkStart w:id="25" w:name="_Hlk67307143"/>
      <w:r w:rsidRPr="0020390F">
        <w:rPr>
          <w:rFonts w:ascii="Arial" w:eastAsia="Arial" w:hAnsi="Arial" w:cs="Arial"/>
          <w:color w:val="000000"/>
          <w:lang w:val="cs-CZ"/>
        </w:rPr>
        <w:t xml:space="preserve">Podpořeno bylo již </w:t>
      </w:r>
      <w:r w:rsidR="005F2040">
        <w:rPr>
          <w:rFonts w:ascii="Arial" w:eastAsia="Arial" w:hAnsi="Arial" w:cs="Arial"/>
          <w:color w:val="000000"/>
          <w:lang w:val="cs-CZ"/>
        </w:rPr>
        <w:t xml:space="preserve">přes </w:t>
      </w:r>
      <w:r w:rsidRPr="0020390F">
        <w:rPr>
          <w:rFonts w:ascii="Arial" w:eastAsia="Arial" w:hAnsi="Arial" w:cs="Arial"/>
          <w:color w:val="000000"/>
          <w:lang w:val="cs-CZ"/>
        </w:rPr>
        <w:t>4</w:t>
      </w:r>
      <w:r w:rsidR="00467828">
        <w:rPr>
          <w:rFonts w:ascii="Arial" w:eastAsia="Arial" w:hAnsi="Arial" w:cs="Arial"/>
          <w:color w:val="000000"/>
          <w:lang w:val="cs-CZ"/>
        </w:rPr>
        <w:t>98</w:t>
      </w:r>
      <w:r w:rsidRPr="0020390F">
        <w:rPr>
          <w:rFonts w:ascii="Arial" w:eastAsia="Arial" w:hAnsi="Arial" w:cs="Arial"/>
          <w:color w:val="000000"/>
          <w:lang w:val="cs-CZ"/>
        </w:rPr>
        <w:t xml:space="preserve"> tisíc účastníků.</w:t>
      </w:r>
      <w:bookmarkEnd w:id="25"/>
      <w:r w:rsidRPr="0020390F">
        <w:rPr>
          <w:rFonts w:ascii="Arial" w:eastAsia="Arial" w:hAnsi="Arial" w:cs="Arial"/>
          <w:color w:val="000000"/>
          <w:lang w:val="cs-CZ"/>
        </w:rPr>
        <w:t xml:space="preserve"> Realizátoři projektů (Úřad práce, neziskové organizace, spolky, firmy, obce, kraje a další) poslali na řídicí orgán žádosti o platbu v hodnotě téměř 1,6 mld. EUR, tedy přes 54 % alokace programu.</w:t>
      </w:r>
    </w:p>
    <w:p w14:paraId="19093C0D" w14:textId="0E25A630" w:rsidR="003139E9" w:rsidRPr="00F861C7" w:rsidRDefault="003139E9" w:rsidP="003139E9">
      <w:pPr>
        <w:spacing w:after="120" w:line="264" w:lineRule="auto"/>
        <w:ind w:right="121"/>
        <w:jc w:val="both"/>
        <w:rPr>
          <w:rFonts w:ascii="Arial" w:eastAsia="Arial" w:hAnsi="Arial" w:cs="Arial"/>
          <w:color w:val="000000"/>
          <w:lang w:val="cs-CZ"/>
        </w:rPr>
      </w:pPr>
      <w:r w:rsidRPr="009909A4">
        <w:rPr>
          <w:rFonts w:ascii="Arial" w:eastAsia="Arial" w:hAnsi="Arial" w:cs="Arial"/>
          <w:color w:val="000000"/>
          <w:lang w:val="cs-CZ"/>
        </w:rPr>
        <w:t xml:space="preserve">Nejvíce peněz putovalo podobně jako v uplynulých letech do prioritní osy 1, která se zaměřuje na podporu zaměstnanosti a adaptability pracovní síly včetně rovných příležitostí na trhu práce. Celkově bylo v této prioritní ose podpořeno </w:t>
      </w:r>
      <w:r w:rsidR="00A64B05">
        <w:rPr>
          <w:rFonts w:ascii="Arial" w:eastAsia="Arial" w:hAnsi="Arial" w:cs="Arial"/>
          <w:color w:val="000000"/>
          <w:lang w:val="cs-CZ"/>
        </w:rPr>
        <w:t>5</w:t>
      </w:r>
      <w:r w:rsidR="001D2978">
        <w:rPr>
          <w:rFonts w:ascii="Arial" w:eastAsia="Arial" w:hAnsi="Arial" w:cs="Arial"/>
          <w:color w:val="000000"/>
          <w:lang w:val="cs-CZ"/>
        </w:rPr>
        <w:t> </w:t>
      </w:r>
      <w:r w:rsidR="00A64B05">
        <w:rPr>
          <w:rFonts w:ascii="Arial" w:eastAsia="Arial" w:hAnsi="Arial" w:cs="Arial"/>
          <w:color w:val="000000"/>
          <w:lang w:val="cs-CZ"/>
        </w:rPr>
        <w:t>902</w:t>
      </w:r>
      <w:r w:rsidR="001D2978">
        <w:rPr>
          <w:rFonts w:ascii="Arial" w:eastAsia="Arial" w:hAnsi="Arial" w:cs="Arial"/>
          <w:color w:val="000000"/>
          <w:lang w:val="cs-CZ"/>
        </w:rPr>
        <w:t xml:space="preserve"> </w:t>
      </w:r>
      <w:r w:rsidRPr="0020390F">
        <w:rPr>
          <w:rFonts w:ascii="Arial" w:eastAsia="Arial" w:hAnsi="Arial" w:cs="Arial"/>
          <w:color w:val="000000"/>
          <w:lang w:val="cs-CZ"/>
        </w:rPr>
        <w:t>projektů v objemu 1,</w:t>
      </w:r>
      <w:r w:rsidR="00A64B05">
        <w:rPr>
          <w:rFonts w:ascii="Arial" w:eastAsia="Arial" w:hAnsi="Arial" w:cs="Arial"/>
          <w:color w:val="000000"/>
          <w:lang w:val="cs-CZ"/>
        </w:rPr>
        <w:t>6</w:t>
      </w:r>
      <w:r w:rsidRPr="0020390F">
        <w:rPr>
          <w:rFonts w:ascii="Arial" w:eastAsia="Arial" w:hAnsi="Arial" w:cs="Arial"/>
          <w:color w:val="000000"/>
          <w:lang w:val="cs-CZ"/>
        </w:rPr>
        <w:t xml:space="preserve"> mld. EUR.</w:t>
      </w:r>
      <w:r w:rsidRPr="009909A4">
        <w:rPr>
          <w:rFonts w:ascii="Arial" w:eastAsia="Arial" w:hAnsi="Arial" w:cs="Arial"/>
          <w:color w:val="000000"/>
          <w:lang w:val="cs-CZ"/>
        </w:rPr>
        <w:t xml:space="preserve"> </w:t>
      </w:r>
      <w:r>
        <w:rPr>
          <w:rFonts w:ascii="Arial" w:eastAsia="Arial" w:hAnsi="Arial" w:cs="Arial"/>
          <w:color w:val="000000"/>
          <w:lang w:val="cs-CZ"/>
        </w:rPr>
        <w:t xml:space="preserve">Významným projektem na zmírnění dopadů epidemie byl v roce </w:t>
      </w:r>
      <w:r w:rsidRPr="00F861C7">
        <w:rPr>
          <w:rFonts w:ascii="Arial" w:eastAsia="Arial" w:hAnsi="Arial" w:cs="Arial"/>
          <w:color w:val="000000"/>
          <w:lang w:val="cs-CZ"/>
        </w:rPr>
        <w:t xml:space="preserve">2020 </w:t>
      </w:r>
      <w:r>
        <w:rPr>
          <w:rFonts w:ascii="Arial" w:eastAsia="Arial" w:hAnsi="Arial" w:cs="Arial"/>
          <w:color w:val="000000"/>
          <w:lang w:val="cs-CZ"/>
        </w:rPr>
        <w:t>projekt</w:t>
      </w:r>
      <w:r w:rsidRPr="00F861C7">
        <w:rPr>
          <w:rFonts w:ascii="Arial" w:eastAsia="Arial" w:hAnsi="Arial" w:cs="Arial"/>
          <w:color w:val="000000"/>
          <w:lang w:val="cs-CZ"/>
        </w:rPr>
        <w:t xml:space="preserve"> Outplacement s rozpočtem 141,4 mil. EUR</w:t>
      </w:r>
      <w:r>
        <w:rPr>
          <w:rFonts w:ascii="Arial" w:eastAsia="Arial" w:hAnsi="Arial" w:cs="Arial"/>
          <w:color w:val="000000"/>
          <w:lang w:val="cs-CZ"/>
        </w:rPr>
        <w:t xml:space="preserve">, jehož smyslem </w:t>
      </w:r>
      <w:r w:rsidRPr="00F861C7">
        <w:rPr>
          <w:rFonts w:ascii="Arial" w:eastAsia="Arial" w:hAnsi="Arial" w:cs="Arial"/>
          <w:color w:val="000000"/>
          <w:lang w:val="cs-CZ"/>
        </w:rPr>
        <w:t xml:space="preserve">bylo pomoci </w:t>
      </w:r>
      <w:r>
        <w:rPr>
          <w:rFonts w:ascii="Arial" w:eastAsia="Arial" w:hAnsi="Arial" w:cs="Arial"/>
          <w:color w:val="000000"/>
          <w:lang w:val="cs-CZ"/>
        </w:rPr>
        <w:t xml:space="preserve">ohroženým </w:t>
      </w:r>
      <w:r w:rsidRPr="00F861C7">
        <w:rPr>
          <w:rFonts w:ascii="Arial" w:eastAsia="Arial" w:hAnsi="Arial" w:cs="Arial"/>
          <w:color w:val="000000"/>
          <w:lang w:val="cs-CZ"/>
        </w:rPr>
        <w:t>zaměstnancům ještě před jejich faktickým propuštěním</w:t>
      </w:r>
      <w:r w:rsidRPr="009909A4">
        <w:rPr>
          <w:rFonts w:ascii="Arial" w:eastAsia="Arial" w:hAnsi="Arial" w:cs="Arial"/>
          <w:color w:val="000000"/>
          <w:lang w:val="cs-CZ"/>
        </w:rPr>
        <w:t xml:space="preserve">. </w:t>
      </w:r>
      <w:r w:rsidRPr="009909A4">
        <w:rPr>
          <w:rFonts w:ascii="Arial" w:hAnsi="Arial" w:cs="Arial"/>
          <w:lang w:val="cs-CZ"/>
        </w:rPr>
        <w:t>Na podzim 2020 byl také zrealizován projekt Podpora zaměstnanosti prostřednictvím cíleného programu Antivirus A s</w:t>
      </w:r>
      <w:r>
        <w:rPr>
          <w:rFonts w:ascii="Arial" w:hAnsi="Arial" w:cs="Arial"/>
          <w:lang w:val="cs-CZ"/>
        </w:rPr>
        <w:t> </w:t>
      </w:r>
      <w:r w:rsidRPr="009909A4">
        <w:rPr>
          <w:rFonts w:ascii="Arial" w:hAnsi="Arial" w:cs="Arial"/>
          <w:lang w:val="cs-CZ"/>
        </w:rPr>
        <w:t xml:space="preserve">rozpočtem </w:t>
      </w:r>
      <w:r w:rsidR="00A64B05">
        <w:rPr>
          <w:rFonts w:ascii="Arial" w:hAnsi="Arial" w:cs="Arial"/>
          <w:lang w:val="cs-CZ"/>
        </w:rPr>
        <w:t>156,4</w:t>
      </w:r>
      <w:r w:rsidR="001D2978">
        <w:rPr>
          <w:rFonts w:ascii="Arial" w:hAnsi="Arial" w:cs="Arial"/>
          <w:lang w:val="cs-CZ"/>
        </w:rPr>
        <w:t xml:space="preserve"> </w:t>
      </w:r>
      <w:r w:rsidRPr="009909A4">
        <w:rPr>
          <w:rFonts w:ascii="Arial" w:hAnsi="Arial" w:cs="Arial"/>
          <w:lang w:val="cs-CZ"/>
        </w:rPr>
        <w:t>mil. EUR</w:t>
      </w:r>
      <w:r w:rsidRPr="009909A4">
        <w:rPr>
          <w:rFonts w:ascii="Arial" w:hAnsi="Arial" w:cs="Arial"/>
          <w:b/>
          <w:bCs/>
          <w:lang w:val="cs-CZ"/>
        </w:rPr>
        <w:t xml:space="preserve">. </w:t>
      </w:r>
      <w:r w:rsidRPr="009909A4">
        <w:rPr>
          <w:rFonts w:ascii="Arial" w:hAnsi="Arial" w:cs="Arial"/>
          <w:lang w:val="cs-CZ"/>
        </w:rPr>
        <w:t xml:space="preserve">Ten byl určen na zpětné proplacení části </w:t>
      </w:r>
      <w:r>
        <w:rPr>
          <w:rFonts w:ascii="Arial" w:hAnsi="Arial" w:cs="Arial"/>
          <w:lang w:val="cs-CZ"/>
        </w:rPr>
        <w:t xml:space="preserve">mzdových </w:t>
      </w:r>
      <w:r w:rsidRPr="009909A4">
        <w:rPr>
          <w:rFonts w:ascii="Arial" w:hAnsi="Arial" w:cs="Arial"/>
          <w:lang w:val="cs-CZ"/>
        </w:rPr>
        <w:t>výdajů zaměstnavatelů, jejichž náklady nebyly kryty veřejnými rozpočty.</w:t>
      </w:r>
    </w:p>
    <w:p w14:paraId="1251908C" w14:textId="1BAF98E6" w:rsidR="003139E9" w:rsidRPr="00A66C00" w:rsidRDefault="003139E9" w:rsidP="003139E9">
      <w:pPr>
        <w:spacing w:after="120" w:line="264" w:lineRule="auto"/>
        <w:ind w:right="121"/>
        <w:jc w:val="both"/>
        <w:rPr>
          <w:rFonts w:ascii="Arial" w:hAnsi="Arial" w:cs="Arial"/>
          <w:lang w:val="cs-CZ"/>
        </w:rPr>
      </w:pPr>
      <w:r w:rsidRPr="009909A4">
        <w:rPr>
          <w:rFonts w:ascii="Arial" w:eastAsia="Arial" w:hAnsi="Arial" w:cs="Arial"/>
          <w:color w:val="000000"/>
          <w:lang w:val="cs-CZ"/>
        </w:rPr>
        <w:t xml:space="preserve">V prioritní ose 2 zaměřené na podporu sociálního začleňování, boj s chudobou, na sociální podnikání a na sociálně vyloučené lokality bylo podpořeno </w:t>
      </w:r>
      <w:r w:rsidRPr="0020390F">
        <w:rPr>
          <w:rFonts w:ascii="Arial" w:eastAsia="Arial" w:hAnsi="Arial" w:cs="Arial"/>
          <w:color w:val="000000"/>
          <w:lang w:val="cs-CZ"/>
        </w:rPr>
        <w:t xml:space="preserve">2 </w:t>
      </w:r>
      <w:r w:rsidR="00A64B05">
        <w:rPr>
          <w:rFonts w:ascii="Arial" w:eastAsia="Arial" w:hAnsi="Arial" w:cs="Arial"/>
          <w:color w:val="000000"/>
          <w:lang w:val="cs-CZ"/>
        </w:rPr>
        <w:t>665</w:t>
      </w:r>
      <w:r w:rsidRPr="0020390F">
        <w:rPr>
          <w:rFonts w:ascii="Arial" w:eastAsia="Arial" w:hAnsi="Arial" w:cs="Arial"/>
          <w:color w:val="000000"/>
          <w:lang w:val="cs-CZ"/>
        </w:rPr>
        <w:t xml:space="preserve"> projektů v objemu </w:t>
      </w:r>
      <w:r w:rsidR="005964E8" w:rsidRPr="0020390F">
        <w:rPr>
          <w:rFonts w:ascii="Arial" w:eastAsia="Arial" w:hAnsi="Arial" w:cs="Arial"/>
          <w:color w:val="000000"/>
          <w:lang w:val="cs-CZ"/>
        </w:rPr>
        <w:t>8</w:t>
      </w:r>
      <w:r w:rsidR="005964E8">
        <w:rPr>
          <w:rFonts w:ascii="Arial" w:eastAsia="Arial" w:hAnsi="Arial" w:cs="Arial"/>
          <w:color w:val="000000"/>
          <w:lang w:val="cs-CZ"/>
        </w:rPr>
        <w:t>39</w:t>
      </w:r>
      <w:r w:rsidR="005964E8" w:rsidRPr="0020390F">
        <w:rPr>
          <w:rFonts w:ascii="Arial" w:eastAsia="Arial" w:hAnsi="Arial" w:cs="Arial"/>
          <w:color w:val="000000"/>
          <w:lang w:val="cs-CZ"/>
        </w:rPr>
        <w:t xml:space="preserve"> </w:t>
      </w:r>
      <w:r w:rsidRPr="0020390F">
        <w:rPr>
          <w:rFonts w:ascii="Arial" w:eastAsia="Arial" w:hAnsi="Arial" w:cs="Arial"/>
          <w:color w:val="000000"/>
          <w:lang w:val="cs-CZ"/>
        </w:rPr>
        <w:t>mil. EUR.</w:t>
      </w:r>
      <w:r>
        <w:rPr>
          <w:rFonts w:ascii="Arial" w:eastAsia="Arial" w:hAnsi="Arial" w:cs="Arial"/>
          <w:color w:val="000000"/>
          <w:lang w:val="cs-CZ"/>
        </w:rPr>
        <w:t xml:space="preserve"> Nad rámec harmonogramu v ní byly v roce 2020 vyhlášeny 2 poslední výzvy</w:t>
      </w:r>
      <w:r w:rsidRPr="00E067E9">
        <w:rPr>
          <w:rFonts w:ascii="Arial" w:eastAsia="Arial" w:hAnsi="Arial" w:cs="Arial"/>
          <w:color w:val="000000"/>
          <w:lang w:val="cs-CZ"/>
        </w:rPr>
        <w:t xml:space="preserve"> </w:t>
      </w:r>
      <w:r>
        <w:rPr>
          <w:rFonts w:ascii="Arial" w:eastAsia="Arial" w:hAnsi="Arial" w:cs="Arial"/>
          <w:color w:val="000000"/>
          <w:lang w:val="cs-CZ"/>
        </w:rPr>
        <w:t xml:space="preserve">s cílem maximálního dočerpání prostředků. </w:t>
      </w:r>
      <w:r w:rsidRPr="009909A4">
        <w:rPr>
          <w:rFonts w:ascii="Arial" w:hAnsi="Arial" w:cs="Arial"/>
          <w:lang w:val="cs-CZ"/>
        </w:rPr>
        <w:t xml:space="preserve">V souvislosti s dopady </w:t>
      </w:r>
      <w:r w:rsidRPr="009909A4">
        <w:rPr>
          <w:rFonts w:ascii="Arial" w:eastAsia="Arial" w:hAnsi="Arial" w:cs="Arial"/>
          <w:color w:val="000000"/>
          <w:lang w:val="cs-CZ"/>
        </w:rPr>
        <w:t xml:space="preserve">epidemie onemocnění COVID-19 došlo </w:t>
      </w:r>
      <w:r w:rsidRPr="00F861C7">
        <w:rPr>
          <w:rFonts w:ascii="Arial" w:hAnsi="Arial" w:cs="Arial"/>
          <w:lang w:val="cs-CZ"/>
        </w:rPr>
        <w:t>k revizi pravidel</w:t>
      </w:r>
      <w:r w:rsidRPr="009909A4">
        <w:rPr>
          <w:rFonts w:ascii="Arial" w:hAnsi="Arial" w:cs="Arial"/>
          <w:lang w:val="cs-CZ"/>
        </w:rPr>
        <w:t xml:space="preserve"> pro čerpání úvěrů</w:t>
      </w:r>
      <w:r>
        <w:rPr>
          <w:rFonts w:ascii="Arial" w:hAnsi="Arial" w:cs="Arial"/>
          <w:lang w:val="cs-CZ"/>
        </w:rPr>
        <w:t xml:space="preserve"> v rámci finančních nástrojů pro sociální podniky</w:t>
      </w:r>
      <w:r w:rsidRPr="009909A4">
        <w:rPr>
          <w:rFonts w:ascii="Arial" w:hAnsi="Arial" w:cs="Arial"/>
          <w:lang w:val="cs-CZ"/>
        </w:rPr>
        <w:t xml:space="preserve">, které mohou nově čerpat nejen malé a střední podniky, ale všechny sociální podniky bez ohledu na svou velikost. </w:t>
      </w:r>
    </w:p>
    <w:p w14:paraId="5E230BD2" w14:textId="0EF15DDB" w:rsidR="003139E9" w:rsidRPr="00F861C7" w:rsidRDefault="003139E9" w:rsidP="003139E9">
      <w:pPr>
        <w:spacing w:after="120" w:line="264" w:lineRule="auto"/>
        <w:ind w:right="121"/>
        <w:jc w:val="both"/>
        <w:rPr>
          <w:rFonts w:ascii="Arial" w:eastAsia="Arial" w:hAnsi="Arial" w:cs="Arial"/>
          <w:color w:val="000000"/>
          <w:lang w:val="cs-CZ"/>
        </w:rPr>
      </w:pPr>
      <w:r w:rsidRPr="009909A4">
        <w:rPr>
          <w:rFonts w:ascii="Arial" w:eastAsia="Arial" w:hAnsi="Arial" w:cs="Arial"/>
          <w:color w:val="000000"/>
          <w:lang w:val="cs-CZ"/>
        </w:rPr>
        <w:t xml:space="preserve">Prioritní osa 3 zaměřená na sociální inovace ve veřejné správě a mezinárodní spolupráci podpořila </w:t>
      </w:r>
      <w:r w:rsidRPr="0020390F">
        <w:rPr>
          <w:rFonts w:ascii="Arial" w:eastAsia="Arial" w:hAnsi="Arial" w:cs="Arial"/>
          <w:color w:val="000000"/>
          <w:lang w:val="cs-CZ"/>
        </w:rPr>
        <w:t>18</w:t>
      </w:r>
      <w:r w:rsidR="005964E8">
        <w:rPr>
          <w:rFonts w:ascii="Arial" w:eastAsia="Arial" w:hAnsi="Arial" w:cs="Arial"/>
          <w:color w:val="000000"/>
          <w:lang w:val="cs-CZ"/>
        </w:rPr>
        <w:t>1</w:t>
      </w:r>
      <w:r w:rsidRPr="0020390F">
        <w:rPr>
          <w:rFonts w:ascii="Arial" w:eastAsia="Arial" w:hAnsi="Arial" w:cs="Arial"/>
          <w:color w:val="000000"/>
          <w:lang w:val="cs-CZ"/>
        </w:rPr>
        <w:t xml:space="preserve"> projektů v objemu 52 mil. EUR.</w:t>
      </w:r>
      <w:r w:rsidRPr="009909A4">
        <w:rPr>
          <w:rFonts w:ascii="Arial" w:eastAsia="Arial" w:hAnsi="Arial" w:cs="Arial"/>
          <w:color w:val="000000"/>
          <w:lang w:val="cs-CZ"/>
        </w:rPr>
        <w:t xml:space="preserve"> </w:t>
      </w:r>
      <w:r>
        <w:rPr>
          <w:rFonts w:ascii="Arial" w:eastAsia="Arial" w:hAnsi="Arial" w:cs="Arial"/>
          <w:color w:val="000000"/>
          <w:lang w:val="cs-CZ"/>
        </w:rPr>
        <w:t>Vládní o</w:t>
      </w:r>
      <w:r w:rsidRPr="009909A4">
        <w:rPr>
          <w:rFonts w:ascii="Arial" w:eastAsia="Calibri" w:hAnsi="Arial" w:cs="Arial"/>
          <w:lang w:val="cs-CZ" w:eastAsia="en-US"/>
        </w:rPr>
        <w:t>patření proti zhoršené epidemiologické situaci měla významný dopad na realizaci aktivit projektů zaměřených na mezinárodní mobilitu a sociální začleňování znevýhodněné mládeže. Realizátoři musel</w:t>
      </w:r>
      <w:r>
        <w:rPr>
          <w:rFonts w:ascii="Arial" w:eastAsia="Calibri" w:hAnsi="Arial" w:cs="Arial"/>
          <w:lang w:val="cs-CZ" w:eastAsia="en-US"/>
        </w:rPr>
        <w:t>i</w:t>
      </w:r>
      <w:r w:rsidRPr="009909A4">
        <w:rPr>
          <w:rFonts w:ascii="Arial" w:eastAsia="Calibri" w:hAnsi="Arial" w:cs="Arial"/>
          <w:lang w:val="cs-CZ" w:eastAsia="en-US"/>
        </w:rPr>
        <w:t xml:space="preserve"> dočasně aktivity pozastavit, zásadně je upravit či v krajních případech projekt předčasně ukončit. Jednou z pozitivních </w:t>
      </w:r>
      <w:r>
        <w:rPr>
          <w:rFonts w:ascii="Arial" w:eastAsia="Calibri" w:hAnsi="Arial" w:cs="Arial"/>
          <w:lang w:val="cs-CZ" w:eastAsia="en-US"/>
        </w:rPr>
        <w:t>událostí</w:t>
      </w:r>
      <w:r w:rsidRPr="009909A4">
        <w:rPr>
          <w:rFonts w:ascii="Arial" w:eastAsia="Calibri" w:hAnsi="Arial" w:cs="Arial"/>
          <w:lang w:val="cs-CZ" w:eastAsia="en-US"/>
        </w:rPr>
        <w:t xml:space="preserve"> byla mezinárodní cena pro sociální inovace </w:t>
      </w:r>
      <w:proofErr w:type="spellStart"/>
      <w:r w:rsidRPr="009909A4">
        <w:rPr>
          <w:rFonts w:ascii="Arial" w:eastAsia="Calibri" w:hAnsi="Arial" w:cs="Arial"/>
          <w:lang w:val="cs-CZ" w:eastAsia="en-US"/>
        </w:rPr>
        <w:t>SozialMarie</w:t>
      </w:r>
      <w:proofErr w:type="spellEnd"/>
      <w:r w:rsidRPr="009909A4">
        <w:rPr>
          <w:rFonts w:ascii="Arial" w:eastAsia="Calibri" w:hAnsi="Arial" w:cs="Arial"/>
          <w:lang w:val="cs-CZ" w:eastAsia="en-US"/>
        </w:rPr>
        <w:t>, kterou získal projekt "Návštěvy POTMĚ" realizovaný Nadačním fondem Českého rozhlasu.</w:t>
      </w:r>
    </w:p>
    <w:p w14:paraId="018963A4" w14:textId="0F605FD6" w:rsidR="003139E9" w:rsidRPr="009909A4" w:rsidRDefault="003139E9" w:rsidP="003139E9">
      <w:pPr>
        <w:spacing w:after="120" w:line="264" w:lineRule="auto"/>
        <w:ind w:right="121"/>
        <w:jc w:val="both"/>
        <w:rPr>
          <w:rFonts w:ascii="Arial" w:eastAsia="Arial" w:hAnsi="Arial" w:cs="Arial"/>
          <w:color w:val="000000"/>
          <w:lang w:val="cs-CZ"/>
        </w:rPr>
      </w:pPr>
      <w:r w:rsidRPr="009909A4">
        <w:rPr>
          <w:rFonts w:ascii="Arial" w:eastAsia="Arial" w:hAnsi="Arial" w:cs="Arial"/>
          <w:color w:val="000000"/>
          <w:lang w:val="cs-CZ"/>
        </w:rPr>
        <w:t xml:space="preserve">V prioritní ose 4 zaměřené na optimalizaci a profesionalizaci veřejné správy, zejména obcí, krajů a územně samosprávných celků bylo schváleno </w:t>
      </w:r>
      <w:r w:rsidRPr="0020390F">
        <w:rPr>
          <w:rFonts w:ascii="Arial" w:eastAsia="Arial" w:hAnsi="Arial" w:cs="Arial"/>
          <w:color w:val="000000"/>
          <w:lang w:val="cs-CZ"/>
        </w:rPr>
        <w:t>4</w:t>
      </w:r>
      <w:r w:rsidR="005964E8">
        <w:rPr>
          <w:rFonts w:ascii="Arial" w:eastAsia="Arial" w:hAnsi="Arial" w:cs="Arial"/>
          <w:color w:val="000000"/>
          <w:lang w:val="cs-CZ"/>
        </w:rPr>
        <w:t>46</w:t>
      </w:r>
      <w:r w:rsidRPr="0020390F">
        <w:rPr>
          <w:rFonts w:ascii="Arial" w:eastAsia="Arial" w:hAnsi="Arial" w:cs="Arial"/>
          <w:color w:val="000000"/>
          <w:lang w:val="cs-CZ"/>
        </w:rPr>
        <w:t xml:space="preserve"> projektů v objemu 17</w:t>
      </w:r>
      <w:r w:rsidR="005964E8">
        <w:rPr>
          <w:rFonts w:ascii="Arial" w:eastAsia="Arial" w:hAnsi="Arial" w:cs="Arial"/>
          <w:color w:val="000000"/>
          <w:lang w:val="cs-CZ"/>
        </w:rPr>
        <w:t>5</w:t>
      </w:r>
      <w:r w:rsidRPr="0020390F">
        <w:rPr>
          <w:rFonts w:ascii="Arial" w:eastAsia="Arial" w:hAnsi="Arial" w:cs="Arial"/>
          <w:color w:val="000000"/>
          <w:lang w:val="cs-CZ"/>
        </w:rPr>
        <w:t xml:space="preserve"> mil. EUR.</w:t>
      </w:r>
      <w:r w:rsidRPr="009909A4">
        <w:rPr>
          <w:rFonts w:ascii="Arial" w:eastAsia="Arial" w:hAnsi="Arial" w:cs="Arial"/>
          <w:color w:val="000000"/>
          <w:lang w:val="cs-CZ"/>
        </w:rPr>
        <w:t xml:space="preserve"> </w:t>
      </w:r>
    </w:p>
    <w:p w14:paraId="24812EE2" w14:textId="77777777" w:rsidR="003139E9" w:rsidRPr="00E0096B" w:rsidRDefault="003139E9" w:rsidP="00722B56">
      <w:pPr>
        <w:spacing w:after="120" w:line="264" w:lineRule="auto"/>
        <w:ind w:right="119"/>
        <w:jc w:val="both"/>
        <w:rPr>
          <w:rFonts w:ascii="Arial" w:hAnsi="Arial" w:cs="Arial"/>
          <w:b/>
          <w:color w:val="000000" w:themeColor="text1"/>
          <w:sz w:val="20"/>
          <w:szCs w:val="20"/>
          <w:highlight w:val="yellow"/>
        </w:rPr>
      </w:pPr>
    </w:p>
    <w:p w14:paraId="203B4D2E" w14:textId="2DC69AA2" w:rsidR="00A2351A" w:rsidRPr="002534F9" w:rsidRDefault="002D5C25" w:rsidP="002534F9">
      <w:pPr>
        <w:pStyle w:val="Nadpis1"/>
      </w:pPr>
      <w:bookmarkStart w:id="26" w:name="_Toc66814540"/>
      <w:r>
        <w:t>ZPRÁVA O IMPLEMENTACI FINANČNÍCH NÁSTROJŮ (</w:t>
      </w:r>
      <w:proofErr w:type="spellStart"/>
      <w:r>
        <w:t>článek</w:t>
      </w:r>
      <w:proofErr w:type="spellEnd"/>
      <w:r>
        <w:t xml:space="preserve"> 46 </w:t>
      </w:r>
      <w:proofErr w:type="spellStart"/>
      <w:r>
        <w:t>nařízení</w:t>
      </w:r>
      <w:proofErr w:type="spellEnd"/>
      <w:r>
        <w:t xml:space="preserve"> (EU) č. 1303/2013)</w:t>
      </w:r>
      <w:bookmarkEnd w:id="26"/>
    </w:p>
    <w:p w14:paraId="55A6E877" w14:textId="77777777" w:rsidR="002534F9" w:rsidRPr="00E71A8D" w:rsidRDefault="002534F9" w:rsidP="002534F9">
      <w:pPr>
        <w:spacing w:after="120" w:line="264" w:lineRule="auto"/>
        <w:ind w:right="121"/>
        <w:rPr>
          <w:rFonts w:ascii="Arial" w:eastAsia="Arial" w:hAnsi="Arial" w:cs="Arial"/>
          <w:color w:val="000000"/>
        </w:rPr>
      </w:pPr>
    </w:p>
    <w:p w14:paraId="7EC35BCA" w14:textId="7D5AB2C6" w:rsidR="008E6604" w:rsidRDefault="00D2226E" w:rsidP="002534F9">
      <w:pPr>
        <w:spacing w:after="120" w:line="264" w:lineRule="auto"/>
        <w:ind w:right="121"/>
        <w:rPr>
          <w:rFonts w:ascii="Arial" w:eastAsia="Arial" w:hAnsi="Arial" w:cs="Arial"/>
          <w:color w:val="000000"/>
        </w:rPr>
      </w:pPr>
      <w:proofErr w:type="spellStart"/>
      <w:r w:rsidRPr="00E71A8D">
        <w:rPr>
          <w:rFonts w:ascii="Arial" w:eastAsia="Arial" w:hAnsi="Arial" w:cs="Arial"/>
          <w:color w:val="000000"/>
        </w:rPr>
        <w:t>Zpráva</w:t>
      </w:r>
      <w:proofErr w:type="spellEnd"/>
      <w:r w:rsidRPr="00E71A8D">
        <w:rPr>
          <w:rFonts w:ascii="Arial" w:eastAsia="Arial" w:hAnsi="Arial" w:cs="Arial"/>
          <w:color w:val="000000"/>
        </w:rPr>
        <w:t xml:space="preserve"> o </w:t>
      </w:r>
      <w:proofErr w:type="spellStart"/>
      <w:r w:rsidRPr="00E71A8D">
        <w:rPr>
          <w:rFonts w:ascii="Arial" w:eastAsia="Arial" w:hAnsi="Arial" w:cs="Arial"/>
          <w:color w:val="000000"/>
        </w:rPr>
        <w:t>implementaci</w:t>
      </w:r>
      <w:proofErr w:type="spellEnd"/>
      <w:r w:rsidRPr="00E71A8D">
        <w:rPr>
          <w:rFonts w:ascii="Arial" w:eastAsia="Arial" w:hAnsi="Arial" w:cs="Arial"/>
          <w:color w:val="000000"/>
        </w:rPr>
        <w:t xml:space="preserve"> </w:t>
      </w:r>
      <w:proofErr w:type="spellStart"/>
      <w:r w:rsidRPr="00E71A8D">
        <w:rPr>
          <w:rFonts w:ascii="Arial" w:eastAsia="Arial" w:hAnsi="Arial" w:cs="Arial"/>
          <w:color w:val="000000"/>
        </w:rPr>
        <w:t>finanč</w:t>
      </w:r>
      <w:r w:rsidR="001D72BB" w:rsidRPr="00E71A8D">
        <w:rPr>
          <w:rFonts w:ascii="Arial" w:eastAsia="Arial" w:hAnsi="Arial" w:cs="Arial"/>
          <w:color w:val="000000"/>
        </w:rPr>
        <w:t>ních</w:t>
      </w:r>
      <w:proofErr w:type="spellEnd"/>
      <w:r w:rsidR="001D72BB" w:rsidRPr="00E71A8D">
        <w:rPr>
          <w:rFonts w:ascii="Arial" w:eastAsia="Arial" w:hAnsi="Arial" w:cs="Arial"/>
          <w:color w:val="000000"/>
        </w:rPr>
        <w:t xml:space="preserve"> </w:t>
      </w:r>
      <w:proofErr w:type="spellStart"/>
      <w:r w:rsidR="001D72BB" w:rsidRPr="00E71A8D">
        <w:rPr>
          <w:rFonts w:ascii="Arial" w:eastAsia="Arial" w:hAnsi="Arial" w:cs="Arial"/>
          <w:color w:val="000000"/>
        </w:rPr>
        <w:t>nástroj</w:t>
      </w:r>
      <w:r w:rsidR="003139E9">
        <w:rPr>
          <w:rFonts w:ascii="Arial" w:eastAsia="Arial" w:hAnsi="Arial" w:cs="Arial"/>
          <w:color w:val="000000"/>
        </w:rPr>
        <w:t>ů</w:t>
      </w:r>
      <w:proofErr w:type="spellEnd"/>
      <w:r w:rsidR="001D72BB" w:rsidRPr="00E71A8D">
        <w:rPr>
          <w:rFonts w:ascii="Arial" w:eastAsia="Arial" w:hAnsi="Arial" w:cs="Arial"/>
          <w:color w:val="000000"/>
        </w:rPr>
        <w:t xml:space="preserve"> se v MS2014+ </w:t>
      </w:r>
      <w:r w:rsidRPr="00E71A8D">
        <w:rPr>
          <w:rFonts w:ascii="Arial" w:eastAsia="Arial" w:hAnsi="Arial" w:cs="Arial"/>
          <w:color w:val="000000"/>
        </w:rPr>
        <w:t xml:space="preserve">do </w:t>
      </w:r>
      <w:proofErr w:type="spellStart"/>
      <w:r w:rsidR="00473C57" w:rsidRPr="00E71A8D">
        <w:rPr>
          <w:rFonts w:ascii="Arial" w:eastAsia="Arial" w:hAnsi="Arial" w:cs="Arial"/>
          <w:color w:val="000000"/>
        </w:rPr>
        <w:t>Vý</w:t>
      </w:r>
      <w:r w:rsidR="001D72BB" w:rsidRPr="00E71A8D">
        <w:rPr>
          <w:rFonts w:ascii="Arial" w:eastAsia="Arial" w:hAnsi="Arial" w:cs="Arial"/>
          <w:color w:val="000000"/>
        </w:rPr>
        <w:t>roční</w:t>
      </w:r>
      <w:proofErr w:type="spellEnd"/>
      <w:r w:rsidR="001D72BB" w:rsidRPr="00E71A8D">
        <w:rPr>
          <w:rFonts w:ascii="Arial" w:eastAsia="Arial" w:hAnsi="Arial" w:cs="Arial"/>
          <w:color w:val="000000"/>
        </w:rPr>
        <w:t xml:space="preserve"> </w:t>
      </w:r>
      <w:proofErr w:type="spellStart"/>
      <w:r w:rsidR="001D72BB" w:rsidRPr="00E71A8D">
        <w:rPr>
          <w:rFonts w:ascii="Arial" w:eastAsia="Arial" w:hAnsi="Arial" w:cs="Arial"/>
          <w:color w:val="000000"/>
        </w:rPr>
        <w:t>zprávy</w:t>
      </w:r>
      <w:proofErr w:type="spellEnd"/>
      <w:r w:rsidR="001D72BB" w:rsidRPr="00E71A8D">
        <w:rPr>
          <w:rFonts w:ascii="Arial" w:eastAsia="Arial" w:hAnsi="Arial" w:cs="Arial"/>
          <w:color w:val="000000"/>
        </w:rPr>
        <w:t xml:space="preserve"> </w:t>
      </w:r>
      <w:proofErr w:type="spellStart"/>
      <w:r w:rsidR="001D72BB" w:rsidRPr="00E71A8D">
        <w:rPr>
          <w:rFonts w:ascii="Arial" w:eastAsia="Arial" w:hAnsi="Arial" w:cs="Arial"/>
          <w:color w:val="000000"/>
        </w:rPr>
        <w:t>negeneruje</w:t>
      </w:r>
      <w:proofErr w:type="spellEnd"/>
      <w:r w:rsidR="001D72BB" w:rsidRPr="00E71A8D">
        <w:rPr>
          <w:rFonts w:ascii="Arial" w:eastAsia="Arial" w:hAnsi="Arial" w:cs="Arial"/>
          <w:color w:val="000000"/>
        </w:rPr>
        <w:t xml:space="preserve"> a proto </w:t>
      </w:r>
      <w:r w:rsidR="00473C57" w:rsidRPr="00E71A8D">
        <w:rPr>
          <w:rFonts w:ascii="Arial" w:eastAsia="Arial" w:hAnsi="Arial" w:cs="Arial"/>
          <w:color w:val="000000"/>
        </w:rPr>
        <w:t xml:space="preserve">je </w:t>
      </w:r>
      <w:proofErr w:type="spellStart"/>
      <w:r w:rsidR="00473C57" w:rsidRPr="00E71A8D">
        <w:rPr>
          <w:rFonts w:ascii="Arial" w:eastAsia="Arial" w:hAnsi="Arial" w:cs="Arial"/>
          <w:color w:val="000000"/>
        </w:rPr>
        <w:t>vložena</w:t>
      </w:r>
      <w:proofErr w:type="spellEnd"/>
      <w:r w:rsidR="00473C57" w:rsidRPr="00E71A8D">
        <w:rPr>
          <w:rFonts w:ascii="Arial" w:eastAsia="Arial" w:hAnsi="Arial" w:cs="Arial"/>
          <w:color w:val="000000"/>
        </w:rPr>
        <w:t xml:space="preserve"> do </w:t>
      </w:r>
      <w:proofErr w:type="spellStart"/>
      <w:r w:rsidR="00473C57" w:rsidRPr="00E71A8D">
        <w:rPr>
          <w:rFonts w:ascii="Arial" w:eastAsia="Arial" w:hAnsi="Arial" w:cs="Arial"/>
          <w:color w:val="000000"/>
        </w:rPr>
        <w:t>přílohy</w:t>
      </w:r>
      <w:proofErr w:type="spellEnd"/>
      <w:r w:rsidR="00473C57" w:rsidRPr="00E71A8D">
        <w:rPr>
          <w:rFonts w:ascii="Arial" w:eastAsia="Arial" w:hAnsi="Arial" w:cs="Arial"/>
          <w:color w:val="000000"/>
        </w:rPr>
        <w:t xml:space="preserve"> č. </w:t>
      </w:r>
      <w:r w:rsidR="002E03DE">
        <w:rPr>
          <w:rFonts w:ascii="Arial" w:eastAsia="Arial" w:hAnsi="Arial" w:cs="Arial"/>
          <w:color w:val="000000"/>
        </w:rPr>
        <w:t>5</w:t>
      </w:r>
      <w:r w:rsidR="002534F9" w:rsidRPr="00E71A8D">
        <w:rPr>
          <w:rFonts w:ascii="Arial" w:eastAsia="Arial" w:hAnsi="Arial" w:cs="Arial"/>
          <w:color w:val="000000"/>
        </w:rPr>
        <w:t>.</w:t>
      </w:r>
    </w:p>
    <w:p w14:paraId="0074D430" w14:textId="77777777" w:rsidR="001844FB" w:rsidRDefault="001844FB" w:rsidP="001844FB">
      <w:pPr>
        <w:keepNext/>
        <w:tabs>
          <w:tab w:val="left" w:pos="1675"/>
        </w:tabs>
        <w:ind w:left="119" w:right="121"/>
        <w:rPr>
          <w:rFonts w:ascii="Arial" w:eastAsia="Arial" w:hAnsi="Arial" w:cs="Arial"/>
          <w:color w:val="000000"/>
          <w:sz w:val="16"/>
        </w:rPr>
      </w:pPr>
      <w:r>
        <w:rPr>
          <w:rFonts w:ascii="Arial" w:eastAsia="Arial" w:hAnsi="Arial" w:cs="Arial"/>
          <w:color w:val="000000"/>
          <w:sz w:val="16"/>
        </w:rPr>
        <w:t>----------------------------------------------------</w:t>
      </w:r>
    </w:p>
    <w:p w14:paraId="1CFCDA9B" w14:textId="77777777" w:rsidR="001844FB" w:rsidRDefault="001844FB" w:rsidP="001844FB">
      <w:pPr>
        <w:tabs>
          <w:tab w:val="left" w:pos="1675"/>
        </w:tabs>
        <w:ind w:left="119" w:right="121"/>
        <w:rPr>
          <w:rFonts w:ascii="Arial" w:eastAsia="Arial" w:hAnsi="Arial" w:cs="Arial"/>
          <w:color w:val="000000"/>
          <w:sz w:val="16"/>
        </w:rPr>
      </w:pPr>
      <w:r>
        <w:rPr>
          <w:rFonts w:ascii="Arial" w:eastAsia="Arial" w:hAnsi="Arial" w:cs="Arial"/>
          <w:color w:val="000000"/>
          <w:sz w:val="16"/>
        </w:rPr>
        <w:t xml:space="preserve">15, 16 - </w:t>
      </w:r>
      <w:proofErr w:type="spellStart"/>
      <w:r>
        <w:rPr>
          <w:rFonts w:ascii="Arial" w:eastAsia="Arial" w:hAnsi="Arial" w:cs="Arial"/>
          <w:color w:val="000000"/>
          <w:sz w:val="16"/>
        </w:rPr>
        <w:t>Strukturované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údaje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požadované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pro </w:t>
      </w:r>
      <w:proofErr w:type="spellStart"/>
      <w:r>
        <w:rPr>
          <w:rFonts w:ascii="Arial" w:eastAsia="Arial" w:hAnsi="Arial" w:cs="Arial"/>
          <w:color w:val="000000"/>
          <w:sz w:val="16"/>
        </w:rPr>
        <w:t>zprávu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o YEI, </w:t>
      </w:r>
      <w:proofErr w:type="spellStart"/>
      <w:r>
        <w:rPr>
          <w:rFonts w:ascii="Arial" w:eastAsia="Arial" w:hAnsi="Arial" w:cs="Arial"/>
          <w:color w:val="000000"/>
          <w:sz w:val="16"/>
        </w:rPr>
        <w:t>která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má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být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6"/>
        </w:rPr>
        <w:t>předložena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v </w:t>
      </w:r>
      <w:proofErr w:type="spellStart"/>
      <w:r>
        <w:rPr>
          <w:rFonts w:ascii="Arial" w:eastAsia="Arial" w:hAnsi="Arial" w:cs="Arial"/>
          <w:color w:val="000000"/>
          <w:sz w:val="16"/>
        </w:rPr>
        <w:t>dubnu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2015 v </w:t>
      </w:r>
      <w:proofErr w:type="spellStart"/>
      <w:r>
        <w:rPr>
          <w:rFonts w:ascii="Arial" w:eastAsia="Arial" w:hAnsi="Arial" w:cs="Arial"/>
          <w:color w:val="000000"/>
          <w:sz w:val="16"/>
        </w:rPr>
        <w:t>souladu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s </w:t>
      </w:r>
      <w:proofErr w:type="spellStart"/>
      <w:r>
        <w:rPr>
          <w:rFonts w:ascii="Arial" w:eastAsia="Arial" w:hAnsi="Arial" w:cs="Arial"/>
          <w:color w:val="000000"/>
          <w:sz w:val="16"/>
        </w:rPr>
        <w:t>čl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. 19 </w:t>
      </w:r>
      <w:proofErr w:type="spellStart"/>
      <w:r>
        <w:rPr>
          <w:rFonts w:ascii="Arial" w:eastAsia="Arial" w:hAnsi="Arial" w:cs="Arial"/>
          <w:color w:val="000000"/>
          <w:sz w:val="16"/>
        </w:rPr>
        <w:t>odst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. 3 a </w:t>
      </w:r>
      <w:proofErr w:type="spellStart"/>
      <w:r>
        <w:rPr>
          <w:rFonts w:ascii="Arial" w:eastAsia="Arial" w:hAnsi="Arial" w:cs="Arial"/>
          <w:color w:val="000000"/>
          <w:sz w:val="16"/>
        </w:rPr>
        <w:t>přílohou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II </w:t>
      </w:r>
      <w:proofErr w:type="spellStart"/>
      <w:r>
        <w:rPr>
          <w:rFonts w:ascii="Arial" w:eastAsia="Arial" w:hAnsi="Arial" w:cs="Arial"/>
          <w:color w:val="000000"/>
          <w:sz w:val="16"/>
        </w:rPr>
        <w:t>nařízení</w:t>
      </w:r>
      <w:proofErr w:type="spellEnd"/>
      <w:r>
        <w:rPr>
          <w:rFonts w:ascii="Arial" w:eastAsia="Arial" w:hAnsi="Arial" w:cs="Arial"/>
          <w:color w:val="000000"/>
          <w:sz w:val="16"/>
        </w:rPr>
        <w:t xml:space="preserve"> (EU) č. 1304/2013.</w:t>
      </w:r>
    </w:p>
    <w:p w14:paraId="1B8961AC" w14:textId="77777777" w:rsidR="001844FB" w:rsidRPr="00E71A8D" w:rsidRDefault="001844FB" w:rsidP="002534F9">
      <w:pPr>
        <w:spacing w:after="120" w:line="264" w:lineRule="auto"/>
        <w:ind w:right="121"/>
        <w:rPr>
          <w:rFonts w:ascii="Arial" w:eastAsia="Arial" w:hAnsi="Arial" w:cs="Arial"/>
          <w:color w:val="000000"/>
        </w:rPr>
      </w:pPr>
    </w:p>
    <w:p w14:paraId="7482682C" w14:textId="7E0138A8" w:rsidR="00ED0CC4" w:rsidRPr="00ED0CC4" w:rsidRDefault="00ED0CC4" w:rsidP="008E6604">
      <w:pPr>
        <w:pStyle w:val="Nadpis1"/>
        <w:numPr>
          <w:ilvl w:val="0"/>
          <w:numId w:val="25"/>
        </w:numPr>
      </w:pPr>
      <w:bookmarkStart w:id="27" w:name="_Toc66814541"/>
      <w:r w:rsidRPr="00ED0CC4">
        <w:t>DODATEČNÉ INFORMACE, KTERÉ MOHOU BÝT PŘIPOJENY V ZÁVISLOSTI NA OBSAHU A CÍLECH OPERAČNÍHO PROGRAMU (</w:t>
      </w:r>
      <w:proofErr w:type="spellStart"/>
      <w:r w:rsidRPr="00ED0CC4">
        <w:t>čl</w:t>
      </w:r>
      <w:proofErr w:type="spellEnd"/>
      <w:r w:rsidRPr="00ED0CC4">
        <w:t xml:space="preserve">. 111 </w:t>
      </w:r>
      <w:proofErr w:type="spellStart"/>
      <w:r w:rsidRPr="00ED0CC4">
        <w:t>odst</w:t>
      </w:r>
      <w:proofErr w:type="spellEnd"/>
      <w:r w:rsidRPr="00ED0CC4">
        <w:t xml:space="preserve">. 4 </w:t>
      </w:r>
      <w:proofErr w:type="spellStart"/>
      <w:r w:rsidRPr="00ED0CC4">
        <w:t>druhý</w:t>
      </w:r>
      <w:proofErr w:type="spellEnd"/>
      <w:r w:rsidRPr="00ED0CC4">
        <w:t xml:space="preserve"> </w:t>
      </w:r>
      <w:proofErr w:type="spellStart"/>
      <w:r w:rsidRPr="00ED0CC4">
        <w:t>pododstavec</w:t>
      </w:r>
      <w:proofErr w:type="spellEnd"/>
      <w:r w:rsidRPr="00ED0CC4">
        <w:t xml:space="preserve"> </w:t>
      </w:r>
      <w:proofErr w:type="spellStart"/>
      <w:r w:rsidRPr="00ED0CC4">
        <w:t>písm</w:t>
      </w:r>
      <w:proofErr w:type="spellEnd"/>
      <w:r w:rsidRPr="00ED0CC4">
        <w:t xml:space="preserve">. a), b), c), d), g) a h) </w:t>
      </w:r>
      <w:proofErr w:type="spellStart"/>
      <w:r w:rsidRPr="00ED0CC4">
        <w:t>nařízení</w:t>
      </w:r>
      <w:proofErr w:type="spellEnd"/>
      <w:r w:rsidRPr="00ED0CC4">
        <w:t xml:space="preserve"> (EU) č. 1303/2013)</w:t>
      </w:r>
      <w:bookmarkEnd w:id="27"/>
    </w:p>
    <w:p w14:paraId="799F15D7" w14:textId="2ED58A14" w:rsidR="00ED0CC4" w:rsidRDefault="00ED0CC4" w:rsidP="008E6604">
      <w:pPr>
        <w:pStyle w:val="Nadpis2"/>
        <w:numPr>
          <w:ilvl w:val="1"/>
          <w:numId w:val="26"/>
        </w:numPr>
      </w:pPr>
      <w:bookmarkStart w:id="28" w:name="_Toc66814542"/>
      <w:proofErr w:type="spellStart"/>
      <w:r w:rsidRPr="00ED0CC4">
        <w:t>Případně</w:t>
      </w:r>
      <w:proofErr w:type="spellEnd"/>
      <w:r w:rsidRPr="00ED0CC4">
        <w:t xml:space="preserve"> </w:t>
      </w:r>
      <w:proofErr w:type="spellStart"/>
      <w:r w:rsidRPr="00ED0CC4">
        <w:t>přínos</w:t>
      </w:r>
      <w:proofErr w:type="spellEnd"/>
      <w:r w:rsidRPr="00ED0CC4">
        <w:t xml:space="preserve"> k </w:t>
      </w:r>
      <w:proofErr w:type="spellStart"/>
      <w:r w:rsidRPr="00ED0CC4">
        <w:t>makroregionálním</w:t>
      </w:r>
      <w:proofErr w:type="spellEnd"/>
      <w:r w:rsidRPr="00ED0CC4">
        <w:t xml:space="preserve"> </w:t>
      </w:r>
      <w:proofErr w:type="spellStart"/>
      <w:r w:rsidRPr="00ED0CC4">
        <w:t>strategiím</w:t>
      </w:r>
      <w:proofErr w:type="spellEnd"/>
      <w:r w:rsidRPr="00ED0CC4">
        <w:t xml:space="preserve"> a </w:t>
      </w:r>
      <w:proofErr w:type="spellStart"/>
      <w:r w:rsidRPr="00ED0CC4">
        <w:t>strategiím</w:t>
      </w:r>
      <w:proofErr w:type="spellEnd"/>
      <w:r w:rsidRPr="00ED0CC4">
        <w:t xml:space="preserve"> pro </w:t>
      </w:r>
      <w:proofErr w:type="spellStart"/>
      <w:r w:rsidRPr="00ED0CC4">
        <w:t>pobřežní</w:t>
      </w:r>
      <w:proofErr w:type="spellEnd"/>
      <w:r w:rsidRPr="00ED0CC4">
        <w:t xml:space="preserve"> </w:t>
      </w:r>
      <w:proofErr w:type="spellStart"/>
      <w:r w:rsidRPr="00ED0CC4">
        <w:t>oblasti</w:t>
      </w:r>
      <w:bookmarkEnd w:id="28"/>
      <w:proofErr w:type="spellEnd"/>
    </w:p>
    <w:p w14:paraId="38213D20" w14:textId="2B974072" w:rsidR="008E6604" w:rsidRPr="00E71A8D" w:rsidRDefault="006E1B3E" w:rsidP="00D469D5">
      <w:pPr>
        <w:spacing w:after="120" w:line="264" w:lineRule="auto"/>
        <w:ind w:right="121"/>
        <w:jc w:val="both"/>
        <w:rPr>
          <w:rFonts w:ascii="Arial" w:eastAsia="Arial" w:hAnsi="Arial" w:cs="Arial"/>
          <w:color w:val="000000"/>
          <w:lang w:val="cs-CZ"/>
        </w:rPr>
      </w:pPr>
      <w:r w:rsidRPr="002E03DE">
        <w:rPr>
          <w:rFonts w:ascii="Arial" w:eastAsia="Arial" w:hAnsi="Arial" w:cs="Arial"/>
          <w:color w:val="000000"/>
          <w:lang w:val="cs-CZ"/>
        </w:rPr>
        <w:t>V roce 2020 již nebyly realizovány projekty relevantní pro implementaci Strategie EU pro Podunají (prioritní oblast č. 9 Investice do lidí a dovedností a v prioritní oblasti č. 10 Institucionální kapacita a</w:t>
      </w:r>
      <w:r w:rsidR="009864CF" w:rsidRPr="002E03DE">
        <w:rPr>
          <w:rFonts w:ascii="Arial" w:eastAsia="Arial" w:hAnsi="Arial" w:cs="Arial"/>
          <w:color w:val="000000"/>
          <w:lang w:val="cs-CZ"/>
        </w:rPr>
        <w:t> </w:t>
      </w:r>
      <w:r w:rsidRPr="002E03DE">
        <w:rPr>
          <w:rFonts w:ascii="Arial" w:eastAsia="Arial" w:hAnsi="Arial" w:cs="Arial"/>
          <w:color w:val="000000"/>
          <w:lang w:val="cs-CZ"/>
        </w:rPr>
        <w:t>spolupráce).</w:t>
      </w:r>
    </w:p>
    <w:sectPr w:rsidR="008E6604" w:rsidRPr="00E71A8D" w:rsidSect="00554A56">
      <w:headerReference w:type="default" r:id="rId22"/>
      <w:footerReference w:type="default" r:id="rId23"/>
      <w:pgSz w:w="11900" w:h="16820"/>
      <w:pgMar w:top="520" w:right="843" w:bottom="560" w:left="840" w:header="539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A59BE5" w14:textId="77777777" w:rsidR="00CC637D" w:rsidRDefault="00CC637D">
      <w:r>
        <w:separator/>
      </w:r>
    </w:p>
  </w:endnote>
  <w:endnote w:type="continuationSeparator" w:id="0">
    <w:p w14:paraId="250DBF4D" w14:textId="77777777" w:rsidR="00CC637D" w:rsidRDefault="00CC637D">
      <w:r>
        <w:continuationSeparator/>
      </w:r>
    </w:p>
  </w:endnote>
  <w:endnote w:type="continuationNotice" w:id="1">
    <w:p w14:paraId="4E884241" w14:textId="77777777" w:rsidR="00CC637D" w:rsidRDefault="00CC63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64EA1" w14:textId="77777777" w:rsidR="00CC637D" w:rsidRDefault="00CC637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910" w:type="pct"/>
      <w:tblLook w:val="04A0" w:firstRow="1" w:lastRow="0" w:firstColumn="1" w:lastColumn="0" w:noHBand="0" w:noVBand="1"/>
    </w:tblPr>
    <w:tblGrid>
      <w:gridCol w:w="3184"/>
      <w:gridCol w:w="3509"/>
      <w:gridCol w:w="1992"/>
    </w:tblGrid>
    <w:tr w:rsidR="00CC637D" w14:paraId="738A6918" w14:textId="77777777" w:rsidTr="00FD6AEA">
      <w:trPr>
        <w:cantSplit/>
      </w:trPr>
      <w:tc>
        <w:tcPr>
          <w:tcW w:w="1833" w:type="pct"/>
          <w:shd w:val="clear" w:color="auto" w:fill="auto"/>
          <w:vAlign w:val="center"/>
        </w:tcPr>
        <w:p w14:paraId="231E534F" w14:textId="77777777" w:rsidR="00CC637D" w:rsidRDefault="00CC637D" w:rsidP="00FD6AEA">
          <w:pPr>
            <w:pStyle w:val="Zpat"/>
          </w:pPr>
          <w:r>
            <w:t>Sestava vytvořena v MS2014+</w:t>
          </w:r>
        </w:p>
      </w:tc>
      <w:tc>
        <w:tcPr>
          <w:tcW w:w="2020" w:type="pct"/>
          <w:shd w:val="clear" w:color="auto" w:fill="auto"/>
          <w:vAlign w:val="center"/>
        </w:tcPr>
        <w:p w14:paraId="5D6ECD59" w14:textId="77777777" w:rsidR="00CC637D" w:rsidRDefault="00CC637D" w:rsidP="00FD6AEA">
          <w:pPr>
            <w:pStyle w:val="Zpat"/>
            <w:jc w:val="center"/>
          </w:pPr>
          <w:r>
            <w:t>POUMAR</w:t>
          </w:r>
        </w:p>
      </w:tc>
      <w:tc>
        <w:tcPr>
          <w:tcW w:w="1147" w:type="pct"/>
          <w:shd w:val="clear" w:color="auto" w:fill="auto"/>
          <w:vAlign w:val="center"/>
        </w:tcPr>
        <w:p w14:paraId="7EC8AC64" w14:textId="77777777" w:rsidR="00CC637D" w:rsidRDefault="00CC637D" w:rsidP="00FD6AEA">
          <w:pPr>
            <w:pStyle w:val="Zpat"/>
            <w:jc w:val="right"/>
          </w:pPr>
          <w:r>
            <w:t>22.3.2016</w:t>
          </w:r>
        </w:p>
      </w:tc>
    </w:tr>
  </w:tbl>
  <w:p w14:paraId="1FEEA5CC" w14:textId="3D395092" w:rsidR="00CC637D" w:rsidRDefault="00CC637D" w:rsidP="00FD6AEA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FBA20" w14:textId="77777777" w:rsidR="00CC637D" w:rsidRDefault="00CC637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68388" w14:textId="3B4EFF1F" w:rsidR="00CC637D" w:rsidRDefault="00CC637D">
    <w:pPr>
      <w:tabs>
        <w:tab w:val="center" w:pos="4644"/>
        <w:tab w:val="right" w:pos="9180"/>
      </w:tabs>
      <w:ind w:left="111" w:right="105"/>
      <w:jc w:val="center"/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 xml:space="preserve"> PAGE   \* MERGEFORMAT </w:instrText>
    </w:r>
    <w:r>
      <w:rPr>
        <w:rFonts w:ascii="Calibri" w:eastAsia="Calibri" w:hAnsi="Calibri" w:cs="Calibri"/>
        <w:color w:val="000000"/>
      </w:rPr>
      <w:fldChar w:fldCharType="separate"/>
    </w:r>
    <w:r>
      <w:rPr>
        <w:rFonts w:ascii="Calibri" w:eastAsia="Calibri" w:hAnsi="Calibri" w:cs="Calibri"/>
        <w:noProof/>
        <w:color w:val="000000"/>
      </w:rPr>
      <w:t>8</w:t>
    </w:r>
    <w:r>
      <w:rPr>
        <w:rFonts w:ascii="Calibri" w:eastAsia="Calibri" w:hAnsi="Calibri" w:cs="Calibri"/>
        <w:color w:val="00000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DDBB8" w14:textId="7CAEEBAB" w:rsidR="00CC637D" w:rsidRDefault="00CC637D">
    <w:pPr>
      <w:tabs>
        <w:tab w:val="center" w:pos="4644"/>
        <w:tab w:val="right" w:pos="9180"/>
      </w:tabs>
      <w:ind w:left="115" w:right="106"/>
      <w:jc w:val="center"/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 xml:space="preserve"> PAGE   \* MERGEFORMAT </w:instrText>
    </w:r>
    <w:r>
      <w:rPr>
        <w:rFonts w:ascii="Calibri" w:eastAsia="Calibri" w:hAnsi="Calibri" w:cs="Calibri"/>
        <w:color w:val="000000"/>
      </w:rPr>
      <w:fldChar w:fldCharType="separate"/>
    </w:r>
    <w:r>
      <w:rPr>
        <w:rFonts w:ascii="Calibri" w:eastAsia="Calibri" w:hAnsi="Calibri" w:cs="Calibri"/>
        <w:noProof/>
        <w:color w:val="000000"/>
      </w:rPr>
      <w:t>14</w:t>
    </w:r>
    <w:r>
      <w:rPr>
        <w:rFonts w:ascii="Calibri" w:eastAsia="Calibri" w:hAnsi="Calibri" w:cs="Calibri"/>
        <w:color w:val="000000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54624" w14:textId="7E186FB1" w:rsidR="00CC637D" w:rsidRDefault="00CC637D">
    <w:pPr>
      <w:tabs>
        <w:tab w:val="center" w:pos="4644"/>
        <w:tab w:val="right" w:pos="9180"/>
      </w:tabs>
      <w:ind w:left="119" w:right="121"/>
      <w:jc w:val="center"/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 xml:space="preserve"> PAGE   \* MERGEFORMAT </w:instrText>
    </w:r>
    <w:r>
      <w:rPr>
        <w:rFonts w:ascii="Calibri" w:eastAsia="Calibri" w:hAnsi="Calibri" w:cs="Calibri"/>
        <w:color w:val="000000"/>
      </w:rPr>
      <w:fldChar w:fldCharType="separate"/>
    </w:r>
    <w:r>
      <w:rPr>
        <w:rFonts w:ascii="Calibri" w:eastAsia="Calibri" w:hAnsi="Calibri" w:cs="Calibri"/>
        <w:noProof/>
        <w:color w:val="000000"/>
      </w:rPr>
      <w:t>20</w:t>
    </w:r>
    <w:r>
      <w:rPr>
        <w:rFonts w:ascii="Calibri" w:eastAsia="Calibri" w:hAnsi="Calibri" w:cs="Calibri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74D3C0" w14:textId="77777777" w:rsidR="00CC637D" w:rsidRDefault="00CC637D">
      <w:r>
        <w:separator/>
      </w:r>
    </w:p>
  </w:footnote>
  <w:footnote w:type="continuationSeparator" w:id="0">
    <w:p w14:paraId="61CA72A2" w14:textId="77777777" w:rsidR="00CC637D" w:rsidRDefault="00CC637D">
      <w:r>
        <w:continuationSeparator/>
      </w:r>
    </w:p>
  </w:footnote>
  <w:footnote w:type="continuationNotice" w:id="1">
    <w:p w14:paraId="46A9B829" w14:textId="77777777" w:rsidR="00CC637D" w:rsidRDefault="00CC63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B3EEF" w14:textId="77777777" w:rsidR="00CC637D" w:rsidRDefault="00CC63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769E3D" w14:textId="18C61969" w:rsidR="00CC637D" w:rsidRPr="00D74EA7" w:rsidRDefault="00CC637D" w:rsidP="00FD6AEA">
    <w:pPr>
      <w:contextualSpacing/>
      <w:jc w:val="center"/>
      <w:rPr>
        <w:sz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602FF" w14:textId="77777777" w:rsidR="00CC637D" w:rsidRDefault="00CC637D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D1D93" w14:textId="77777777" w:rsidR="00CC637D" w:rsidRDefault="00CC637D">
    <w:pPr>
      <w:tabs>
        <w:tab w:val="left" w:pos="3398"/>
      </w:tabs>
      <w:spacing w:after="120"/>
      <w:ind w:left="115" w:right="106"/>
      <w:jc w:val="right"/>
      <w:rPr>
        <w:rFonts w:ascii="Calibri" w:eastAsia="Calibri" w:hAnsi="Calibri" w:cs="Calibri"/>
        <w:color w:val="000000"/>
        <w:sz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06B05F" w14:textId="77777777" w:rsidR="00CC637D" w:rsidRDefault="00CC637D">
    <w:pPr>
      <w:tabs>
        <w:tab w:val="left" w:pos="3398"/>
      </w:tabs>
      <w:spacing w:after="120"/>
      <w:ind w:left="119" w:right="121"/>
      <w:jc w:val="right"/>
      <w:rPr>
        <w:rFonts w:ascii="Calibri" w:eastAsia="Calibri" w:hAnsi="Calibri" w:cs="Calibri"/>
        <w:color w:val="000000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A591D"/>
    <w:multiLevelType w:val="multilevel"/>
    <w:tmpl w:val="56F42DF2"/>
    <w:lvl w:ilvl="0">
      <w:start w:val="1"/>
      <w:numFmt w:val="decimal"/>
      <w:lvlText w:val="%1."/>
      <w:lvlJc w:val="left"/>
      <w:pPr>
        <w:ind w:left="468" w:hanging="360"/>
      </w:pPr>
      <w:rPr>
        <w:rFonts w:ascii="Calibri" w:eastAsia="Calibri" w:hAnsi="Calibri" w:cs="Calibri" w:hint="default"/>
        <w:color w:val="000000"/>
        <w:sz w:val="24"/>
      </w:rPr>
    </w:lvl>
    <w:lvl w:ilvl="1">
      <w:start w:val="1"/>
      <w:numFmt w:val="decimal"/>
      <w:lvlText w:val="3.%2"/>
      <w:lvlJc w:val="left"/>
      <w:pPr>
        <w:ind w:left="558" w:hanging="450"/>
      </w:pPr>
      <w:rPr>
        <w:rFonts w:ascii="Calibri" w:eastAsia="Calibri" w:hAnsi="Calibri" w:cs="Calibri" w:hint="default"/>
        <w:color w:val="000000"/>
        <w:sz w:val="24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Calibri" w:eastAsia="Calibri" w:hAnsi="Calibri" w:cs="Calibri"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828" w:hanging="720"/>
      </w:pPr>
      <w:rPr>
        <w:rFonts w:ascii="Calibri" w:eastAsia="Calibri" w:hAnsi="Calibri" w:cs="Calibri"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1188" w:hanging="1080"/>
      </w:pPr>
      <w:rPr>
        <w:rFonts w:ascii="Calibri" w:eastAsia="Calibri" w:hAnsi="Calibri" w:cs="Calibri"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88" w:hanging="1080"/>
      </w:pPr>
      <w:rPr>
        <w:rFonts w:ascii="Calibri" w:eastAsia="Calibri" w:hAnsi="Calibri" w:cs="Calibri"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1548" w:hanging="1440"/>
      </w:pPr>
      <w:rPr>
        <w:rFonts w:ascii="Calibri" w:eastAsia="Calibri" w:hAnsi="Calibri" w:cs="Calibri"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1548" w:hanging="1440"/>
      </w:pPr>
      <w:rPr>
        <w:rFonts w:ascii="Calibri" w:eastAsia="Calibri" w:hAnsi="Calibri" w:cs="Calibri"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1908" w:hanging="1800"/>
      </w:pPr>
      <w:rPr>
        <w:rFonts w:ascii="Calibri" w:eastAsia="Calibri" w:hAnsi="Calibri" w:cs="Calibri" w:hint="default"/>
        <w:color w:val="000000"/>
        <w:sz w:val="24"/>
      </w:rPr>
    </w:lvl>
  </w:abstractNum>
  <w:abstractNum w:abstractNumId="1" w15:restartNumberingAfterBreak="0">
    <w:nsid w:val="08BD59BA"/>
    <w:multiLevelType w:val="hybridMultilevel"/>
    <w:tmpl w:val="FA36B416"/>
    <w:lvl w:ilvl="0" w:tplc="176258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B1492"/>
    <w:multiLevelType w:val="multilevel"/>
    <w:tmpl w:val="0BC8762E"/>
    <w:lvl w:ilvl="0">
      <w:start w:val="1"/>
      <w:numFmt w:val="decimal"/>
      <w:lvlText w:val="%1."/>
      <w:lvlJc w:val="left"/>
      <w:pPr>
        <w:ind w:left="468" w:hanging="360"/>
      </w:pPr>
      <w:rPr>
        <w:rFonts w:ascii="Calibri" w:eastAsia="Calibri" w:hAnsi="Calibri" w:cs="Calibri" w:hint="default"/>
        <w:color w:val="000000"/>
        <w:sz w:val="24"/>
      </w:rPr>
    </w:lvl>
    <w:lvl w:ilvl="1">
      <w:start w:val="1"/>
      <w:numFmt w:val="decimal"/>
      <w:lvlText w:val="3.%2"/>
      <w:lvlJc w:val="left"/>
      <w:pPr>
        <w:ind w:left="558" w:hanging="450"/>
      </w:pPr>
      <w:rPr>
        <w:rFonts w:ascii="Calibri" w:eastAsia="Calibri" w:hAnsi="Calibri" w:cs="Calibri" w:hint="default"/>
        <w:color w:val="000000"/>
        <w:sz w:val="24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Calibri" w:eastAsia="Calibri" w:hAnsi="Calibri" w:cs="Calibri"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828" w:hanging="720"/>
      </w:pPr>
      <w:rPr>
        <w:rFonts w:ascii="Calibri" w:eastAsia="Calibri" w:hAnsi="Calibri" w:cs="Calibri"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1188" w:hanging="1080"/>
      </w:pPr>
      <w:rPr>
        <w:rFonts w:ascii="Calibri" w:eastAsia="Calibri" w:hAnsi="Calibri" w:cs="Calibri"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88" w:hanging="1080"/>
      </w:pPr>
      <w:rPr>
        <w:rFonts w:ascii="Calibri" w:eastAsia="Calibri" w:hAnsi="Calibri" w:cs="Calibri"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1548" w:hanging="1440"/>
      </w:pPr>
      <w:rPr>
        <w:rFonts w:ascii="Calibri" w:eastAsia="Calibri" w:hAnsi="Calibri" w:cs="Calibri"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1548" w:hanging="1440"/>
      </w:pPr>
      <w:rPr>
        <w:rFonts w:ascii="Calibri" w:eastAsia="Calibri" w:hAnsi="Calibri" w:cs="Calibri"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1908" w:hanging="1800"/>
      </w:pPr>
      <w:rPr>
        <w:rFonts w:ascii="Calibri" w:eastAsia="Calibri" w:hAnsi="Calibri" w:cs="Calibri" w:hint="default"/>
        <w:color w:val="000000"/>
        <w:sz w:val="24"/>
      </w:rPr>
    </w:lvl>
  </w:abstractNum>
  <w:abstractNum w:abstractNumId="3" w15:restartNumberingAfterBreak="0">
    <w:nsid w:val="08E67FB8"/>
    <w:multiLevelType w:val="hybridMultilevel"/>
    <w:tmpl w:val="711EF9A4"/>
    <w:lvl w:ilvl="0" w:tplc="497EC5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C0005"/>
    <w:multiLevelType w:val="multilevel"/>
    <w:tmpl w:val="A10600DA"/>
    <w:lvl w:ilvl="0">
      <w:start w:val="1"/>
      <w:numFmt w:val="decimal"/>
      <w:lvlText w:val="%1."/>
      <w:lvlJc w:val="left"/>
      <w:pPr>
        <w:ind w:left="468" w:hanging="360"/>
      </w:pPr>
      <w:rPr>
        <w:rFonts w:ascii="Calibri" w:eastAsia="Calibri" w:hAnsi="Calibri" w:cs="Calibri" w:hint="default"/>
        <w:color w:val="000000"/>
        <w:sz w:val="24"/>
      </w:rPr>
    </w:lvl>
    <w:lvl w:ilvl="1">
      <w:start w:val="1"/>
      <w:numFmt w:val="decimal"/>
      <w:lvlText w:val="3.%2"/>
      <w:lvlJc w:val="left"/>
      <w:pPr>
        <w:ind w:left="558" w:hanging="450"/>
      </w:pPr>
      <w:rPr>
        <w:rFonts w:ascii="Calibri" w:eastAsia="Calibri" w:hAnsi="Calibri" w:cs="Calibri" w:hint="default"/>
        <w:color w:val="000000"/>
        <w:sz w:val="24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Calibri" w:eastAsia="Calibri" w:hAnsi="Calibri" w:cs="Calibri"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828" w:hanging="720"/>
      </w:pPr>
      <w:rPr>
        <w:rFonts w:ascii="Calibri" w:eastAsia="Calibri" w:hAnsi="Calibri" w:cs="Calibri"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1188" w:hanging="1080"/>
      </w:pPr>
      <w:rPr>
        <w:rFonts w:ascii="Calibri" w:eastAsia="Calibri" w:hAnsi="Calibri" w:cs="Calibri"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88" w:hanging="1080"/>
      </w:pPr>
      <w:rPr>
        <w:rFonts w:ascii="Calibri" w:eastAsia="Calibri" w:hAnsi="Calibri" w:cs="Calibri"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1548" w:hanging="1440"/>
      </w:pPr>
      <w:rPr>
        <w:rFonts w:ascii="Calibri" w:eastAsia="Calibri" w:hAnsi="Calibri" w:cs="Calibri"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1548" w:hanging="1440"/>
      </w:pPr>
      <w:rPr>
        <w:rFonts w:ascii="Calibri" w:eastAsia="Calibri" w:hAnsi="Calibri" w:cs="Calibri"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1908" w:hanging="1800"/>
      </w:pPr>
      <w:rPr>
        <w:rFonts w:ascii="Calibri" w:eastAsia="Calibri" w:hAnsi="Calibri" w:cs="Calibri" w:hint="default"/>
        <w:color w:val="000000"/>
        <w:sz w:val="24"/>
      </w:rPr>
    </w:lvl>
  </w:abstractNum>
  <w:abstractNum w:abstractNumId="5" w15:restartNumberingAfterBreak="0">
    <w:nsid w:val="0D564DAD"/>
    <w:multiLevelType w:val="hybridMultilevel"/>
    <w:tmpl w:val="68A283DE"/>
    <w:lvl w:ilvl="0" w:tplc="45089C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FA3AF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5C42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9A899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564EE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DEF00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5CB78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3ACAC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1B21D6F"/>
    <w:multiLevelType w:val="hybridMultilevel"/>
    <w:tmpl w:val="0F7E911E"/>
    <w:lvl w:ilvl="0" w:tplc="94E6DCDE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7" w15:restartNumberingAfterBreak="0">
    <w:nsid w:val="15272E5C"/>
    <w:multiLevelType w:val="hybridMultilevel"/>
    <w:tmpl w:val="60D2C44C"/>
    <w:lvl w:ilvl="0" w:tplc="C9D0AEE2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3410CA"/>
    <w:multiLevelType w:val="multilevel"/>
    <w:tmpl w:val="44FE2462"/>
    <w:lvl w:ilvl="0">
      <w:start w:val="1"/>
      <w:numFmt w:val="decimal"/>
      <w:lvlText w:val="%1."/>
      <w:lvlJc w:val="left"/>
      <w:pPr>
        <w:ind w:left="468" w:hanging="360"/>
      </w:pPr>
      <w:rPr>
        <w:rFonts w:ascii="Calibri" w:eastAsia="Calibri" w:hAnsi="Calibri" w:cs="Calibri" w:hint="default"/>
        <w:color w:val="000000"/>
        <w:sz w:val="24"/>
      </w:rPr>
    </w:lvl>
    <w:lvl w:ilvl="1">
      <w:start w:val="1"/>
      <w:numFmt w:val="decimal"/>
      <w:lvlText w:val="3.%2"/>
      <w:lvlJc w:val="left"/>
      <w:pPr>
        <w:ind w:left="558" w:hanging="450"/>
      </w:pPr>
      <w:rPr>
        <w:rFonts w:ascii="Calibri" w:eastAsia="Calibri" w:hAnsi="Calibri" w:cs="Calibri" w:hint="default"/>
        <w:color w:val="000000"/>
        <w:sz w:val="24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Calibri" w:eastAsia="Calibri" w:hAnsi="Calibri" w:cs="Calibri"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828" w:hanging="720"/>
      </w:pPr>
      <w:rPr>
        <w:rFonts w:ascii="Calibri" w:eastAsia="Calibri" w:hAnsi="Calibri" w:cs="Calibri"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1188" w:hanging="1080"/>
      </w:pPr>
      <w:rPr>
        <w:rFonts w:ascii="Calibri" w:eastAsia="Calibri" w:hAnsi="Calibri" w:cs="Calibri"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88" w:hanging="1080"/>
      </w:pPr>
      <w:rPr>
        <w:rFonts w:ascii="Calibri" w:eastAsia="Calibri" w:hAnsi="Calibri" w:cs="Calibri"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1548" w:hanging="1440"/>
      </w:pPr>
      <w:rPr>
        <w:rFonts w:ascii="Calibri" w:eastAsia="Calibri" w:hAnsi="Calibri" w:cs="Calibri"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1548" w:hanging="1440"/>
      </w:pPr>
      <w:rPr>
        <w:rFonts w:ascii="Calibri" w:eastAsia="Calibri" w:hAnsi="Calibri" w:cs="Calibri"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1908" w:hanging="1800"/>
      </w:pPr>
      <w:rPr>
        <w:rFonts w:ascii="Calibri" w:eastAsia="Calibri" w:hAnsi="Calibri" w:cs="Calibri" w:hint="default"/>
        <w:color w:val="000000"/>
        <w:sz w:val="24"/>
      </w:rPr>
    </w:lvl>
  </w:abstractNum>
  <w:abstractNum w:abstractNumId="9" w15:restartNumberingAfterBreak="0">
    <w:nsid w:val="1A195C42"/>
    <w:multiLevelType w:val="hybridMultilevel"/>
    <w:tmpl w:val="580AE992"/>
    <w:lvl w:ilvl="0" w:tplc="C9D0AEE2">
      <w:start w:val="1"/>
      <w:numFmt w:val="bullet"/>
      <w:lvlText w:val="-"/>
      <w:lvlJc w:val="left"/>
      <w:pPr>
        <w:ind w:left="862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1BF36EE2"/>
    <w:multiLevelType w:val="hybridMultilevel"/>
    <w:tmpl w:val="4B6A80CA"/>
    <w:lvl w:ilvl="0" w:tplc="45089C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3A026D"/>
    <w:multiLevelType w:val="hybridMultilevel"/>
    <w:tmpl w:val="99B09FEC"/>
    <w:lvl w:ilvl="0" w:tplc="C9D0AEE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ED799C"/>
    <w:multiLevelType w:val="multilevel"/>
    <w:tmpl w:val="2578CD9A"/>
    <w:lvl w:ilvl="0">
      <w:start w:val="1"/>
      <w:numFmt w:val="decimal"/>
      <w:lvlText w:val="%1."/>
      <w:lvlJc w:val="left"/>
      <w:pPr>
        <w:ind w:left="468" w:hanging="360"/>
      </w:pPr>
      <w:rPr>
        <w:rFonts w:ascii="Calibri" w:eastAsia="Calibri" w:hAnsi="Calibri" w:cs="Calibri" w:hint="default"/>
        <w:color w:val="000000"/>
        <w:sz w:val="24"/>
      </w:rPr>
    </w:lvl>
    <w:lvl w:ilvl="1">
      <w:start w:val="1"/>
      <w:numFmt w:val="decimal"/>
      <w:lvlText w:val="3.%2"/>
      <w:lvlJc w:val="left"/>
      <w:pPr>
        <w:ind w:left="558" w:hanging="450"/>
      </w:pPr>
      <w:rPr>
        <w:rFonts w:ascii="Calibri" w:eastAsia="Calibri" w:hAnsi="Calibri" w:cs="Calibri" w:hint="default"/>
        <w:color w:val="000000"/>
        <w:sz w:val="24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Calibri" w:eastAsia="Calibri" w:hAnsi="Calibri" w:cs="Calibri"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828" w:hanging="720"/>
      </w:pPr>
      <w:rPr>
        <w:rFonts w:ascii="Calibri" w:eastAsia="Calibri" w:hAnsi="Calibri" w:cs="Calibri"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1188" w:hanging="1080"/>
      </w:pPr>
      <w:rPr>
        <w:rFonts w:ascii="Calibri" w:eastAsia="Calibri" w:hAnsi="Calibri" w:cs="Calibri"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88" w:hanging="1080"/>
      </w:pPr>
      <w:rPr>
        <w:rFonts w:ascii="Calibri" w:eastAsia="Calibri" w:hAnsi="Calibri" w:cs="Calibri"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1548" w:hanging="1440"/>
      </w:pPr>
      <w:rPr>
        <w:rFonts w:ascii="Calibri" w:eastAsia="Calibri" w:hAnsi="Calibri" w:cs="Calibri"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1548" w:hanging="1440"/>
      </w:pPr>
      <w:rPr>
        <w:rFonts w:ascii="Calibri" w:eastAsia="Calibri" w:hAnsi="Calibri" w:cs="Calibri"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1908" w:hanging="1800"/>
      </w:pPr>
      <w:rPr>
        <w:rFonts w:ascii="Calibri" w:eastAsia="Calibri" w:hAnsi="Calibri" w:cs="Calibri" w:hint="default"/>
        <w:color w:val="000000"/>
        <w:sz w:val="24"/>
      </w:rPr>
    </w:lvl>
  </w:abstractNum>
  <w:abstractNum w:abstractNumId="13" w15:restartNumberingAfterBreak="0">
    <w:nsid w:val="272F6B87"/>
    <w:multiLevelType w:val="hybridMultilevel"/>
    <w:tmpl w:val="B9E63E20"/>
    <w:lvl w:ilvl="0" w:tplc="C9D0AEE2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9D6E47"/>
    <w:multiLevelType w:val="multilevel"/>
    <w:tmpl w:val="2EA86354"/>
    <w:lvl w:ilvl="0">
      <w:start w:val="1"/>
      <w:numFmt w:val="decimal"/>
      <w:lvlText w:val="%1."/>
      <w:lvlJc w:val="left"/>
      <w:pPr>
        <w:ind w:left="468" w:hanging="360"/>
      </w:pPr>
      <w:rPr>
        <w:rFonts w:ascii="Arial" w:eastAsia="Arial" w:hAnsi="Arial" w:cs="Arial" w:hint="default"/>
        <w:b/>
        <w:bCs/>
        <w:color w:val="000000"/>
        <w:sz w:val="24"/>
      </w:rPr>
    </w:lvl>
    <w:lvl w:ilvl="1">
      <w:start w:val="1"/>
      <w:numFmt w:val="decimal"/>
      <w:lvlText w:val="%1.%2."/>
      <w:lvlJc w:val="left"/>
      <w:pPr>
        <w:ind w:left="533" w:hanging="425"/>
      </w:pPr>
      <w:rPr>
        <w:rFonts w:ascii="Arial" w:eastAsia="Arial" w:hAnsi="Arial" w:cs="Arial" w:hint="default"/>
        <w:b/>
        <w:bCs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332" w:hanging="504"/>
      </w:pPr>
      <w:rPr>
        <w:rFonts w:ascii="Calibri" w:eastAsia="Calibri" w:hAnsi="Calibri" w:cs="Calibri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836" w:hanging="648"/>
      </w:pPr>
      <w:rPr>
        <w:rFonts w:ascii="Calibri" w:eastAsia="Calibri" w:hAnsi="Calibri" w:cs="Calibri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340" w:hanging="792"/>
      </w:pPr>
      <w:rPr>
        <w:rFonts w:ascii="Calibri" w:eastAsia="Calibri" w:hAnsi="Calibri" w:cs="Calibri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2844" w:hanging="936"/>
      </w:pPr>
      <w:rPr>
        <w:rFonts w:ascii="Calibri" w:eastAsia="Calibri" w:hAnsi="Calibri" w:cs="Calibri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348" w:hanging="1080"/>
      </w:pPr>
      <w:rPr>
        <w:rFonts w:ascii="Calibri" w:eastAsia="Calibri" w:hAnsi="Calibri" w:cs="Calibri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3852" w:hanging="1224"/>
      </w:pPr>
      <w:rPr>
        <w:rFonts w:ascii="Calibri" w:eastAsia="Calibri" w:hAnsi="Calibri" w:cs="Calibri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4428" w:hanging="1440"/>
      </w:pPr>
      <w:rPr>
        <w:rFonts w:ascii="Calibri" w:eastAsia="Calibri" w:hAnsi="Calibri" w:cs="Calibri" w:hint="default"/>
        <w:color w:val="000000"/>
        <w:sz w:val="24"/>
      </w:rPr>
    </w:lvl>
  </w:abstractNum>
  <w:abstractNum w:abstractNumId="15" w15:restartNumberingAfterBreak="0">
    <w:nsid w:val="30FB5846"/>
    <w:multiLevelType w:val="multilevel"/>
    <w:tmpl w:val="21FAFEC2"/>
    <w:lvl w:ilvl="0">
      <w:start w:val="1"/>
      <w:numFmt w:val="decimal"/>
      <w:lvlText w:val="%1."/>
      <w:lvlJc w:val="left"/>
      <w:pPr>
        <w:ind w:left="468" w:hanging="360"/>
      </w:pPr>
      <w:rPr>
        <w:rFonts w:ascii="Arial" w:eastAsia="Arial" w:hAnsi="Arial" w:cs="Arial" w:hint="default"/>
        <w:b/>
        <w:bCs/>
        <w:color w:val="000000"/>
        <w:sz w:val="24"/>
      </w:rPr>
    </w:lvl>
    <w:lvl w:ilvl="1">
      <w:start w:val="1"/>
      <w:numFmt w:val="decimal"/>
      <w:lvlText w:val="%1.%2."/>
      <w:lvlJc w:val="left"/>
      <w:pPr>
        <w:ind w:left="533" w:hanging="425"/>
      </w:pPr>
      <w:rPr>
        <w:rFonts w:ascii="Arial" w:eastAsia="Arial" w:hAnsi="Arial" w:cs="Arial" w:hint="default"/>
        <w:b/>
        <w:bCs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332" w:hanging="504"/>
      </w:pPr>
      <w:rPr>
        <w:rFonts w:ascii="Calibri" w:eastAsia="Calibri" w:hAnsi="Calibri" w:cs="Calibri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836" w:hanging="648"/>
      </w:pPr>
      <w:rPr>
        <w:rFonts w:ascii="Calibri" w:eastAsia="Calibri" w:hAnsi="Calibri" w:cs="Calibri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340" w:hanging="792"/>
      </w:pPr>
      <w:rPr>
        <w:rFonts w:ascii="Calibri" w:eastAsia="Calibri" w:hAnsi="Calibri" w:cs="Calibri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2844" w:hanging="936"/>
      </w:pPr>
      <w:rPr>
        <w:rFonts w:ascii="Calibri" w:eastAsia="Calibri" w:hAnsi="Calibri" w:cs="Calibri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348" w:hanging="1080"/>
      </w:pPr>
      <w:rPr>
        <w:rFonts w:ascii="Calibri" w:eastAsia="Calibri" w:hAnsi="Calibri" w:cs="Calibri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3852" w:hanging="1224"/>
      </w:pPr>
      <w:rPr>
        <w:rFonts w:ascii="Calibri" w:eastAsia="Calibri" w:hAnsi="Calibri" w:cs="Calibri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4428" w:hanging="1440"/>
      </w:pPr>
      <w:rPr>
        <w:rFonts w:ascii="Calibri" w:eastAsia="Calibri" w:hAnsi="Calibri" w:cs="Calibri" w:hint="default"/>
        <w:color w:val="000000"/>
        <w:sz w:val="24"/>
      </w:rPr>
    </w:lvl>
  </w:abstractNum>
  <w:abstractNum w:abstractNumId="16" w15:restartNumberingAfterBreak="0">
    <w:nsid w:val="31A430A1"/>
    <w:multiLevelType w:val="hybridMultilevel"/>
    <w:tmpl w:val="A87AF7BE"/>
    <w:lvl w:ilvl="0" w:tplc="C9D0AEE2">
      <w:start w:val="1"/>
      <w:numFmt w:val="bullet"/>
      <w:lvlText w:val="-"/>
      <w:lvlJc w:val="left"/>
      <w:pPr>
        <w:ind w:left="862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35E70CEF"/>
    <w:multiLevelType w:val="multilevel"/>
    <w:tmpl w:val="D2EE95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2"/>
      <w:numFmt w:val="decimal"/>
      <w:lvlText w:val="%1.%2"/>
      <w:lvlJc w:val="left"/>
      <w:pPr>
        <w:ind w:left="468" w:hanging="360"/>
      </w:pPr>
      <w:rPr>
        <w:rFonts w:hint="default"/>
        <w:i w:val="0"/>
        <w:sz w:val="24"/>
      </w:rPr>
    </w:lvl>
    <w:lvl w:ilvl="2">
      <w:start w:val="1"/>
      <w:numFmt w:val="decimal"/>
      <w:lvlText w:val="%1.%2.%3"/>
      <w:lvlJc w:val="left"/>
      <w:pPr>
        <w:ind w:left="576" w:hanging="360"/>
      </w:pPr>
      <w:rPr>
        <w:rFonts w:hint="default"/>
        <w:i w:val="0"/>
        <w:sz w:val="24"/>
      </w:rPr>
    </w:lvl>
    <w:lvl w:ilvl="3">
      <w:start w:val="1"/>
      <w:numFmt w:val="decimal"/>
      <w:lvlText w:val="%1.%2.%3.%4"/>
      <w:lvlJc w:val="left"/>
      <w:pPr>
        <w:ind w:left="1044" w:hanging="720"/>
      </w:pPr>
      <w:rPr>
        <w:rFonts w:hint="default"/>
        <w:i w:val="0"/>
        <w:sz w:val="24"/>
      </w:rPr>
    </w:lvl>
    <w:lvl w:ilvl="4">
      <w:start w:val="1"/>
      <w:numFmt w:val="decimal"/>
      <w:lvlText w:val="%1.%2.%3.%4.%5"/>
      <w:lvlJc w:val="left"/>
      <w:pPr>
        <w:ind w:left="1152" w:hanging="720"/>
      </w:pPr>
      <w:rPr>
        <w:rFonts w:hint="default"/>
        <w:i w:val="0"/>
        <w:sz w:val="24"/>
      </w:rPr>
    </w:lvl>
    <w:lvl w:ilvl="5">
      <w:start w:val="1"/>
      <w:numFmt w:val="decimal"/>
      <w:lvlText w:val="%1.%2.%3.%4.%5.%6"/>
      <w:lvlJc w:val="left"/>
      <w:pPr>
        <w:ind w:left="1260" w:hanging="720"/>
      </w:pPr>
      <w:rPr>
        <w:rFonts w:hint="default"/>
        <w:i w:val="0"/>
        <w:sz w:val="24"/>
      </w:rPr>
    </w:lvl>
    <w:lvl w:ilvl="6">
      <w:start w:val="1"/>
      <w:numFmt w:val="decimal"/>
      <w:lvlText w:val="%1.%2.%3.%4.%5.%6.%7"/>
      <w:lvlJc w:val="left"/>
      <w:pPr>
        <w:ind w:left="1728" w:hanging="108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1836" w:hanging="108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"/>
      <w:lvlJc w:val="left"/>
      <w:pPr>
        <w:ind w:left="1944" w:hanging="1080"/>
      </w:pPr>
      <w:rPr>
        <w:rFonts w:hint="default"/>
        <w:i w:val="0"/>
        <w:sz w:val="24"/>
      </w:rPr>
    </w:lvl>
  </w:abstractNum>
  <w:abstractNum w:abstractNumId="18" w15:restartNumberingAfterBreak="0">
    <w:nsid w:val="37C1148B"/>
    <w:multiLevelType w:val="hybridMultilevel"/>
    <w:tmpl w:val="8E747E5E"/>
    <w:lvl w:ilvl="0" w:tplc="C9D0AEE2">
      <w:start w:val="1"/>
      <w:numFmt w:val="bullet"/>
      <w:lvlText w:val="-"/>
      <w:lvlJc w:val="left"/>
      <w:pPr>
        <w:ind w:left="862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38F417D2"/>
    <w:multiLevelType w:val="hybridMultilevel"/>
    <w:tmpl w:val="069ABA78"/>
    <w:lvl w:ilvl="0" w:tplc="C9D0AEE2">
      <w:start w:val="1"/>
      <w:numFmt w:val="bullet"/>
      <w:lvlText w:val="-"/>
      <w:lvlJc w:val="left"/>
      <w:pPr>
        <w:ind w:left="479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</w:abstractNum>
  <w:abstractNum w:abstractNumId="20" w15:restartNumberingAfterBreak="0">
    <w:nsid w:val="3CF078C0"/>
    <w:multiLevelType w:val="hybridMultilevel"/>
    <w:tmpl w:val="319A3F56"/>
    <w:lvl w:ilvl="0" w:tplc="6CD6BEC6">
      <w:start w:val="1"/>
      <w:numFmt w:val="decimal"/>
      <w:lvlText w:val="%1"/>
      <w:lvlJc w:val="left"/>
      <w:pPr>
        <w:ind w:left="4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5" w:hanging="360"/>
      </w:pPr>
    </w:lvl>
    <w:lvl w:ilvl="2" w:tplc="0405001B" w:tentative="1">
      <w:start w:val="1"/>
      <w:numFmt w:val="lowerRoman"/>
      <w:lvlText w:val="%3."/>
      <w:lvlJc w:val="right"/>
      <w:pPr>
        <w:ind w:left="1915" w:hanging="180"/>
      </w:pPr>
    </w:lvl>
    <w:lvl w:ilvl="3" w:tplc="0405000F" w:tentative="1">
      <w:start w:val="1"/>
      <w:numFmt w:val="decimal"/>
      <w:lvlText w:val="%4."/>
      <w:lvlJc w:val="left"/>
      <w:pPr>
        <w:ind w:left="2635" w:hanging="360"/>
      </w:pPr>
    </w:lvl>
    <w:lvl w:ilvl="4" w:tplc="04050019" w:tentative="1">
      <w:start w:val="1"/>
      <w:numFmt w:val="lowerLetter"/>
      <w:lvlText w:val="%5."/>
      <w:lvlJc w:val="left"/>
      <w:pPr>
        <w:ind w:left="3355" w:hanging="360"/>
      </w:pPr>
    </w:lvl>
    <w:lvl w:ilvl="5" w:tplc="0405001B" w:tentative="1">
      <w:start w:val="1"/>
      <w:numFmt w:val="lowerRoman"/>
      <w:lvlText w:val="%6."/>
      <w:lvlJc w:val="right"/>
      <w:pPr>
        <w:ind w:left="4075" w:hanging="180"/>
      </w:pPr>
    </w:lvl>
    <w:lvl w:ilvl="6" w:tplc="0405000F" w:tentative="1">
      <w:start w:val="1"/>
      <w:numFmt w:val="decimal"/>
      <w:lvlText w:val="%7."/>
      <w:lvlJc w:val="left"/>
      <w:pPr>
        <w:ind w:left="4795" w:hanging="360"/>
      </w:pPr>
    </w:lvl>
    <w:lvl w:ilvl="7" w:tplc="04050019" w:tentative="1">
      <w:start w:val="1"/>
      <w:numFmt w:val="lowerLetter"/>
      <w:lvlText w:val="%8."/>
      <w:lvlJc w:val="left"/>
      <w:pPr>
        <w:ind w:left="5515" w:hanging="360"/>
      </w:pPr>
    </w:lvl>
    <w:lvl w:ilvl="8" w:tplc="0405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21" w15:restartNumberingAfterBreak="0">
    <w:nsid w:val="46DD46C8"/>
    <w:multiLevelType w:val="hybridMultilevel"/>
    <w:tmpl w:val="CA56F076"/>
    <w:lvl w:ilvl="0" w:tplc="C9D0AEE2">
      <w:start w:val="1"/>
      <w:numFmt w:val="bullet"/>
      <w:lvlText w:val="-"/>
      <w:lvlJc w:val="left"/>
      <w:pPr>
        <w:ind w:left="839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A00E70"/>
    <w:multiLevelType w:val="multilevel"/>
    <w:tmpl w:val="28ACADC0"/>
    <w:lvl w:ilvl="0">
      <w:start w:val="1"/>
      <w:numFmt w:val="decimal"/>
      <w:lvlText w:val="%1."/>
      <w:lvlJc w:val="left"/>
      <w:pPr>
        <w:ind w:left="468" w:hanging="360"/>
      </w:pPr>
      <w:rPr>
        <w:rFonts w:ascii="Arial" w:eastAsia="Arial" w:hAnsi="Arial" w:cs="Arial" w:hint="default"/>
        <w:b/>
        <w:bCs/>
        <w:color w:val="000000"/>
        <w:sz w:val="24"/>
      </w:rPr>
    </w:lvl>
    <w:lvl w:ilvl="1">
      <w:start w:val="1"/>
      <w:numFmt w:val="decimal"/>
      <w:lvlText w:val="%1.%2."/>
      <w:lvlJc w:val="left"/>
      <w:pPr>
        <w:ind w:left="533" w:hanging="425"/>
      </w:pPr>
      <w:rPr>
        <w:rFonts w:ascii="Arial" w:eastAsia="Arial" w:hAnsi="Arial" w:cs="Arial" w:hint="default"/>
        <w:b/>
        <w:bCs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332" w:hanging="504"/>
      </w:pPr>
      <w:rPr>
        <w:rFonts w:ascii="Calibri" w:eastAsia="Calibri" w:hAnsi="Calibri" w:cs="Calibri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836" w:hanging="648"/>
      </w:pPr>
      <w:rPr>
        <w:rFonts w:ascii="Calibri" w:eastAsia="Calibri" w:hAnsi="Calibri" w:cs="Calibri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340" w:hanging="792"/>
      </w:pPr>
      <w:rPr>
        <w:rFonts w:ascii="Calibri" w:eastAsia="Calibri" w:hAnsi="Calibri" w:cs="Calibri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2844" w:hanging="936"/>
      </w:pPr>
      <w:rPr>
        <w:rFonts w:ascii="Calibri" w:eastAsia="Calibri" w:hAnsi="Calibri" w:cs="Calibri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348" w:hanging="1080"/>
      </w:pPr>
      <w:rPr>
        <w:rFonts w:ascii="Calibri" w:eastAsia="Calibri" w:hAnsi="Calibri" w:cs="Calibri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3852" w:hanging="1224"/>
      </w:pPr>
      <w:rPr>
        <w:rFonts w:ascii="Calibri" w:eastAsia="Calibri" w:hAnsi="Calibri" w:cs="Calibri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4428" w:hanging="1440"/>
      </w:pPr>
      <w:rPr>
        <w:rFonts w:ascii="Calibri" w:eastAsia="Calibri" w:hAnsi="Calibri" w:cs="Calibri" w:hint="default"/>
        <w:color w:val="000000"/>
        <w:sz w:val="24"/>
      </w:rPr>
    </w:lvl>
  </w:abstractNum>
  <w:abstractNum w:abstractNumId="23" w15:restartNumberingAfterBreak="0">
    <w:nsid w:val="570813E3"/>
    <w:multiLevelType w:val="hybridMultilevel"/>
    <w:tmpl w:val="42F0843C"/>
    <w:lvl w:ilvl="0" w:tplc="8A08FD3A">
      <w:start w:val="1"/>
      <w:numFmt w:val="bullet"/>
      <w:lvlText w:val="-"/>
      <w:lvlJc w:val="left"/>
      <w:pPr>
        <w:ind w:left="828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51EAE568">
      <w:start w:val="1"/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color w:val="000000"/>
        <w:sz w:val="24"/>
      </w:rPr>
    </w:lvl>
    <w:lvl w:ilvl="2" w:tplc="71E49078">
      <w:start w:val="1"/>
      <w:numFmt w:val="bullet"/>
      <w:lvlText w:val="-"/>
      <w:lvlJc w:val="left"/>
      <w:pPr>
        <w:ind w:left="2268" w:hanging="360"/>
      </w:pPr>
      <w:rPr>
        <w:rFonts w:ascii="Times New Roman" w:hAnsi="Times New Roman" w:cs="Times New Roman" w:hint="default"/>
        <w:color w:val="000000"/>
        <w:sz w:val="24"/>
      </w:rPr>
    </w:lvl>
    <w:lvl w:ilvl="3" w:tplc="B9AA1CBE">
      <w:start w:val="1"/>
      <w:numFmt w:val="bullet"/>
      <w:lvlText w:val="-"/>
      <w:lvlJc w:val="left"/>
      <w:pPr>
        <w:ind w:left="2988" w:hanging="360"/>
      </w:pPr>
      <w:rPr>
        <w:rFonts w:ascii="Times New Roman" w:hAnsi="Times New Roman" w:cs="Times New Roman" w:hint="default"/>
        <w:color w:val="000000"/>
        <w:sz w:val="24"/>
      </w:rPr>
    </w:lvl>
    <w:lvl w:ilvl="4" w:tplc="24066454">
      <w:start w:val="1"/>
      <w:numFmt w:val="bullet"/>
      <w:lvlText w:val="-"/>
      <w:lvlJc w:val="left"/>
      <w:pPr>
        <w:ind w:left="3708" w:hanging="360"/>
      </w:pPr>
      <w:rPr>
        <w:rFonts w:ascii="Times New Roman" w:hAnsi="Times New Roman" w:cs="Times New Roman" w:hint="default"/>
        <w:color w:val="000000"/>
        <w:sz w:val="24"/>
      </w:rPr>
    </w:lvl>
    <w:lvl w:ilvl="5" w:tplc="4B2C392E">
      <w:start w:val="1"/>
      <w:numFmt w:val="bullet"/>
      <w:lvlText w:val="-"/>
      <w:lvlJc w:val="left"/>
      <w:pPr>
        <w:ind w:left="4428" w:hanging="360"/>
      </w:pPr>
      <w:rPr>
        <w:rFonts w:ascii="Times New Roman" w:hAnsi="Times New Roman" w:cs="Times New Roman" w:hint="default"/>
        <w:color w:val="000000"/>
        <w:sz w:val="24"/>
      </w:rPr>
    </w:lvl>
    <w:lvl w:ilvl="6" w:tplc="E2F2DA32">
      <w:start w:val="1"/>
      <w:numFmt w:val="bullet"/>
      <w:lvlText w:val="-"/>
      <w:lvlJc w:val="left"/>
      <w:pPr>
        <w:ind w:left="5148" w:hanging="360"/>
      </w:pPr>
      <w:rPr>
        <w:rFonts w:ascii="Times New Roman" w:hAnsi="Times New Roman" w:cs="Times New Roman" w:hint="default"/>
        <w:color w:val="000000"/>
        <w:sz w:val="24"/>
      </w:rPr>
    </w:lvl>
    <w:lvl w:ilvl="7" w:tplc="2EE2E618">
      <w:start w:val="1"/>
      <w:numFmt w:val="bullet"/>
      <w:lvlText w:val="-"/>
      <w:lvlJc w:val="left"/>
      <w:pPr>
        <w:ind w:left="5868" w:hanging="360"/>
      </w:pPr>
      <w:rPr>
        <w:rFonts w:ascii="Times New Roman" w:hAnsi="Times New Roman" w:cs="Times New Roman" w:hint="default"/>
        <w:color w:val="000000"/>
        <w:sz w:val="24"/>
      </w:rPr>
    </w:lvl>
    <w:lvl w:ilvl="8" w:tplc="C5168368">
      <w:start w:val="1"/>
      <w:numFmt w:val="bullet"/>
      <w:lvlText w:val="-"/>
      <w:lvlJc w:val="left"/>
      <w:pPr>
        <w:ind w:left="6588" w:hanging="360"/>
      </w:pPr>
      <w:rPr>
        <w:rFonts w:ascii="Times New Roman" w:hAnsi="Times New Roman" w:cs="Times New Roman" w:hint="default"/>
        <w:color w:val="000000"/>
        <w:sz w:val="24"/>
      </w:rPr>
    </w:lvl>
  </w:abstractNum>
  <w:abstractNum w:abstractNumId="24" w15:restartNumberingAfterBreak="0">
    <w:nsid w:val="59F1447A"/>
    <w:multiLevelType w:val="hybridMultilevel"/>
    <w:tmpl w:val="78CE16D4"/>
    <w:lvl w:ilvl="0" w:tplc="C9D0AEE2">
      <w:start w:val="1"/>
      <w:numFmt w:val="bullet"/>
      <w:lvlText w:val="-"/>
      <w:lvlJc w:val="left"/>
      <w:pPr>
        <w:ind w:left="479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</w:abstractNum>
  <w:abstractNum w:abstractNumId="25" w15:restartNumberingAfterBreak="0">
    <w:nsid w:val="5B301938"/>
    <w:multiLevelType w:val="multilevel"/>
    <w:tmpl w:val="34AE6214"/>
    <w:lvl w:ilvl="0">
      <w:start w:val="1"/>
      <w:numFmt w:val="decimal"/>
      <w:lvlText w:val="%1."/>
      <w:lvlJc w:val="left"/>
      <w:pPr>
        <w:ind w:left="468" w:hanging="360"/>
      </w:pPr>
      <w:rPr>
        <w:rFonts w:ascii="Calibri" w:eastAsia="Calibri" w:hAnsi="Calibri" w:cs="Calibri" w:hint="default"/>
        <w:color w:val="000000"/>
        <w:sz w:val="24"/>
      </w:rPr>
    </w:lvl>
    <w:lvl w:ilvl="1">
      <w:start w:val="1"/>
      <w:numFmt w:val="decimal"/>
      <w:lvlText w:val="3.%2"/>
      <w:lvlJc w:val="left"/>
      <w:pPr>
        <w:ind w:left="558" w:hanging="450"/>
      </w:pPr>
      <w:rPr>
        <w:rFonts w:ascii="Calibri" w:eastAsia="Calibri" w:hAnsi="Calibri" w:cs="Calibri" w:hint="default"/>
        <w:color w:val="000000"/>
        <w:sz w:val="24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Calibri" w:eastAsia="Calibri" w:hAnsi="Calibri" w:cs="Calibri" w:hint="default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828" w:hanging="720"/>
      </w:pPr>
      <w:rPr>
        <w:rFonts w:ascii="Calibri" w:eastAsia="Calibri" w:hAnsi="Calibri" w:cs="Calibri"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1188" w:hanging="1080"/>
      </w:pPr>
      <w:rPr>
        <w:rFonts w:ascii="Calibri" w:eastAsia="Calibri" w:hAnsi="Calibri" w:cs="Calibri"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88" w:hanging="1080"/>
      </w:pPr>
      <w:rPr>
        <w:rFonts w:ascii="Calibri" w:eastAsia="Calibri" w:hAnsi="Calibri" w:cs="Calibri"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1548" w:hanging="1440"/>
      </w:pPr>
      <w:rPr>
        <w:rFonts w:ascii="Calibri" w:eastAsia="Calibri" w:hAnsi="Calibri" w:cs="Calibri"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1548" w:hanging="1440"/>
      </w:pPr>
      <w:rPr>
        <w:rFonts w:ascii="Calibri" w:eastAsia="Calibri" w:hAnsi="Calibri" w:cs="Calibri"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1908" w:hanging="1800"/>
      </w:pPr>
      <w:rPr>
        <w:rFonts w:ascii="Calibri" w:eastAsia="Calibri" w:hAnsi="Calibri" w:cs="Calibri" w:hint="default"/>
        <w:color w:val="000000"/>
        <w:sz w:val="24"/>
      </w:rPr>
    </w:lvl>
  </w:abstractNum>
  <w:abstractNum w:abstractNumId="26" w15:restartNumberingAfterBreak="0">
    <w:nsid w:val="5D2E6FD6"/>
    <w:multiLevelType w:val="hybridMultilevel"/>
    <w:tmpl w:val="EA2E8A70"/>
    <w:lvl w:ilvl="0" w:tplc="7382A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66659"/>
    <w:multiLevelType w:val="hybridMultilevel"/>
    <w:tmpl w:val="6958D3C4"/>
    <w:lvl w:ilvl="0" w:tplc="C84214C8">
      <w:start w:val="1"/>
      <w:numFmt w:val="bullet"/>
      <w:lvlText w:val="-"/>
      <w:lvlJc w:val="left"/>
      <w:pPr>
        <w:ind w:left="828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B7969924">
      <w:start w:val="1"/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color w:val="000000"/>
        <w:sz w:val="24"/>
      </w:rPr>
    </w:lvl>
    <w:lvl w:ilvl="2" w:tplc="A39C4946">
      <w:start w:val="1"/>
      <w:numFmt w:val="bullet"/>
      <w:lvlText w:val="-"/>
      <w:lvlJc w:val="left"/>
      <w:pPr>
        <w:ind w:left="2268" w:hanging="360"/>
      </w:pPr>
      <w:rPr>
        <w:rFonts w:ascii="Times New Roman" w:hAnsi="Times New Roman" w:cs="Times New Roman" w:hint="default"/>
        <w:color w:val="000000"/>
        <w:sz w:val="24"/>
      </w:rPr>
    </w:lvl>
    <w:lvl w:ilvl="3" w:tplc="5598121C">
      <w:start w:val="1"/>
      <w:numFmt w:val="bullet"/>
      <w:lvlText w:val="-"/>
      <w:lvlJc w:val="left"/>
      <w:pPr>
        <w:ind w:left="2988" w:hanging="360"/>
      </w:pPr>
      <w:rPr>
        <w:rFonts w:ascii="Times New Roman" w:hAnsi="Times New Roman" w:cs="Times New Roman" w:hint="default"/>
        <w:color w:val="000000"/>
        <w:sz w:val="24"/>
      </w:rPr>
    </w:lvl>
    <w:lvl w:ilvl="4" w:tplc="21DA24D8">
      <w:start w:val="1"/>
      <w:numFmt w:val="bullet"/>
      <w:lvlText w:val="-"/>
      <w:lvlJc w:val="left"/>
      <w:pPr>
        <w:ind w:left="3708" w:hanging="360"/>
      </w:pPr>
      <w:rPr>
        <w:rFonts w:ascii="Times New Roman" w:hAnsi="Times New Roman" w:cs="Times New Roman" w:hint="default"/>
        <w:color w:val="000000"/>
        <w:sz w:val="24"/>
      </w:rPr>
    </w:lvl>
    <w:lvl w:ilvl="5" w:tplc="C29A13CC">
      <w:start w:val="1"/>
      <w:numFmt w:val="bullet"/>
      <w:lvlText w:val="-"/>
      <w:lvlJc w:val="left"/>
      <w:pPr>
        <w:ind w:left="4428" w:hanging="360"/>
      </w:pPr>
      <w:rPr>
        <w:rFonts w:ascii="Times New Roman" w:hAnsi="Times New Roman" w:cs="Times New Roman" w:hint="default"/>
        <w:color w:val="000000"/>
        <w:sz w:val="24"/>
      </w:rPr>
    </w:lvl>
    <w:lvl w:ilvl="6" w:tplc="BCD23B54">
      <w:start w:val="1"/>
      <w:numFmt w:val="bullet"/>
      <w:lvlText w:val="-"/>
      <w:lvlJc w:val="left"/>
      <w:pPr>
        <w:ind w:left="5148" w:hanging="360"/>
      </w:pPr>
      <w:rPr>
        <w:rFonts w:ascii="Times New Roman" w:hAnsi="Times New Roman" w:cs="Times New Roman" w:hint="default"/>
        <w:color w:val="000000"/>
        <w:sz w:val="24"/>
      </w:rPr>
    </w:lvl>
    <w:lvl w:ilvl="7" w:tplc="691E42CE">
      <w:start w:val="1"/>
      <w:numFmt w:val="bullet"/>
      <w:lvlText w:val="-"/>
      <w:lvlJc w:val="left"/>
      <w:pPr>
        <w:ind w:left="5868" w:hanging="360"/>
      </w:pPr>
      <w:rPr>
        <w:rFonts w:ascii="Times New Roman" w:hAnsi="Times New Roman" w:cs="Times New Roman" w:hint="default"/>
        <w:color w:val="000000"/>
        <w:sz w:val="24"/>
      </w:rPr>
    </w:lvl>
    <w:lvl w:ilvl="8" w:tplc="568CAA64">
      <w:start w:val="1"/>
      <w:numFmt w:val="bullet"/>
      <w:lvlText w:val="-"/>
      <w:lvlJc w:val="left"/>
      <w:pPr>
        <w:ind w:left="6588" w:hanging="360"/>
      </w:pPr>
      <w:rPr>
        <w:rFonts w:ascii="Times New Roman" w:hAnsi="Times New Roman" w:cs="Times New Roman" w:hint="default"/>
        <w:color w:val="000000"/>
        <w:sz w:val="24"/>
      </w:rPr>
    </w:lvl>
  </w:abstractNum>
  <w:abstractNum w:abstractNumId="28" w15:restartNumberingAfterBreak="0">
    <w:nsid w:val="685D76E1"/>
    <w:multiLevelType w:val="multilevel"/>
    <w:tmpl w:val="4418DBCA"/>
    <w:lvl w:ilvl="0">
      <w:start w:val="1"/>
      <w:numFmt w:val="decimal"/>
      <w:pStyle w:val="Nadpis1"/>
      <w:lvlText w:val="%1."/>
      <w:lvlJc w:val="left"/>
      <w:pPr>
        <w:ind w:left="468" w:hanging="360"/>
      </w:pPr>
      <w:rPr>
        <w:rFonts w:ascii="Arial" w:eastAsia="Arial" w:hAnsi="Arial" w:cs="Arial" w:hint="default"/>
        <w:b/>
        <w:bCs/>
        <w:color w:val="000000"/>
        <w:sz w:val="24"/>
      </w:rPr>
    </w:lvl>
    <w:lvl w:ilvl="1">
      <w:start w:val="1"/>
      <w:numFmt w:val="decimal"/>
      <w:pStyle w:val="Nadpis2"/>
      <w:lvlText w:val="%1.%2."/>
      <w:lvlJc w:val="left"/>
      <w:pPr>
        <w:ind w:left="533" w:hanging="425"/>
      </w:pPr>
      <w:rPr>
        <w:rFonts w:ascii="Arial" w:eastAsia="Arial" w:hAnsi="Arial" w:cs="Arial" w:hint="default"/>
        <w:b/>
        <w:bCs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332" w:hanging="504"/>
      </w:pPr>
      <w:rPr>
        <w:rFonts w:ascii="Calibri" w:eastAsia="Calibri" w:hAnsi="Calibri" w:cs="Calibri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836" w:hanging="648"/>
      </w:pPr>
      <w:rPr>
        <w:rFonts w:ascii="Calibri" w:eastAsia="Calibri" w:hAnsi="Calibri" w:cs="Calibri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340" w:hanging="792"/>
      </w:pPr>
      <w:rPr>
        <w:rFonts w:ascii="Calibri" w:eastAsia="Calibri" w:hAnsi="Calibri" w:cs="Calibri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2844" w:hanging="936"/>
      </w:pPr>
      <w:rPr>
        <w:rFonts w:ascii="Calibri" w:eastAsia="Calibri" w:hAnsi="Calibri" w:cs="Calibri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348" w:hanging="1080"/>
      </w:pPr>
      <w:rPr>
        <w:rFonts w:ascii="Calibri" w:eastAsia="Calibri" w:hAnsi="Calibri" w:cs="Calibri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3852" w:hanging="1224"/>
      </w:pPr>
      <w:rPr>
        <w:rFonts w:ascii="Calibri" w:eastAsia="Calibri" w:hAnsi="Calibri" w:cs="Calibri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4428" w:hanging="1440"/>
      </w:pPr>
      <w:rPr>
        <w:rFonts w:ascii="Calibri" w:eastAsia="Calibri" w:hAnsi="Calibri" w:cs="Calibri" w:hint="default"/>
        <w:color w:val="000000"/>
        <w:sz w:val="24"/>
      </w:rPr>
    </w:lvl>
  </w:abstractNum>
  <w:abstractNum w:abstractNumId="29" w15:restartNumberingAfterBreak="0">
    <w:nsid w:val="693553B8"/>
    <w:multiLevelType w:val="hybridMultilevel"/>
    <w:tmpl w:val="F79A927A"/>
    <w:lvl w:ilvl="0" w:tplc="C9D0AEE2">
      <w:start w:val="1"/>
      <w:numFmt w:val="bullet"/>
      <w:lvlText w:val="-"/>
      <w:lvlJc w:val="left"/>
      <w:pPr>
        <w:ind w:left="862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7A3E6111"/>
    <w:multiLevelType w:val="hybridMultilevel"/>
    <w:tmpl w:val="1A86EC4A"/>
    <w:lvl w:ilvl="0" w:tplc="793C96FE">
      <w:start w:val="1"/>
      <w:numFmt w:val="bullet"/>
      <w:lvlText w:val="-"/>
      <w:lvlJc w:val="left"/>
      <w:pPr>
        <w:ind w:left="828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27041A9C">
      <w:start w:val="1"/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color w:val="000000"/>
        <w:sz w:val="24"/>
      </w:rPr>
    </w:lvl>
    <w:lvl w:ilvl="2" w:tplc="49F82946">
      <w:start w:val="1"/>
      <w:numFmt w:val="bullet"/>
      <w:lvlText w:val="-"/>
      <w:lvlJc w:val="left"/>
      <w:pPr>
        <w:ind w:left="2268" w:hanging="360"/>
      </w:pPr>
      <w:rPr>
        <w:rFonts w:ascii="Times New Roman" w:hAnsi="Times New Roman" w:cs="Times New Roman" w:hint="default"/>
        <w:color w:val="000000"/>
        <w:sz w:val="24"/>
      </w:rPr>
    </w:lvl>
    <w:lvl w:ilvl="3" w:tplc="D4042FBA">
      <w:start w:val="1"/>
      <w:numFmt w:val="bullet"/>
      <w:lvlText w:val="-"/>
      <w:lvlJc w:val="left"/>
      <w:pPr>
        <w:ind w:left="2988" w:hanging="360"/>
      </w:pPr>
      <w:rPr>
        <w:rFonts w:ascii="Times New Roman" w:hAnsi="Times New Roman" w:cs="Times New Roman" w:hint="default"/>
        <w:color w:val="000000"/>
        <w:sz w:val="24"/>
      </w:rPr>
    </w:lvl>
    <w:lvl w:ilvl="4" w:tplc="5D4CB9E0">
      <w:start w:val="1"/>
      <w:numFmt w:val="bullet"/>
      <w:lvlText w:val="-"/>
      <w:lvlJc w:val="left"/>
      <w:pPr>
        <w:ind w:left="3708" w:hanging="360"/>
      </w:pPr>
      <w:rPr>
        <w:rFonts w:ascii="Times New Roman" w:hAnsi="Times New Roman" w:cs="Times New Roman" w:hint="default"/>
        <w:color w:val="000000"/>
        <w:sz w:val="24"/>
      </w:rPr>
    </w:lvl>
    <w:lvl w:ilvl="5" w:tplc="471686FC">
      <w:start w:val="1"/>
      <w:numFmt w:val="bullet"/>
      <w:lvlText w:val="-"/>
      <w:lvlJc w:val="left"/>
      <w:pPr>
        <w:ind w:left="4428" w:hanging="360"/>
      </w:pPr>
      <w:rPr>
        <w:rFonts w:ascii="Times New Roman" w:hAnsi="Times New Roman" w:cs="Times New Roman" w:hint="default"/>
        <w:color w:val="000000"/>
        <w:sz w:val="24"/>
      </w:rPr>
    </w:lvl>
    <w:lvl w:ilvl="6" w:tplc="155E3B72">
      <w:start w:val="1"/>
      <w:numFmt w:val="bullet"/>
      <w:lvlText w:val="-"/>
      <w:lvlJc w:val="left"/>
      <w:pPr>
        <w:ind w:left="5148" w:hanging="360"/>
      </w:pPr>
      <w:rPr>
        <w:rFonts w:ascii="Times New Roman" w:hAnsi="Times New Roman" w:cs="Times New Roman" w:hint="default"/>
        <w:color w:val="000000"/>
        <w:sz w:val="24"/>
      </w:rPr>
    </w:lvl>
    <w:lvl w:ilvl="7" w:tplc="0EF2B490">
      <w:start w:val="1"/>
      <w:numFmt w:val="bullet"/>
      <w:lvlText w:val="-"/>
      <w:lvlJc w:val="left"/>
      <w:pPr>
        <w:ind w:left="5868" w:hanging="360"/>
      </w:pPr>
      <w:rPr>
        <w:rFonts w:ascii="Times New Roman" w:hAnsi="Times New Roman" w:cs="Times New Roman" w:hint="default"/>
        <w:color w:val="000000"/>
        <w:sz w:val="24"/>
      </w:rPr>
    </w:lvl>
    <w:lvl w:ilvl="8" w:tplc="6E6A58CA">
      <w:start w:val="1"/>
      <w:numFmt w:val="bullet"/>
      <w:lvlText w:val="-"/>
      <w:lvlJc w:val="left"/>
      <w:pPr>
        <w:ind w:left="6588" w:hanging="360"/>
      </w:pPr>
      <w:rPr>
        <w:rFonts w:ascii="Times New Roman" w:hAnsi="Times New Roman" w:cs="Times New Roman" w:hint="default"/>
        <w:color w:val="000000"/>
        <w:sz w:val="24"/>
      </w:rPr>
    </w:lvl>
  </w:abstractNum>
  <w:abstractNum w:abstractNumId="31" w15:restartNumberingAfterBreak="0">
    <w:nsid w:val="7EC9333F"/>
    <w:multiLevelType w:val="hybridMultilevel"/>
    <w:tmpl w:val="74F41670"/>
    <w:lvl w:ilvl="0" w:tplc="C9D0AEE2">
      <w:start w:val="1"/>
      <w:numFmt w:val="bullet"/>
      <w:lvlText w:val="-"/>
      <w:lvlJc w:val="left"/>
      <w:pPr>
        <w:ind w:left="839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32" w15:restartNumberingAfterBreak="0">
    <w:nsid w:val="7F6A6B12"/>
    <w:multiLevelType w:val="hybridMultilevel"/>
    <w:tmpl w:val="AED83040"/>
    <w:lvl w:ilvl="0" w:tplc="C9D0AEE2">
      <w:start w:val="1"/>
      <w:numFmt w:val="bullet"/>
      <w:lvlText w:val="-"/>
      <w:lvlJc w:val="left"/>
      <w:pPr>
        <w:ind w:left="862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28"/>
  </w:num>
  <w:num w:numId="4">
    <w:abstractNumId w:val="30"/>
  </w:num>
  <w:num w:numId="5">
    <w:abstractNumId w:val="14"/>
  </w:num>
  <w:num w:numId="6">
    <w:abstractNumId w:val="13"/>
  </w:num>
  <w:num w:numId="7">
    <w:abstractNumId w:val="24"/>
  </w:num>
  <w:num w:numId="8">
    <w:abstractNumId w:val="21"/>
  </w:num>
  <w:num w:numId="9">
    <w:abstractNumId w:val="31"/>
  </w:num>
  <w:num w:numId="10">
    <w:abstractNumId w:val="19"/>
  </w:num>
  <w:num w:numId="11">
    <w:abstractNumId w:val="7"/>
  </w:num>
  <w:num w:numId="12">
    <w:abstractNumId w:val="11"/>
  </w:num>
  <w:num w:numId="13">
    <w:abstractNumId w:val="18"/>
  </w:num>
  <w:num w:numId="14">
    <w:abstractNumId w:val="16"/>
  </w:num>
  <w:num w:numId="15">
    <w:abstractNumId w:val="29"/>
  </w:num>
  <w:num w:numId="16">
    <w:abstractNumId w:val="32"/>
  </w:num>
  <w:num w:numId="17">
    <w:abstractNumId w:val="9"/>
  </w:num>
  <w:num w:numId="18">
    <w:abstractNumId w:val="0"/>
  </w:num>
  <w:num w:numId="19">
    <w:abstractNumId w:val="25"/>
  </w:num>
  <w:num w:numId="20">
    <w:abstractNumId w:val="22"/>
  </w:num>
  <w:num w:numId="21">
    <w:abstractNumId w:val="23"/>
  </w:num>
  <w:num w:numId="22">
    <w:abstractNumId w:val="1"/>
  </w:num>
  <w:num w:numId="23">
    <w:abstractNumId w:val="17"/>
  </w:num>
  <w:num w:numId="24">
    <w:abstractNumId w:val="20"/>
  </w:num>
  <w:num w:numId="25">
    <w:abstractNumId w:val="2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10"/>
  </w:num>
  <w:num w:numId="29">
    <w:abstractNumId w:val="26"/>
  </w:num>
  <w:num w:numId="30">
    <w:abstractNumId w:val="6"/>
  </w:num>
  <w:num w:numId="31">
    <w:abstractNumId w:val="3"/>
  </w:num>
  <w:num w:numId="32">
    <w:abstractNumId w:val="4"/>
  </w:num>
  <w:num w:numId="33">
    <w:abstractNumId w:val="12"/>
  </w:num>
  <w:num w:numId="34">
    <w:abstractNumId w:val="15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hideSpellingErrors/>
  <w:hideGrammaticalErrors/>
  <w:proofState w:spelling="clean" w:grammar="clean"/>
  <w:defaultTabStop w:val="700"/>
  <w:hyphenationZone w:val="425"/>
  <w:characterSpacingControl w:val="doNotCompress"/>
  <w:hdrShapeDefaults>
    <o:shapedefaults v:ext="edit" spidmax="21913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51A"/>
    <w:rsid w:val="0000163F"/>
    <w:rsid w:val="0000261D"/>
    <w:rsid w:val="00003B87"/>
    <w:rsid w:val="0000446B"/>
    <w:rsid w:val="00013CC4"/>
    <w:rsid w:val="000147BE"/>
    <w:rsid w:val="00014E37"/>
    <w:rsid w:val="00014F91"/>
    <w:rsid w:val="000261C1"/>
    <w:rsid w:val="000268DF"/>
    <w:rsid w:val="0003197B"/>
    <w:rsid w:val="00036C26"/>
    <w:rsid w:val="00044B56"/>
    <w:rsid w:val="00044E80"/>
    <w:rsid w:val="0005310F"/>
    <w:rsid w:val="00055427"/>
    <w:rsid w:val="00056BC5"/>
    <w:rsid w:val="00057C12"/>
    <w:rsid w:val="00060EBB"/>
    <w:rsid w:val="00062480"/>
    <w:rsid w:val="00064D21"/>
    <w:rsid w:val="00065784"/>
    <w:rsid w:val="00065E0F"/>
    <w:rsid w:val="00083B6B"/>
    <w:rsid w:val="000855F4"/>
    <w:rsid w:val="00092F6B"/>
    <w:rsid w:val="0009396E"/>
    <w:rsid w:val="000A2518"/>
    <w:rsid w:val="000B77CA"/>
    <w:rsid w:val="000C18AE"/>
    <w:rsid w:val="000C50E4"/>
    <w:rsid w:val="000C6F2B"/>
    <w:rsid w:val="000D66FF"/>
    <w:rsid w:val="000E29F7"/>
    <w:rsid w:val="000E2B9A"/>
    <w:rsid w:val="00101CBF"/>
    <w:rsid w:val="00101E23"/>
    <w:rsid w:val="00101FE1"/>
    <w:rsid w:val="00105038"/>
    <w:rsid w:val="00107386"/>
    <w:rsid w:val="00115A48"/>
    <w:rsid w:val="00120A60"/>
    <w:rsid w:val="00124465"/>
    <w:rsid w:val="00130B05"/>
    <w:rsid w:val="001342FA"/>
    <w:rsid w:val="00141D50"/>
    <w:rsid w:val="001441FA"/>
    <w:rsid w:val="00144231"/>
    <w:rsid w:val="00147402"/>
    <w:rsid w:val="0015177C"/>
    <w:rsid w:val="00152B3D"/>
    <w:rsid w:val="001612AA"/>
    <w:rsid w:val="00164344"/>
    <w:rsid w:val="001655A3"/>
    <w:rsid w:val="00166FBE"/>
    <w:rsid w:val="00177FC2"/>
    <w:rsid w:val="00181DC0"/>
    <w:rsid w:val="001844FB"/>
    <w:rsid w:val="00187594"/>
    <w:rsid w:val="001902A4"/>
    <w:rsid w:val="00191276"/>
    <w:rsid w:val="0019200E"/>
    <w:rsid w:val="001937BA"/>
    <w:rsid w:val="0019597B"/>
    <w:rsid w:val="001A2CCD"/>
    <w:rsid w:val="001A7407"/>
    <w:rsid w:val="001B2CC5"/>
    <w:rsid w:val="001B4E43"/>
    <w:rsid w:val="001B66B1"/>
    <w:rsid w:val="001B767A"/>
    <w:rsid w:val="001C0A6D"/>
    <w:rsid w:val="001C4724"/>
    <w:rsid w:val="001D12AD"/>
    <w:rsid w:val="001D1CB0"/>
    <w:rsid w:val="001D2978"/>
    <w:rsid w:val="001D2F07"/>
    <w:rsid w:val="001D4C2F"/>
    <w:rsid w:val="001D52AA"/>
    <w:rsid w:val="001D72BB"/>
    <w:rsid w:val="001E1E42"/>
    <w:rsid w:val="001E3E5F"/>
    <w:rsid w:val="001F04A6"/>
    <w:rsid w:val="001F1495"/>
    <w:rsid w:val="001F59C9"/>
    <w:rsid w:val="001F6594"/>
    <w:rsid w:val="001F753B"/>
    <w:rsid w:val="00202877"/>
    <w:rsid w:val="0020390F"/>
    <w:rsid w:val="002069BB"/>
    <w:rsid w:val="0021156B"/>
    <w:rsid w:val="002124B8"/>
    <w:rsid w:val="00213B5C"/>
    <w:rsid w:val="00214E3F"/>
    <w:rsid w:val="00217665"/>
    <w:rsid w:val="00220403"/>
    <w:rsid w:val="00221E42"/>
    <w:rsid w:val="00224B1F"/>
    <w:rsid w:val="00226257"/>
    <w:rsid w:val="00233C24"/>
    <w:rsid w:val="002356E8"/>
    <w:rsid w:val="0024171A"/>
    <w:rsid w:val="00243AED"/>
    <w:rsid w:val="00243C8E"/>
    <w:rsid w:val="00250F9F"/>
    <w:rsid w:val="002534F9"/>
    <w:rsid w:val="0025557F"/>
    <w:rsid w:val="002573F8"/>
    <w:rsid w:val="00257A87"/>
    <w:rsid w:val="0026374D"/>
    <w:rsid w:val="00265499"/>
    <w:rsid w:val="002675AD"/>
    <w:rsid w:val="002731C8"/>
    <w:rsid w:val="0027409C"/>
    <w:rsid w:val="00275159"/>
    <w:rsid w:val="002777AD"/>
    <w:rsid w:val="00284FEE"/>
    <w:rsid w:val="0028614A"/>
    <w:rsid w:val="002869F2"/>
    <w:rsid w:val="0028798C"/>
    <w:rsid w:val="002905A6"/>
    <w:rsid w:val="00294991"/>
    <w:rsid w:val="002A059C"/>
    <w:rsid w:val="002B0854"/>
    <w:rsid w:val="002B75E4"/>
    <w:rsid w:val="002C168D"/>
    <w:rsid w:val="002C20B5"/>
    <w:rsid w:val="002D2365"/>
    <w:rsid w:val="002D3205"/>
    <w:rsid w:val="002D3536"/>
    <w:rsid w:val="002D5C25"/>
    <w:rsid w:val="002D678C"/>
    <w:rsid w:val="002E03DE"/>
    <w:rsid w:val="002E52DB"/>
    <w:rsid w:val="002E6E2A"/>
    <w:rsid w:val="002E7080"/>
    <w:rsid w:val="002F0177"/>
    <w:rsid w:val="002F0929"/>
    <w:rsid w:val="002F4D1A"/>
    <w:rsid w:val="003003DF"/>
    <w:rsid w:val="003008D7"/>
    <w:rsid w:val="00305F05"/>
    <w:rsid w:val="00311B1A"/>
    <w:rsid w:val="003139E9"/>
    <w:rsid w:val="00313C14"/>
    <w:rsid w:val="003211FB"/>
    <w:rsid w:val="0032561B"/>
    <w:rsid w:val="00330287"/>
    <w:rsid w:val="00337A01"/>
    <w:rsid w:val="00342859"/>
    <w:rsid w:val="00342D82"/>
    <w:rsid w:val="00352204"/>
    <w:rsid w:val="003557EC"/>
    <w:rsid w:val="00363A2A"/>
    <w:rsid w:val="003662DC"/>
    <w:rsid w:val="00367EB9"/>
    <w:rsid w:val="00376537"/>
    <w:rsid w:val="00385A9D"/>
    <w:rsid w:val="00385C57"/>
    <w:rsid w:val="00387490"/>
    <w:rsid w:val="00397072"/>
    <w:rsid w:val="003A2D80"/>
    <w:rsid w:val="003A4E18"/>
    <w:rsid w:val="003B11B7"/>
    <w:rsid w:val="003B1310"/>
    <w:rsid w:val="003B1BD7"/>
    <w:rsid w:val="003B474E"/>
    <w:rsid w:val="003C2AA4"/>
    <w:rsid w:val="003C4248"/>
    <w:rsid w:val="003D6A81"/>
    <w:rsid w:val="003E097E"/>
    <w:rsid w:val="003F3958"/>
    <w:rsid w:val="003F3FB7"/>
    <w:rsid w:val="004009E7"/>
    <w:rsid w:val="0040414E"/>
    <w:rsid w:val="004154AB"/>
    <w:rsid w:val="00427E08"/>
    <w:rsid w:val="00431E5C"/>
    <w:rsid w:val="004348DC"/>
    <w:rsid w:val="00435747"/>
    <w:rsid w:val="00435967"/>
    <w:rsid w:val="00436F73"/>
    <w:rsid w:val="004374F7"/>
    <w:rsid w:val="0044707C"/>
    <w:rsid w:val="00447203"/>
    <w:rsid w:val="004478C4"/>
    <w:rsid w:val="004560E8"/>
    <w:rsid w:val="004637CA"/>
    <w:rsid w:val="00467828"/>
    <w:rsid w:val="00470441"/>
    <w:rsid w:val="00473C57"/>
    <w:rsid w:val="00475616"/>
    <w:rsid w:val="004852A1"/>
    <w:rsid w:val="00486215"/>
    <w:rsid w:val="00487A54"/>
    <w:rsid w:val="00493F96"/>
    <w:rsid w:val="004948C4"/>
    <w:rsid w:val="00495069"/>
    <w:rsid w:val="00496C84"/>
    <w:rsid w:val="004A3FC0"/>
    <w:rsid w:val="004A6C1A"/>
    <w:rsid w:val="004B20C9"/>
    <w:rsid w:val="004B2CBD"/>
    <w:rsid w:val="004C24C3"/>
    <w:rsid w:val="004C45A8"/>
    <w:rsid w:val="004C49E8"/>
    <w:rsid w:val="004D0A85"/>
    <w:rsid w:val="004E3950"/>
    <w:rsid w:val="004E7D2C"/>
    <w:rsid w:val="004F0D1A"/>
    <w:rsid w:val="005007AE"/>
    <w:rsid w:val="0050123E"/>
    <w:rsid w:val="005022DE"/>
    <w:rsid w:val="00503415"/>
    <w:rsid w:val="005115F5"/>
    <w:rsid w:val="00513099"/>
    <w:rsid w:val="0051463B"/>
    <w:rsid w:val="00515F7F"/>
    <w:rsid w:val="005162D6"/>
    <w:rsid w:val="0052029A"/>
    <w:rsid w:val="005227F0"/>
    <w:rsid w:val="0052394E"/>
    <w:rsid w:val="00526068"/>
    <w:rsid w:val="00541D74"/>
    <w:rsid w:val="00545837"/>
    <w:rsid w:val="005504E1"/>
    <w:rsid w:val="00551EFB"/>
    <w:rsid w:val="00554A56"/>
    <w:rsid w:val="00554B6F"/>
    <w:rsid w:val="00554CF5"/>
    <w:rsid w:val="005651FB"/>
    <w:rsid w:val="00572C31"/>
    <w:rsid w:val="00582F46"/>
    <w:rsid w:val="00583CF1"/>
    <w:rsid w:val="00584BDC"/>
    <w:rsid w:val="00585EAD"/>
    <w:rsid w:val="00586EB5"/>
    <w:rsid w:val="0059647F"/>
    <w:rsid w:val="005964E8"/>
    <w:rsid w:val="005A0CF5"/>
    <w:rsid w:val="005B2FA4"/>
    <w:rsid w:val="005B456B"/>
    <w:rsid w:val="005B4D7D"/>
    <w:rsid w:val="005B4F30"/>
    <w:rsid w:val="005C1F8D"/>
    <w:rsid w:val="005C2EC2"/>
    <w:rsid w:val="005C5E28"/>
    <w:rsid w:val="005C7301"/>
    <w:rsid w:val="005D05D6"/>
    <w:rsid w:val="005D2739"/>
    <w:rsid w:val="005D29FF"/>
    <w:rsid w:val="005D2ECC"/>
    <w:rsid w:val="005D3AD2"/>
    <w:rsid w:val="005E5BF5"/>
    <w:rsid w:val="005E7F40"/>
    <w:rsid w:val="005F2040"/>
    <w:rsid w:val="005F6AA3"/>
    <w:rsid w:val="005F7921"/>
    <w:rsid w:val="006004C9"/>
    <w:rsid w:val="00602F0C"/>
    <w:rsid w:val="00607AEE"/>
    <w:rsid w:val="006160A7"/>
    <w:rsid w:val="00617064"/>
    <w:rsid w:val="00634D6B"/>
    <w:rsid w:val="006351B0"/>
    <w:rsid w:val="006352AA"/>
    <w:rsid w:val="006365EF"/>
    <w:rsid w:val="00637F98"/>
    <w:rsid w:val="00647EE0"/>
    <w:rsid w:val="00656B6A"/>
    <w:rsid w:val="006608C9"/>
    <w:rsid w:val="00664BA9"/>
    <w:rsid w:val="006753A7"/>
    <w:rsid w:val="006779CF"/>
    <w:rsid w:val="006926C7"/>
    <w:rsid w:val="00694017"/>
    <w:rsid w:val="00696889"/>
    <w:rsid w:val="006A5124"/>
    <w:rsid w:val="006A71F6"/>
    <w:rsid w:val="006A7A9F"/>
    <w:rsid w:val="006B1BFD"/>
    <w:rsid w:val="006B4A7D"/>
    <w:rsid w:val="006B79AB"/>
    <w:rsid w:val="006C26BA"/>
    <w:rsid w:val="006D5700"/>
    <w:rsid w:val="006E10D9"/>
    <w:rsid w:val="006E1B3E"/>
    <w:rsid w:val="006E5BA8"/>
    <w:rsid w:val="006E745C"/>
    <w:rsid w:val="006F31F2"/>
    <w:rsid w:val="006F3CBE"/>
    <w:rsid w:val="006F47A1"/>
    <w:rsid w:val="00701EB6"/>
    <w:rsid w:val="00703C9B"/>
    <w:rsid w:val="0070459D"/>
    <w:rsid w:val="0071181C"/>
    <w:rsid w:val="00716028"/>
    <w:rsid w:val="00716644"/>
    <w:rsid w:val="00720080"/>
    <w:rsid w:val="00722B56"/>
    <w:rsid w:val="00723A23"/>
    <w:rsid w:val="00730CF2"/>
    <w:rsid w:val="00731535"/>
    <w:rsid w:val="0073383E"/>
    <w:rsid w:val="00736418"/>
    <w:rsid w:val="00756BA4"/>
    <w:rsid w:val="007617C4"/>
    <w:rsid w:val="00761E91"/>
    <w:rsid w:val="00765100"/>
    <w:rsid w:val="00767FBF"/>
    <w:rsid w:val="0077025C"/>
    <w:rsid w:val="00770E47"/>
    <w:rsid w:val="0077567C"/>
    <w:rsid w:val="007802AB"/>
    <w:rsid w:val="007905FB"/>
    <w:rsid w:val="00793EE2"/>
    <w:rsid w:val="007942DD"/>
    <w:rsid w:val="007A0B69"/>
    <w:rsid w:val="007A22BB"/>
    <w:rsid w:val="007B584B"/>
    <w:rsid w:val="007B590A"/>
    <w:rsid w:val="007B5B5A"/>
    <w:rsid w:val="007C0675"/>
    <w:rsid w:val="007D24EE"/>
    <w:rsid w:val="007D448D"/>
    <w:rsid w:val="007E1659"/>
    <w:rsid w:val="007F3B3E"/>
    <w:rsid w:val="007F497E"/>
    <w:rsid w:val="007F4C86"/>
    <w:rsid w:val="00800332"/>
    <w:rsid w:val="008026FF"/>
    <w:rsid w:val="00802ECE"/>
    <w:rsid w:val="008043DD"/>
    <w:rsid w:val="008060BF"/>
    <w:rsid w:val="008068AE"/>
    <w:rsid w:val="0081193A"/>
    <w:rsid w:val="00811E9E"/>
    <w:rsid w:val="008144F6"/>
    <w:rsid w:val="00814E73"/>
    <w:rsid w:val="00817954"/>
    <w:rsid w:val="00821ED8"/>
    <w:rsid w:val="00821FBF"/>
    <w:rsid w:val="00822BEA"/>
    <w:rsid w:val="00832BBF"/>
    <w:rsid w:val="00833271"/>
    <w:rsid w:val="00840888"/>
    <w:rsid w:val="00840E05"/>
    <w:rsid w:val="00841F7B"/>
    <w:rsid w:val="00844ADC"/>
    <w:rsid w:val="0084650E"/>
    <w:rsid w:val="00854586"/>
    <w:rsid w:val="00866672"/>
    <w:rsid w:val="00866867"/>
    <w:rsid w:val="00867D12"/>
    <w:rsid w:val="00873080"/>
    <w:rsid w:val="00873223"/>
    <w:rsid w:val="008923D6"/>
    <w:rsid w:val="008A0082"/>
    <w:rsid w:val="008A4838"/>
    <w:rsid w:val="008A6DD5"/>
    <w:rsid w:val="008B7797"/>
    <w:rsid w:val="008C046D"/>
    <w:rsid w:val="008C2064"/>
    <w:rsid w:val="008C4EB0"/>
    <w:rsid w:val="008C7433"/>
    <w:rsid w:val="008D2065"/>
    <w:rsid w:val="008D4CDE"/>
    <w:rsid w:val="008D73AA"/>
    <w:rsid w:val="008E6604"/>
    <w:rsid w:val="008F402A"/>
    <w:rsid w:val="008F616A"/>
    <w:rsid w:val="00902A94"/>
    <w:rsid w:val="00906FC2"/>
    <w:rsid w:val="00910E46"/>
    <w:rsid w:val="0091469D"/>
    <w:rsid w:val="00922338"/>
    <w:rsid w:val="00924647"/>
    <w:rsid w:val="009350D6"/>
    <w:rsid w:val="00935D3C"/>
    <w:rsid w:val="00936610"/>
    <w:rsid w:val="00936FA4"/>
    <w:rsid w:val="009429B1"/>
    <w:rsid w:val="00951A2B"/>
    <w:rsid w:val="009552D1"/>
    <w:rsid w:val="00957903"/>
    <w:rsid w:val="009744BB"/>
    <w:rsid w:val="0097775D"/>
    <w:rsid w:val="00981909"/>
    <w:rsid w:val="009864CF"/>
    <w:rsid w:val="00986E3D"/>
    <w:rsid w:val="009B5C67"/>
    <w:rsid w:val="009C1CCA"/>
    <w:rsid w:val="009D15E9"/>
    <w:rsid w:val="009E49E6"/>
    <w:rsid w:val="009F13C1"/>
    <w:rsid w:val="009F4E4F"/>
    <w:rsid w:val="009F52B2"/>
    <w:rsid w:val="009F5335"/>
    <w:rsid w:val="009F57AB"/>
    <w:rsid w:val="009F67D3"/>
    <w:rsid w:val="009F7BB4"/>
    <w:rsid w:val="00A21C21"/>
    <w:rsid w:val="00A2351A"/>
    <w:rsid w:val="00A25B2D"/>
    <w:rsid w:val="00A26FC9"/>
    <w:rsid w:val="00A275B2"/>
    <w:rsid w:val="00A465A3"/>
    <w:rsid w:val="00A571CB"/>
    <w:rsid w:val="00A61E50"/>
    <w:rsid w:val="00A64B05"/>
    <w:rsid w:val="00A66FF9"/>
    <w:rsid w:val="00A67405"/>
    <w:rsid w:val="00A71736"/>
    <w:rsid w:val="00A722E5"/>
    <w:rsid w:val="00A739C9"/>
    <w:rsid w:val="00A768D3"/>
    <w:rsid w:val="00A834C6"/>
    <w:rsid w:val="00A91BEF"/>
    <w:rsid w:val="00A923E1"/>
    <w:rsid w:val="00A9782D"/>
    <w:rsid w:val="00AA1024"/>
    <w:rsid w:val="00AA1245"/>
    <w:rsid w:val="00AC5874"/>
    <w:rsid w:val="00AC63FA"/>
    <w:rsid w:val="00AD61F4"/>
    <w:rsid w:val="00AE3FF3"/>
    <w:rsid w:val="00AE4C46"/>
    <w:rsid w:val="00AE6472"/>
    <w:rsid w:val="00B0083E"/>
    <w:rsid w:val="00B06182"/>
    <w:rsid w:val="00B15753"/>
    <w:rsid w:val="00B158B8"/>
    <w:rsid w:val="00B208C1"/>
    <w:rsid w:val="00B24976"/>
    <w:rsid w:val="00B2526F"/>
    <w:rsid w:val="00B329E7"/>
    <w:rsid w:val="00B4333F"/>
    <w:rsid w:val="00B4336C"/>
    <w:rsid w:val="00B45844"/>
    <w:rsid w:val="00B55163"/>
    <w:rsid w:val="00B57188"/>
    <w:rsid w:val="00B571AA"/>
    <w:rsid w:val="00B60AFB"/>
    <w:rsid w:val="00B62251"/>
    <w:rsid w:val="00B65DBE"/>
    <w:rsid w:val="00B76904"/>
    <w:rsid w:val="00B806D0"/>
    <w:rsid w:val="00B819FC"/>
    <w:rsid w:val="00B876CD"/>
    <w:rsid w:val="00B9258E"/>
    <w:rsid w:val="00B967F8"/>
    <w:rsid w:val="00BA463F"/>
    <w:rsid w:val="00BB4163"/>
    <w:rsid w:val="00BC1D48"/>
    <w:rsid w:val="00BC515D"/>
    <w:rsid w:val="00BC5BB6"/>
    <w:rsid w:val="00BD267E"/>
    <w:rsid w:val="00BE0A23"/>
    <w:rsid w:val="00BE1D48"/>
    <w:rsid w:val="00BE6232"/>
    <w:rsid w:val="00BF29A2"/>
    <w:rsid w:val="00BF5D63"/>
    <w:rsid w:val="00BF5E29"/>
    <w:rsid w:val="00C01656"/>
    <w:rsid w:val="00C01B35"/>
    <w:rsid w:val="00C02B78"/>
    <w:rsid w:val="00C066A3"/>
    <w:rsid w:val="00C10279"/>
    <w:rsid w:val="00C11F1A"/>
    <w:rsid w:val="00C15EF6"/>
    <w:rsid w:val="00C205DC"/>
    <w:rsid w:val="00C35001"/>
    <w:rsid w:val="00C42BB8"/>
    <w:rsid w:val="00C43DD5"/>
    <w:rsid w:val="00C51D38"/>
    <w:rsid w:val="00C522C7"/>
    <w:rsid w:val="00C57E2B"/>
    <w:rsid w:val="00C8452F"/>
    <w:rsid w:val="00C84E38"/>
    <w:rsid w:val="00C87ABB"/>
    <w:rsid w:val="00C92E3F"/>
    <w:rsid w:val="00C94C8C"/>
    <w:rsid w:val="00CB50ED"/>
    <w:rsid w:val="00CC53BE"/>
    <w:rsid w:val="00CC5921"/>
    <w:rsid w:val="00CC637D"/>
    <w:rsid w:val="00CD4D1D"/>
    <w:rsid w:val="00CE0CFC"/>
    <w:rsid w:val="00CE70C5"/>
    <w:rsid w:val="00CE7E1E"/>
    <w:rsid w:val="00CF472A"/>
    <w:rsid w:val="00D0287F"/>
    <w:rsid w:val="00D1537E"/>
    <w:rsid w:val="00D2226E"/>
    <w:rsid w:val="00D2645E"/>
    <w:rsid w:val="00D30061"/>
    <w:rsid w:val="00D407CF"/>
    <w:rsid w:val="00D469D5"/>
    <w:rsid w:val="00D521FE"/>
    <w:rsid w:val="00D523C3"/>
    <w:rsid w:val="00D52A32"/>
    <w:rsid w:val="00D53213"/>
    <w:rsid w:val="00D53A90"/>
    <w:rsid w:val="00D53DAD"/>
    <w:rsid w:val="00D557A0"/>
    <w:rsid w:val="00D57074"/>
    <w:rsid w:val="00D6513E"/>
    <w:rsid w:val="00D723F1"/>
    <w:rsid w:val="00D80C2F"/>
    <w:rsid w:val="00D92923"/>
    <w:rsid w:val="00D931E5"/>
    <w:rsid w:val="00D9574B"/>
    <w:rsid w:val="00D95D25"/>
    <w:rsid w:val="00DA106D"/>
    <w:rsid w:val="00DA6290"/>
    <w:rsid w:val="00DA62E2"/>
    <w:rsid w:val="00DA7A0D"/>
    <w:rsid w:val="00DB49A4"/>
    <w:rsid w:val="00DC4A9B"/>
    <w:rsid w:val="00DC4D0E"/>
    <w:rsid w:val="00DC6CDD"/>
    <w:rsid w:val="00DD7907"/>
    <w:rsid w:val="00DE177C"/>
    <w:rsid w:val="00DF38C0"/>
    <w:rsid w:val="00DF43EA"/>
    <w:rsid w:val="00DF6B5F"/>
    <w:rsid w:val="00E0096B"/>
    <w:rsid w:val="00E037BC"/>
    <w:rsid w:val="00E05F8E"/>
    <w:rsid w:val="00E12CC4"/>
    <w:rsid w:val="00E334C0"/>
    <w:rsid w:val="00E33ABC"/>
    <w:rsid w:val="00E500E3"/>
    <w:rsid w:val="00E511F7"/>
    <w:rsid w:val="00E5195F"/>
    <w:rsid w:val="00E65A62"/>
    <w:rsid w:val="00E71A8D"/>
    <w:rsid w:val="00E815B5"/>
    <w:rsid w:val="00E82F54"/>
    <w:rsid w:val="00E836C3"/>
    <w:rsid w:val="00E87374"/>
    <w:rsid w:val="00E9031F"/>
    <w:rsid w:val="00E92F27"/>
    <w:rsid w:val="00E92F98"/>
    <w:rsid w:val="00EA54EC"/>
    <w:rsid w:val="00EA61D5"/>
    <w:rsid w:val="00EB03E6"/>
    <w:rsid w:val="00EB0D74"/>
    <w:rsid w:val="00EB441F"/>
    <w:rsid w:val="00EC3D5B"/>
    <w:rsid w:val="00ED0CC4"/>
    <w:rsid w:val="00ED58E4"/>
    <w:rsid w:val="00EF2718"/>
    <w:rsid w:val="00EF45EA"/>
    <w:rsid w:val="00F10E97"/>
    <w:rsid w:val="00F12F3A"/>
    <w:rsid w:val="00F1326D"/>
    <w:rsid w:val="00F14450"/>
    <w:rsid w:val="00F14C09"/>
    <w:rsid w:val="00F15869"/>
    <w:rsid w:val="00F173B2"/>
    <w:rsid w:val="00F25431"/>
    <w:rsid w:val="00F274C4"/>
    <w:rsid w:val="00F330EE"/>
    <w:rsid w:val="00F374B6"/>
    <w:rsid w:val="00F41C72"/>
    <w:rsid w:val="00F5108A"/>
    <w:rsid w:val="00F674A1"/>
    <w:rsid w:val="00F74B37"/>
    <w:rsid w:val="00F968AD"/>
    <w:rsid w:val="00FA0609"/>
    <w:rsid w:val="00FA2FEF"/>
    <w:rsid w:val="00FB06A5"/>
    <w:rsid w:val="00FB191E"/>
    <w:rsid w:val="00FB21DF"/>
    <w:rsid w:val="00FB4533"/>
    <w:rsid w:val="00FB502A"/>
    <w:rsid w:val="00FC0376"/>
    <w:rsid w:val="00FC0AAF"/>
    <w:rsid w:val="00FD35AB"/>
    <w:rsid w:val="00FD475A"/>
    <w:rsid w:val="00FD6AEA"/>
    <w:rsid w:val="00FE0EA3"/>
    <w:rsid w:val="00FE27DD"/>
    <w:rsid w:val="00FE6940"/>
    <w:rsid w:val="00FF03B8"/>
    <w:rsid w:val="00FF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ecimalSymbol w:val=","/>
  <w:listSeparator w:val=";"/>
  <w14:docId w14:val="6C50CFB1"/>
  <w15:docId w15:val="{CD0FAD1C-8082-4A17-B4C2-06DCF56A5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96C84"/>
    <w:pPr>
      <w:numPr>
        <w:numId w:val="3"/>
      </w:numPr>
      <w:tabs>
        <w:tab w:val="left" w:pos="675"/>
      </w:tabs>
      <w:spacing w:before="360"/>
      <w:jc w:val="both"/>
      <w:outlineLvl w:val="0"/>
    </w:pPr>
    <w:rPr>
      <w:rFonts w:ascii="Arial" w:eastAsia="Arial" w:hAnsi="Arial" w:cs="Arial"/>
      <w:b/>
      <w:bCs/>
      <w:color w:val="000000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B77CA"/>
    <w:pPr>
      <w:keepNext/>
      <w:numPr>
        <w:ilvl w:val="1"/>
        <w:numId w:val="3"/>
      </w:numPr>
      <w:spacing w:before="120" w:after="120"/>
      <w:jc w:val="both"/>
      <w:outlineLvl w:val="1"/>
    </w:pPr>
    <w:rPr>
      <w:rFonts w:ascii="Arial" w:eastAsia="Arial" w:hAnsi="Arial" w:cs="Arial"/>
      <w:b/>
      <w:bCs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96C84"/>
    <w:rPr>
      <w:rFonts w:ascii="Arial" w:eastAsia="Arial" w:hAnsi="Arial" w:cs="Arial"/>
      <w:b/>
      <w:bCs/>
      <w:color w:val="000000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0B77CA"/>
    <w:rPr>
      <w:rFonts w:ascii="Arial" w:eastAsia="Arial" w:hAnsi="Arial" w:cs="Arial"/>
      <w:b/>
      <w:bCs/>
      <w:color w:val="000000"/>
      <w:sz w:val="24"/>
    </w:rPr>
  </w:style>
  <w:style w:type="paragraph" w:styleId="Odstavecseseznamem">
    <w:name w:val="List Paragraph"/>
    <w:aliases w:val="Odstavec_muj,Nad,List Paragraph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_muj1 Char,Odstavec_muj2 Char,Odstavec_muj3 Char,Nad1 Char,List Paragraph1 Char,Odstavec_muj4 Char,Nad2 Char,List Paragraph2 Char,Odstavec_muj5 Char,Odstavec_muj6 Char"/>
    <w:basedOn w:val="Standardnpsmoodstavce"/>
    <w:link w:val="Odstavecseseznamem"/>
    <w:uiPriority w:val="34"/>
    <w:rsid w:val="00FB06A5"/>
  </w:style>
  <w:style w:type="paragraph" w:customStyle="1" w:styleId="Textkomente1">
    <w:name w:val="Text komentáře1"/>
    <w:basedOn w:val="Normln"/>
    <w:next w:val="Textkomente"/>
    <w:link w:val="TextkomenteChar"/>
    <w:unhideWhenUsed/>
    <w:rsid w:val="000B77CA"/>
    <w:pPr>
      <w:spacing w:after="200"/>
    </w:pPr>
    <w:rPr>
      <w:sz w:val="20"/>
      <w:szCs w:val="20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0B77CA"/>
    <w:rPr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0B77C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1"/>
    <w:rsid w:val="000B77CA"/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0B77CA"/>
    <w:pPr>
      <w:keepNext/>
      <w:keepLines/>
      <w:numPr>
        <w:numId w:val="0"/>
      </w:numPr>
      <w:tabs>
        <w:tab w:val="clear" w:pos="675"/>
      </w:tabs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cs-CZ"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B77C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B77CA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0B77CA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77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77CA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0C18AE"/>
    <w:pPr>
      <w:tabs>
        <w:tab w:val="center" w:pos="4536"/>
        <w:tab w:val="right" w:pos="9072"/>
      </w:tabs>
    </w:pPr>
    <w:rPr>
      <w:lang w:val="cs-CZ"/>
    </w:rPr>
  </w:style>
  <w:style w:type="character" w:customStyle="1" w:styleId="ZpatChar">
    <w:name w:val="Zápatí Char"/>
    <w:basedOn w:val="Standardnpsmoodstavce"/>
    <w:link w:val="Zpat"/>
    <w:uiPriority w:val="99"/>
    <w:rsid w:val="000C18AE"/>
    <w:rPr>
      <w:lang w:val="cs-CZ"/>
    </w:rPr>
  </w:style>
  <w:style w:type="paragraph" w:styleId="Zhlav">
    <w:name w:val="header"/>
    <w:basedOn w:val="Normln"/>
    <w:link w:val="ZhlavChar"/>
    <w:uiPriority w:val="99"/>
    <w:unhideWhenUsed/>
    <w:rsid w:val="000C18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C18AE"/>
  </w:style>
  <w:style w:type="character" w:styleId="Odkaznakoment">
    <w:name w:val="annotation reference"/>
    <w:basedOn w:val="Standardnpsmoodstavce"/>
    <w:uiPriority w:val="99"/>
    <w:semiHidden/>
    <w:unhideWhenUsed/>
    <w:rsid w:val="00822B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2BEA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822BEA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2573F8"/>
    <w:rPr>
      <w:color w:val="954F72"/>
      <w:u w:val="single"/>
    </w:rPr>
  </w:style>
  <w:style w:type="paragraph" w:customStyle="1" w:styleId="xl65">
    <w:name w:val="xl65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14"/>
      <w:szCs w:val="14"/>
      <w:lang w:val="cs-CZ" w:eastAsia="cs-CZ"/>
    </w:rPr>
  </w:style>
  <w:style w:type="paragraph" w:customStyle="1" w:styleId="xl66">
    <w:name w:val="xl66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14"/>
      <w:szCs w:val="14"/>
      <w:lang w:val="cs-CZ" w:eastAsia="cs-CZ"/>
    </w:rPr>
  </w:style>
  <w:style w:type="paragraph" w:customStyle="1" w:styleId="xl67">
    <w:name w:val="xl67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14"/>
      <w:szCs w:val="14"/>
      <w:lang w:val="cs-CZ" w:eastAsia="cs-CZ"/>
    </w:rPr>
  </w:style>
  <w:style w:type="paragraph" w:customStyle="1" w:styleId="xl68">
    <w:name w:val="xl68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14"/>
      <w:szCs w:val="14"/>
      <w:lang w:val="cs-CZ" w:eastAsia="cs-CZ"/>
    </w:rPr>
  </w:style>
  <w:style w:type="paragraph" w:customStyle="1" w:styleId="xl69">
    <w:name w:val="xl69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14"/>
      <w:szCs w:val="14"/>
      <w:lang w:val="cs-CZ" w:eastAsia="cs-CZ"/>
    </w:rPr>
  </w:style>
  <w:style w:type="paragraph" w:customStyle="1" w:styleId="xl70">
    <w:name w:val="xl70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14"/>
      <w:szCs w:val="14"/>
      <w:lang w:val="cs-CZ" w:eastAsia="cs-CZ"/>
    </w:rPr>
  </w:style>
  <w:style w:type="paragraph" w:customStyle="1" w:styleId="xl71">
    <w:name w:val="xl71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14"/>
      <w:szCs w:val="14"/>
      <w:lang w:val="cs-CZ" w:eastAsia="cs-CZ"/>
    </w:rPr>
  </w:style>
  <w:style w:type="paragraph" w:customStyle="1" w:styleId="xl72">
    <w:name w:val="xl72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14"/>
      <w:szCs w:val="14"/>
      <w:lang w:val="cs-CZ" w:eastAsia="cs-CZ"/>
    </w:rPr>
  </w:style>
  <w:style w:type="paragraph" w:customStyle="1" w:styleId="xl73">
    <w:name w:val="xl73"/>
    <w:basedOn w:val="Normln"/>
    <w:rsid w:val="002573F8"/>
    <w:pPr>
      <w:shd w:val="clear" w:color="000000" w:fill="FFC0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xl74">
    <w:name w:val="xl74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val="cs-CZ" w:eastAsia="cs-CZ"/>
    </w:rPr>
  </w:style>
  <w:style w:type="paragraph" w:customStyle="1" w:styleId="xl75">
    <w:name w:val="xl75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val="cs-CZ" w:eastAsia="cs-CZ"/>
    </w:rPr>
  </w:style>
  <w:style w:type="paragraph" w:customStyle="1" w:styleId="xl76">
    <w:name w:val="xl76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sz w:val="24"/>
      <w:szCs w:val="24"/>
      <w:lang w:val="cs-CZ" w:eastAsia="cs-CZ"/>
    </w:rPr>
  </w:style>
  <w:style w:type="paragraph" w:customStyle="1" w:styleId="xl77">
    <w:name w:val="xl77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val="cs-CZ" w:eastAsia="cs-CZ"/>
    </w:rPr>
  </w:style>
  <w:style w:type="paragraph" w:customStyle="1" w:styleId="xl78">
    <w:name w:val="xl78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val="cs-CZ" w:eastAsia="cs-CZ"/>
    </w:rPr>
  </w:style>
  <w:style w:type="paragraph" w:customStyle="1" w:styleId="xl79">
    <w:name w:val="xl79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val="cs-CZ" w:eastAsia="cs-CZ"/>
    </w:rPr>
  </w:style>
  <w:style w:type="paragraph" w:customStyle="1" w:styleId="xl80">
    <w:name w:val="xl80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val="cs-CZ" w:eastAsia="cs-CZ"/>
    </w:rPr>
  </w:style>
  <w:style w:type="paragraph" w:customStyle="1" w:styleId="xl81">
    <w:name w:val="xl81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val="cs-CZ" w:eastAsia="cs-CZ"/>
    </w:rPr>
  </w:style>
  <w:style w:type="paragraph" w:customStyle="1" w:styleId="xl82">
    <w:name w:val="xl82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val="cs-CZ" w:eastAsia="cs-CZ"/>
    </w:rPr>
  </w:style>
  <w:style w:type="paragraph" w:customStyle="1" w:styleId="xl83">
    <w:name w:val="xl83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val="cs-CZ" w:eastAsia="cs-CZ"/>
    </w:rPr>
  </w:style>
  <w:style w:type="paragraph" w:customStyle="1" w:styleId="xl84">
    <w:name w:val="xl84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val="cs-CZ" w:eastAsia="cs-CZ"/>
    </w:rPr>
  </w:style>
  <w:style w:type="paragraph" w:customStyle="1" w:styleId="xl85">
    <w:name w:val="xl85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val="cs-CZ" w:eastAsia="cs-CZ"/>
    </w:rPr>
  </w:style>
  <w:style w:type="paragraph" w:customStyle="1" w:styleId="xl86">
    <w:name w:val="xl86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val="cs-CZ" w:eastAsia="cs-CZ"/>
    </w:rPr>
  </w:style>
  <w:style w:type="paragraph" w:customStyle="1" w:styleId="xl87">
    <w:name w:val="xl87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val="cs-CZ" w:eastAsia="cs-CZ"/>
    </w:rPr>
  </w:style>
  <w:style w:type="paragraph" w:customStyle="1" w:styleId="xl88">
    <w:name w:val="xl88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val="cs-CZ" w:eastAsia="cs-CZ"/>
    </w:rPr>
  </w:style>
  <w:style w:type="paragraph" w:customStyle="1" w:styleId="xl89">
    <w:name w:val="xl89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val="cs-CZ" w:eastAsia="cs-CZ"/>
    </w:rPr>
  </w:style>
  <w:style w:type="paragraph" w:customStyle="1" w:styleId="xl90">
    <w:name w:val="xl90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val="cs-CZ" w:eastAsia="cs-CZ"/>
    </w:rPr>
  </w:style>
  <w:style w:type="paragraph" w:customStyle="1" w:styleId="xl91">
    <w:name w:val="xl91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" w:eastAsia="Times New Roman" w:hAnsi="Calibri" w:cs="Times New Roman"/>
      <w:sz w:val="24"/>
      <w:szCs w:val="24"/>
      <w:lang w:val="cs-CZ" w:eastAsia="cs-CZ"/>
    </w:rPr>
  </w:style>
  <w:style w:type="paragraph" w:customStyle="1" w:styleId="xl92">
    <w:name w:val="xl92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val="cs-CZ" w:eastAsia="cs-CZ"/>
    </w:rPr>
  </w:style>
  <w:style w:type="paragraph" w:customStyle="1" w:styleId="xl93">
    <w:name w:val="xl93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val="cs-CZ" w:eastAsia="cs-CZ"/>
    </w:rPr>
  </w:style>
  <w:style w:type="paragraph" w:customStyle="1" w:styleId="xl94">
    <w:name w:val="xl94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both"/>
      <w:textAlignment w:val="center"/>
    </w:pPr>
    <w:rPr>
      <w:rFonts w:ascii="Calibri" w:eastAsia="Times New Roman" w:hAnsi="Calibri" w:cs="Times New Roman"/>
      <w:sz w:val="24"/>
      <w:szCs w:val="24"/>
      <w:lang w:val="cs-CZ" w:eastAsia="cs-CZ"/>
    </w:rPr>
  </w:style>
  <w:style w:type="paragraph" w:customStyle="1" w:styleId="xl95">
    <w:name w:val="xl95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val="cs-CZ" w:eastAsia="cs-CZ"/>
    </w:rPr>
  </w:style>
  <w:style w:type="paragraph" w:customStyle="1" w:styleId="xl96">
    <w:name w:val="xl96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val="cs-CZ" w:eastAsia="cs-CZ"/>
    </w:rPr>
  </w:style>
  <w:style w:type="paragraph" w:customStyle="1" w:styleId="xl97">
    <w:name w:val="xl97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  <w:lang w:val="cs-CZ" w:eastAsia="cs-CZ"/>
    </w:rPr>
  </w:style>
  <w:style w:type="paragraph" w:customStyle="1" w:styleId="xl98">
    <w:name w:val="xl98"/>
    <w:basedOn w:val="Normln"/>
    <w:rsid w:val="002573F8"/>
    <w:pPr>
      <w:shd w:val="clear" w:color="000000" w:fill="E7E6E6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xl99">
    <w:name w:val="xl99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val="cs-CZ" w:eastAsia="cs-CZ"/>
    </w:rPr>
  </w:style>
  <w:style w:type="paragraph" w:customStyle="1" w:styleId="xl100">
    <w:name w:val="xl100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val="cs-CZ" w:eastAsia="cs-CZ"/>
    </w:rPr>
  </w:style>
  <w:style w:type="paragraph" w:customStyle="1" w:styleId="xl101">
    <w:name w:val="xl101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val="cs-CZ" w:eastAsia="cs-CZ"/>
    </w:rPr>
  </w:style>
  <w:style w:type="paragraph" w:customStyle="1" w:styleId="xl102">
    <w:name w:val="xl102"/>
    <w:basedOn w:val="Normln"/>
    <w:rsid w:val="002573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14"/>
      <w:szCs w:val="14"/>
      <w:lang w:val="cs-CZ" w:eastAsia="cs-CZ"/>
    </w:rPr>
  </w:style>
  <w:style w:type="paragraph" w:customStyle="1" w:styleId="xl103">
    <w:name w:val="xl103"/>
    <w:basedOn w:val="Normln"/>
    <w:rsid w:val="002573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both"/>
      <w:textAlignment w:val="center"/>
    </w:pPr>
    <w:rPr>
      <w:rFonts w:ascii="Calibri" w:eastAsia="Times New Roman" w:hAnsi="Calibri" w:cs="Times New Roman"/>
      <w:sz w:val="24"/>
      <w:szCs w:val="24"/>
      <w:lang w:val="cs-CZ" w:eastAsia="cs-CZ"/>
    </w:rPr>
  </w:style>
  <w:style w:type="paragraph" w:customStyle="1" w:styleId="xl104">
    <w:name w:val="xl104"/>
    <w:basedOn w:val="Normln"/>
    <w:rsid w:val="002573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val="cs-CZ" w:eastAsia="cs-CZ"/>
    </w:rPr>
  </w:style>
  <w:style w:type="paragraph" w:customStyle="1" w:styleId="msonormal0">
    <w:name w:val="msonormal"/>
    <w:basedOn w:val="Normln"/>
    <w:rsid w:val="00337A0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font5">
    <w:name w:val="font5"/>
    <w:basedOn w:val="Normln"/>
    <w:rsid w:val="00E511F7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4"/>
      <w:szCs w:val="14"/>
      <w:lang w:val="cs-CZ" w:eastAsia="cs-CZ"/>
    </w:rPr>
  </w:style>
  <w:style w:type="paragraph" w:customStyle="1" w:styleId="xl105">
    <w:name w:val="xl105"/>
    <w:basedOn w:val="Normln"/>
    <w:rsid w:val="00E511F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4"/>
      <w:szCs w:val="14"/>
      <w:lang w:val="cs-CZ" w:eastAsia="cs-CZ"/>
    </w:rPr>
  </w:style>
  <w:style w:type="paragraph" w:customStyle="1" w:styleId="xl106">
    <w:name w:val="xl106"/>
    <w:basedOn w:val="Normln"/>
    <w:rsid w:val="00E511F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000000"/>
      <w:sz w:val="14"/>
      <w:szCs w:val="14"/>
      <w:lang w:val="cs-CZ" w:eastAsia="cs-CZ"/>
    </w:rPr>
  </w:style>
  <w:style w:type="paragraph" w:customStyle="1" w:styleId="xl107">
    <w:name w:val="xl107"/>
    <w:basedOn w:val="Normln"/>
    <w:rsid w:val="00E511F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000000"/>
      <w:sz w:val="14"/>
      <w:szCs w:val="14"/>
      <w:lang w:val="cs-CZ" w:eastAsia="cs-CZ"/>
    </w:rPr>
  </w:style>
  <w:style w:type="paragraph" w:customStyle="1" w:styleId="xl108">
    <w:name w:val="xl108"/>
    <w:basedOn w:val="Normln"/>
    <w:rsid w:val="00E511F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4"/>
      <w:szCs w:val="14"/>
      <w:lang w:val="cs-CZ" w:eastAsia="cs-CZ"/>
    </w:rPr>
  </w:style>
  <w:style w:type="paragraph" w:customStyle="1" w:styleId="xl109">
    <w:name w:val="xl109"/>
    <w:basedOn w:val="Normln"/>
    <w:rsid w:val="00E511F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val="cs-CZ" w:eastAsia="cs-CZ"/>
    </w:rPr>
  </w:style>
  <w:style w:type="paragraph" w:customStyle="1" w:styleId="xl110">
    <w:name w:val="xl110"/>
    <w:basedOn w:val="Normln"/>
    <w:rsid w:val="00E511F7"/>
    <w:pPr>
      <w:pBdr>
        <w:left w:val="single" w:sz="8" w:space="0" w:color="auto"/>
        <w:right w:val="single" w:sz="8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val="cs-CZ" w:eastAsia="cs-CZ"/>
    </w:rPr>
  </w:style>
  <w:style w:type="paragraph" w:customStyle="1" w:styleId="xl111">
    <w:name w:val="xl111"/>
    <w:basedOn w:val="Normln"/>
    <w:rsid w:val="00E511F7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val="cs-CZ" w:eastAsia="cs-CZ"/>
    </w:rPr>
  </w:style>
  <w:style w:type="paragraph" w:customStyle="1" w:styleId="xl112">
    <w:name w:val="xl112"/>
    <w:basedOn w:val="Normln"/>
    <w:rsid w:val="00E511F7"/>
    <w:pPr>
      <w:pBdr>
        <w:top w:val="single" w:sz="8" w:space="0" w:color="000000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4"/>
      <w:szCs w:val="14"/>
      <w:lang w:val="cs-CZ" w:eastAsia="cs-CZ"/>
    </w:rPr>
  </w:style>
  <w:style w:type="paragraph" w:customStyle="1" w:styleId="xl113">
    <w:name w:val="xl113"/>
    <w:basedOn w:val="Normln"/>
    <w:rsid w:val="00E511F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4"/>
      <w:szCs w:val="14"/>
      <w:lang w:val="cs-CZ" w:eastAsia="cs-CZ"/>
    </w:rPr>
  </w:style>
  <w:style w:type="paragraph" w:customStyle="1" w:styleId="xl114">
    <w:name w:val="xl114"/>
    <w:basedOn w:val="Normln"/>
    <w:rsid w:val="00E511F7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000000"/>
      <w:sz w:val="14"/>
      <w:szCs w:val="14"/>
      <w:lang w:val="cs-CZ" w:eastAsia="cs-CZ"/>
    </w:rPr>
  </w:style>
  <w:style w:type="paragraph" w:customStyle="1" w:styleId="xl115">
    <w:name w:val="xl115"/>
    <w:basedOn w:val="Normln"/>
    <w:rsid w:val="00E511F7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4"/>
      <w:szCs w:val="14"/>
      <w:lang w:val="cs-CZ" w:eastAsia="cs-CZ"/>
    </w:rPr>
  </w:style>
  <w:style w:type="paragraph" w:customStyle="1" w:styleId="xl116">
    <w:name w:val="xl116"/>
    <w:basedOn w:val="Normln"/>
    <w:rsid w:val="00E511F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2"/>
      <w:szCs w:val="12"/>
      <w:lang w:val="cs-CZ" w:eastAsia="cs-CZ"/>
    </w:rPr>
  </w:style>
  <w:style w:type="paragraph" w:customStyle="1" w:styleId="xl117">
    <w:name w:val="xl117"/>
    <w:basedOn w:val="Normln"/>
    <w:rsid w:val="00E511F7"/>
    <w:pPr>
      <w:pBdr>
        <w:bottom w:val="single" w:sz="8" w:space="0" w:color="auto"/>
        <w:right w:val="single" w:sz="8" w:space="0" w:color="auto"/>
      </w:pBdr>
      <w:shd w:val="clear" w:color="000000" w:fill="E7E6E6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sz w:val="12"/>
      <w:szCs w:val="12"/>
      <w:lang w:val="cs-CZ" w:eastAsia="cs-CZ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 Char1,Char12,Text pozn. pod čarou1,Char Char Char1,Podrozdział,Char,o"/>
    <w:basedOn w:val="Normln"/>
    <w:link w:val="TextpoznpodarouChar"/>
    <w:unhideWhenUsed/>
    <w:qFormat/>
    <w:rsid w:val="006D5700"/>
    <w:rPr>
      <w:sz w:val="20"/>
      <w:szCs w:val="20"/>
      <w:lang w:val="cs-CZ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rsid w:val="006D5700"/>
    <w:rPr>
      <w:sz w:val="20"/>
      <w:szCs w:val="20"/>
      <w:lang w:val="cs-CZ"/>
    </w:rPr>
  </w:style>
  <w:style w:type="paragraph" w:customStyle="1" w:styleId="MPplneni">
    <w:name w:val="MP_plneni"/>
    <w:basedOn w:val="Normln"/>
    <w:link w:val="MPplneniChar"/>
    <w:qFormat/>
    <w:rsid w:val="00722B56"/>
    <w:pPr>
      <w:jc w:val="both"/>
    </w:pPr>
    <w:rPr>
      <w:rFonts w:ascii="Arial" w:eastAsiaTheme="minorHAnsi" w:hAnsi="Arial" w:cs="Arial"/>
      <w:i/>
      <w:color w:val="7F7F7F" w:themeColor="text1" w:themeTint="80"/>
      <w:sz w:val="20"/>
      <w:szCs w:val="20"/>
      <w:lang w:val="cs-CZ" w:eastAsia="en-US"/>
    </w:rPr>
  </w:style>
  <w:style w:type="character" w:customStyle="1" w:styleId="MPplneniChar">
    <w:name w:val="MP_plneni Char"/>
    <w:basedOn w:val="Standardnpsmoodstavce"/>
    <w:link w:val="MPplneni"/>
    <w:rsid w:val="00722B56"/>
    <w:rPr>
      <w:rFonts w:ascii="Arial" w:eastAsiaTheme="minorHAnsi" w:hAnsi="Arial" w:cs="Arial"/>
      <w:i/>
      <w:color w:val="7F7F7F" w:themeColor="text1" w:themeTint="80"/>
      <w:sz w:val="20"/>
      <w:szCs w:val="20"/>
      <w:lang w:val="cs-CZ" w:eastAsia="en-US"/>
    </w:rPr>
  </w:style>
  <w:style w:type="paragraph" w:customStyle="1" w:styleId="MPdoporuceni">
    <w:name w:val="MP_doporuceni"/>
    <w:basedOn w:val="Normln"/>
    <w:link w:val="MPdoporuceniChar"/>
    <w:qFormat/>
    <w:rsid w:val="00722B56"/>
    <w:pPr>
      <w:jc w:val="both"/>
    </w:pPr>
    <w:rPr>
      <w:rFonts w:ascii="Arial" w:eastAsia="Calibri" w:hAnsi="Arial"/>
      <w:i/>
      <w:sz w:val="20"/>
      <w:szCs w:val="20"/>
      <w:lang w:val="cs-CZ" w:eastAsia="en-GB" w:bidi="en-US"/>
    </w:rPr>
  </w:style>
  <w:style w:type="character" w:customStyle="1" w:styleId="MPdoporuceniChar">
    <w:name w:val="MP_doporuceni Char"/>
    <w:basedOn w:val="Standardnpsmoodstavce"/>
    <w:link w:val="MPdoporuceni"/>
    <w:rsid w:val="00722B56"/>
    <w:rPr>
      <w:rFonts w:ascii="Arial" w:eastAsia="Calibri" w:hAnsi="Arial"/>
      <w:i/>
      <w:sz w:val="20"/>
      <w:szCs w:val="20"/>
      <w:lang w:val="cs-CZ" w:eastAsia="en-GB" w:bidi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B50ED"/>
    <w:rPr>
      <w:color w:val="605E5C"/>
      <w:shd w:val="clear" w:color="auto" w:fill="E1DFDD"/>
    </w:rPr>
  </w:style>
  <w:style w:type="paragraph" w:customStyle="1" w:styleId="Text1">
    <w:name w:val="Text 1"/>
    <w:basedOn w:val="Normln"/>
    <w:link w:val="Text1Char"/>
    <w:rsid w:val="00D2645E"/>
    <w:pPr>
      <w:spacing w:before="120" w:after="120"/>
      <w:ind w:left="850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Text1Char">
    <w:name w:val="Text 1 Char"/>
    <w:link w:val="Text1"/>
    <w:locked/>
    <w:rsid w:val="00D264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styleId="Znakapoznpodarou">
    <w:name w:val="footnote reference"/>
    <w:uiPriority w:val="99"/>
    <w:semiHidden/>
    <w:rsid w:val="00513099"/>
    <w:rPr>
      <w:vertAlign w:val="superscript"/>
    </w:rPr>
  </w:style>
  <w:style w:type="paragraph" w:styleId="Zkladntext">
    <w:name w:val="Body Text"/>
    <w:basedOn w:val="Normln"/>
    <w:link w:val="ZkladntextChar"/>
    <w:rsid w:val="00545837"/>
    <w:pPr>
      <w:spacing w:line="360" w:lineRule="auto"/>
      <w:jc w:val="both"/>
    </w:pPr>
    <w:rPr>
      <w:rFonts w:ascii="Arial" w:eastAsia="Times New Roman" w:hAnsi="Arial" w:cs="Times New Roman"/>
      <w:color w:val="00000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545837"/>
    <w:rPr>
      <w:rFonts w:ascii="Arial" w:eastAsia="Times New Roman" w:hAnsi="Arial" w:cs="Times New Roman"/>
      <w:color w:val="000000"/>
      <w:lang w:val="x-none" w:eastAsia="x-none"/>
    </w:rPr>
  </w:style>
  <w:style w:type="paragraph" w:styleId="Revize">
    <w:name w:val="Revision"/>
    <w:hidden/>
    <w:uiPriority w:val="99"/>
    <w:semiHidden/>
    <w:rsid w:val="00CC53BE"/>
  </w:style>
  <w:style w:type="paragraph" w:customStyle="1" w:styleId="Default">
    <w:name w:val="Default"/>
    <w:rsid w:val="003A4E1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www.navstevypotme.cz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7" ma:contentTypeDescription="Vytvoří nový dokument" ma:contentTypeScope="" ma:versionID="f6f03f5b008ce72686bbcf691a7be2e8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a9a9eb159e242e6dec8d2b5b6c497589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75DC65-0242-46CC-B69E-4BEEF659E03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fed548f-0517-4d39-90e3-3947398480c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2EB42C4-43AB-4D59-A01B-DB333EB0A3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9F894A-7086-4175-89BC-32F08D351A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888A2A-18E8-44CA-A7BC-804FE80877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82</Pages>
  <Words>27728</Words>
  <Characters>163596</Characters>
  <Application>Microsoft Office Word</Application>
  <DocSecurity>0</DocSecurity>
  <Lines>1363</Lines>
  <Paragraphs>381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RTF Template</vt:lpstr>
    </vt:vector>
  </TitlesOfParts>
  <Company>Oracle USA</Company>
  <LinksUpToDate>false</LinksUpToDate>
  <CharactersWithSpaces>190943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User</dc:creator>
  <cp:keywords/>
  <dc:description/>
  <cp:lastModifiedBy>Píšová Marta Mgr. (MPSV)</cp:lastModifiedBy>
  <cp:revision>28</cp:revision>
  <dcterms:created xsi:type="dcterms:W3CDTF">2021-04-06T09:55:00Z</dcterms:created>
  <dcterms:modified xsi:type="dcterms:W3CDTF">2021-05-28T09:15:00Z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