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08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701"/>
        <w:gridCol w:w="4320"/>
        <w:gridCol w:w="3060"/>
        <w:gridCol w:w="3228"/>
        <w:tblGridChange w:id="0">
          <w:tblGrid>
            <w:gridCol w:w="3701"/>
            <w:gridCol w:w="4320"/>
            <w:gridCol w:w="3060"/>
            <w:gridCol w:w="3228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Logický rámec pro projekt: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Zvýšení technologické vybavenosti společnosti Šroub &amp; Matka, spol. s r.o. v Ostravě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Název programu: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OP PIK, program podpory Technologie ITI OV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Rozpočet: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17,1 mil Kč, z toho ERDF 4,865 mil. Kč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Přínosy (Hlavní cíl projektu)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Objektivně ověřitelné ukazatele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Způsob ověření ukazatelů (zdroje informací k ověření)</w:t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Nevyplňuje se</w:t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Posílení ekonomického rozvoje a růst konkurenceschopnosti firmy Šroub &amp; Matka, spol. s r.o. a to pořízením souboru nového technologického vybavení pro výrobní činnost v oblasti tváření, svařování, vysekávání a kompletace a balení výrobků z plechových tabulí</w:t>
            </w:r>
          </w:p>
        </w:tc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Modernizace a zvýšení výrobní kapacity provozovny žadatele v Ostravě</w:t>
            </w:r>
          </w:p>
        </w:tc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324" w:hanging="28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Monitorovací zprávy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324" w:hanging="28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Výkaz zisku a ztráty (VZZ)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324" w:hanging="28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Výkaz Cash-flow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24" w:hanging="28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Výroční zpráva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324" w:hanging="28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Zpráva auditora</w:t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Účel (Specifický cíl projektu)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Objektivně ověřitelné ukazatele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Způsob ověření ukazatelů (zdroje informací k ověření)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Předpoklady / rizika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Pořízení, instalace a zprovoznění souboru nového technologického vybavení pro výrobní činnost v oblasti tváření, svařování, vysekávání a kompletace a balení výrobků z plechových tabulí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Stabilizace stávající zaměstnanosti firmy v souvislosti s výstupy projektu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Zvýšení ziskovosti výroby po skončení realizace projektu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Pořízení 10 ks nových technologických zařízení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Vytvoření 3 nových pracovních míst v souvislosti s projektem.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Zvýšení tržeb o 11 % do 1 roku po skončení realizace projektu</w:t>
            </w:r>
          </w:p>
          <w:p w:rsidR="00000000" w:rsidDel="00000000" w:rsidP="00000000" w:rsidRDefault="00000000" w:rsidRPr="00000000" w14:paraId="00000021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Formuláře pro vykázání plnění indikátorů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ZZoR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Výroční zpráva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Výkaz Cash-flow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Výkaz zisku a ztráty (VZZ)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Zvýšený zájem o výrobky společnosti ze strany domácích a především zahraničních odběratelů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Růst tržeb společnosti a zvýšení tvorby nerozděleného zisku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Navázání nových odběratelských vazeb</w:t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Výstupy (Výsledky) projektu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Objektivně ověřitelné ukazatele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Způsob ověření ukazatelů (zdroje informací k ověření)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Předpoklady / rizika</w:t>
            </w:r>
          </w:p>
        </w:tc>
      </w:tr>
      <w:tr>
        <w:trPr>
          <w:cantSplit w:val="0"/>
          <w:trHeight w:val="83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Pořízení souboru nového technologického zařízení pro zpracování plechů a hutního materiálu.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Tvorba pracovních míst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Změna výše tržeb příjemce v souvislosti s realizací projektu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Soubor 10 ks samostatných moderních technologických zařízení pro zpracování plechů a hutního materiálu.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nová pracovní místa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Změna výše tržeb o 11 % do 1 roku po skončení realizace projektu</w:t>
            </w:r>
          </w:p>
        </w:tc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Projektová dokumentace – podnikatelský záměr, žádost o podporu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Inventární karty majetku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Fotodokumentace z realizace projektu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Pracovní smlouvy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Možnost ověření na místě</w:t>
            </w:r>
          </w:p>
        </w:tc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Zajištění finančních zdrojů pro předfinancování projektu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Úspěšná realizace výběrových řízení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Dodržení termínů pro realizaci jednotlivých činností v projektu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Aktivity projektu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Zdroje (Prostředky, vstupy, náklady)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Časový rámec aktivit projektu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Předpoklady / rizika</w:t>
            </w:r>
          </w:p>
        </w:tc>
      </w:tr>
      <w:tr>
        <w:trPr>
          <w:cantSplit w:val="0"/>
          <w:trHeight w:val="141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Jedna etapa – činnosti: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Příprava, zadání a realizace VŘ – nadlimitní VZ (1 ks soubor + 1 ks samostatné technologie)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Příprava, zadání a realizace VŘ – VZMR (6 ks technologií)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Realizace dodávek 8 ks technologického zařízení vybranými dodavateli dle výsledků VŘ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Přímý nákup 2 ks technologií bez VŘ (oslovení tří dodavatelů)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Instalace technologií a jejich zkušební provoz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Výběr zaměstnanců pro provozovnu podniku a uzavření pracovního poměru</w:t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Smlouvy:</w:t>
            </w:r>
          </w:p>
          <w:p w:rsidR="00000000" w:rsidDel="00000000" w:rsidP="00000000" w:rsidRDefault="00000000" w:rsidRPr="00000000" w14:paraId="00000048">
            <w:pPr>
              <w:numPr>
                <w:ilvl w:val="1"/>
                <w:numId w:val="4"/>
              </w:numPr>
              <w:ind w:left="677" w:hanging="28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Uzavřený právní akt s poskytovatelem dotace</w:t>
            </w:r>
          </w:p>
          <w:p w:rsidR="00000000" w:rsidDel="00000000" w:rsidP="00000000" w:rsidRDefault="00000000" w:rsidRPr="00000000" w14:paraId="00000049">
            <w:pPr>
              <w:numPr>
                <w:ilvl w:val="1"/>
                <w:numId w:val="4"/>
              </w:numPr>
              <w:ind w:left="677" w:hanging="28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Uzavřená smlouva s externí poradenskou společností</w:t>
            </w:r>
          </w:p>
          <w:p w:rsidR="00000000" w:rsidDel="00000000" w:rsidP="00000000" w:rsidRDefault="00000000" w:rsidRPr="00000000" w14:paraId="0000004A">
            <w:pPr>
              <w:numPr>
                <w:ilvl w:val="1"/>
                <w:numId w:val="4"/>
              </w:numPr>
              <w:ind w:left="677" w:hanging="28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Uzavřené smlouvy s vítěznými dodavateli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Finanční zdroje</w:t>
            </w:r>
          </w:p>
          <w:p w:rsidR="00000000" w:rsidDel="00000000" w:rsidP="00000000" w:rsidRDefault="00000000" w:rsidRPr="00000000" w14:paraId="0000004C">
            <w:pPr>
              <w:numPr>
                <w:ilvl w:val="1"/>
                <w:numId w:val="4"/>
              </w:numPr>
              <w:ind w:left="108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Vlastní: 17,1 mil Kč</w:t>
            </w:r>
          </w:p>
          <w:p w:rsidR="00000000" w:rsidDel="00000000" w:rsidP="00000000" w:rsidRDefault="00000000" w:rsidRPr="00000000" w14:paraId="0000004D">
            <w:pPr>
              <w:numPr>
                <w:ilvl w:val="1"/>
                <w:numId w:val="4"/>
              </w:numPr>
              <w:ind w:left="108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Cizí: dotace z EU 4,865 mil. Kč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Investiční dohled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Technické vybavení</w:t>
            </w:r>
          </w:p>
        </w:tc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Realizační fáze projektu:</w:t>
            </w:r>
          </w:p>
          <w:p w:rsidR="00000000" w:rsidDel="00000000" w:rsidP="00000000" w:rsidRDefault="00000000" w:rsidRPr="00000000" w14:paraId="00000051">
            <w:pPr>
              <w:numPr>
                <w:ilvl w:val="1"/>
                <w:numId w:val="4"/>
              </w:numPr>
              <w:ind w:left="1080" w:hanging="75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etapa: 9 měsíců</w:t>
            </w:r>
          </w:p>
          <w:p w:rsidR="00000000" w:rsidDel="00000000" w:rsidP="00000000" w:rsidRDefault="00000000" w:rsidRPr="00000000" w14:paraId="00000052">
            <w:pPr>
              <w:numPr>
                <w:ilvl w:val="1"/>
                <w:numId w:val="4"/>
              </w:numPr>
              <w:ind w:left="1080" w:hanging="75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Zahájení: 1. 3. 2018</w:t>
            </w:r>
          </w:p>
          <w:p w:rsidR="00000000" w:rsidDel="00000000" w:rsidP="00000000" w:rsidRDefault="00000000" w:rsidRPr="00000000" w14:paraId="00000053">
            <w:pPr>
              <w:numPr>
                <w:ilvl w:val="1"/>
                <w:numId w:val="4"/>
              </w:numPr>
              <w:ind w:left="1080" w:hanging="754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Ukončení: 30. 11. 2018</w:t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Zajištění finančních zdrojů pro předfinancování projektu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Existence vhodných dodavatelů pro zajištění průzkumu trhu </w:t>
              <w:br w:type="textWrapping"/>
              <w:t xml:space="preserve">a získání cenových nabídek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Výběr vhodných dodavatelů technologií</w:t>
            </w:r>
          </w:p>
          <w:p w:rsidR="00000000" w:rsidDel="00000000" w:rsidP="00000000" w:rsidRDefault="00000000" w:rsidRPr="00000000" w14:paraId="00000057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3"/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 projektu nebude řešeno: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Přímá podpora vývozu vlastních výrobků – zahraniční odběratelé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(2019)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Přímá podpora energetické účinnosti výroby – změna hlavního energetického zdroje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Výrobní prostory v provozovně projektu – nová výrobní hala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Výstavba fotovoltaické elektrárny – střech výrobní haly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Předběžné podmínky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3"/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5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Existence vhodného dotačního titulu a výzvy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Projekt bude vybrán </w:t>
              <w:br w:type="textWrapping"/>
              <w:t xml:space="preserve">a schválen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5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Uzavření smlouvy s externí poradenskou společností</w:t>
            </w:r>
          </w:p>
        </w:tc>
      </w:tr>
    </w:tbl>
    <w:p w:rsidR="00000000" w:rsidDel="00000000" w:rsidP="00000000" w:rsidRDefault="00000000" w:rsidRPr="00000000" w14:paraId="00000069">
      <w:pPr>
        <w:ind w:left="-567" w:firstLine="567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Zdroj: Vlastní zpracování, 2023 (Obsah LFM inspirován skutečným projektem, volně upraveno a pozměněno)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56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♦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♦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♦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♦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♦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♦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♦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♦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♦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♦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