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706" w:rsidRPr="0057160A" w:rsidRDefault="00D76706" w:rsidP="00D76706">
      <w:pPr>
        <w:rPr>
          <w:rFonts w:cs="Arial"/>
          <w:b/>
          <w:szCs w:val="20"/>
        </w:rPr>
      </w:pPr>
      <w:r w:rsidRPr="0057160A">
        <w:rPr>
          <w:rFonts w:cs="Arial"/>
          <w:b/>
          <w:szCs w:val="20"/>
        </w:rPr>
        <w:t>Příprava operačních programů</w:t>
      </w:r>
    </w:p>
    <w:p w:rsidR="00D76706" w:rsidRPr="0057160A" w:rsidRDefault="00D76706" w:rsidP="00D76706">
      <w:pPr>
        <w:rPr>
          <w:rFonts w:cs="Arial"/>
          <w:szCs w:val="20"/>
        </w:rPr>
      </w:pPr>
      <w:r w:rsidRPr="0057160A">
        <w:rPr>
          <w:rFonts w:cs="Arial"/>
          <w:szCs w:val="20"/>
        </w:rPr>
        <w:t xml:space="preserve">Vláda ČR schválila 4. února 2019 operační programy pro období 2021 – 2027 a jejich řídicí orgány. </w:t>
      </w:r>
    </w:p>
    <w:p w:rsidR="00D76706" w:rsidRPr="0057160A" w:rsidRDefault="00D76706" w:rsidP="00D76706">
      <w:pPr>
        <w:rPr>
          <w:rFonts w:cs="Arial"/>
          <w:szCs w:val="20"/>
        </w:rPr>
      </w:pPr>
      <w:r w:rsidRPr="0057160A">
        <w:rPr>
          <w:rFonts w:cs="Arial"/>
          <w:szCs w:val="20"/>
        </w:rPr>
        <w:t>ČR zvolila pro přípravu operačních programů přístup „Evoluce místo revoluce“ a navrhla obdo</w:t>
      </w:r>
      <w:r>
        <w:rPr>
          <w:rFonts w:cs="Arial"/>
          <w:szCs w:val="20"/>
        </w:rPr>
        <w:t>bn</w:t>
      </w:r>
      <w:r w:rsidRPr="0057160A">
        <w:rPr>
          <w:rFonts w:cs="Arial"/>
          <w:szCs w:val="20"/>
        </w:rPr>
        <w:t>é operační programy jako v současném období 2014-2020 (Jedinou změnou je vypuštění operačního programu pro Prahu).</w:t>
      </w:r>
    </w:p>
    <w:p w:rsidR="00D76706" w:rsidRPr="0057160A" w:rsidRDefault="00D76706" w:rsidP="00D76706">
      <w:pPr>
        <w:rPr>
          <w:rFonts w:cs="Arial"/>
          <w:szCs w:val="20"/>
        </w:rPr>
      </w:pPr>
      <w:r w:rsidRPr="0057160A">
        <w:rPr>
          <w:rFonts w:cs="Arial"/>
          <w:szCs w:val="20"/>
        </w:rPr>
        <w:t>Přehled operačních programů 2021 – 2027:</w:t>
      </w:r>
    </w:p>
    <w:p w:rsidR="00D76706" w:rsidRPr="0057160A" w:rsidRDefault="00D76706" w:rsidP="00D76706">
      <w:pPr>
        <w:rPr>
          <w:rFonts w:cs="Arial"/>
          <w:szCs w:val="20"/>
        </w:rPr>
      </w:pPr>
      <w:r w:rsidRPr="0057160A">
        <w:rPr>
          <w:rFonts w:cs="Arial"/>
          <w:szCs w:val="20"/>
        </w:rPr>
        <w:t>OP Konkurenceschopnost (MPO, cíle politiky 1 a 2 a 3)</w:t>
      </w:r>
    </w:p>
    <w:p w:rsidR="00D76706" w:rsidRPr="0057160A" w:rsidRDefault="00D76706" w:rsidP="00D76706">
      <w:pPr>
        <w:rPr>
          <w:rFonts w:cs="Arial"/>
          <w:szCs w:val="20"/>
        </w:rPr>
      </w:pPr>
      <w:r w:rsidRPr="0057160A">
        <w:rPr>
          <w:rFonts w:cs="Arial"/>
          <w:szCs w:val="20"/>
        </w:rPr>
        <w:t>OP Jan Amos Komenský (MŠMT, cíle politiky 1 a 4)</w:t>
      </w:r>
    </w:p>
    <w:p w:rsidR="00D76706" w:rsidRPr="0057160A" w:rsidRDefault="00D76706" w:rsidP="00D76706">
      <w:pPr>
        <w:rPr>
          <w:rFonts w:cs="Arial"/>
          <w:szCs w:val="20"/>
        </w:rPr>
      </w:pPr>
      <w:r w:rsidRPr="0057160A">
        <w:rPr>
          <w:rFonts w:cs="Arial"/>
          <w:szCs w:val="20"/>
        </w:rPr>
        <w:t>OP Zaměstnanost plus (MPSV, cíl politiky 4)</w:t>
      </w:r>
    </w:p>
    <w:p w:rsidR="00D76706" w:rsidRPr="0057160A" w:rsidRDefault="00D76706" w:rsidP="00D76706">
      <w:pPr>
        <w:rPr>
          <w:rFonts w:cs="Arial"/>
          <w:szCs w:val="20"/>
        </w:rPr>
      </w:pPr>
      <w:r w:rsidRPr="0057160A">
        <w:rPr>
          <w:rFonts w:cs="Arial"/>
          <w:szCs w:val="20"/>
        </w:rPr>
        <w:t>OP Doprava (MD, cíl politiky 2 a 3)</w:t>
      </w:r>
    </w:p>
    <w:p w:rsidR="00D76706" w:rsidRPr="0057160A" w:rsidRDefault="00D76706" w:rsidP="00D76706">
      <w:pPr>
        <w:rPr>
          <w:rFonts w:cs="Arial"/>
          <w:szCs w:val="20"/>
        </w:rPr>
      </w:pPr>
      <w:r w:rsidRPr="0057160A">
        <w:rPr>
          <w:rFonts w:cs="Arial"/>
          <w:szCs w:val="20"/>
        </w:rPr>
        <w:t>OP Životní prostředí (MŽP, cíl politiky 2)</w:t>
      </w:r>
    </w:p>
    <w:p w:rsidR="00D76706" w:rsidRPr="0057160A" w:rsidRDefault="00D76706" w:rsidP="00D76706">
      <w:pPr>
        <w:rPr>
          <w:rFonts w:cs="Arial"/>
          <w:szCs w:val="20"/>
        </w:rPr>
      </w:pPr>
      <w:r w:rsidRPr="0057160A">
        <w:rPr>
          <w:rFonts w:cs="Arial"/>
          <w:szCs w:val="20"/>
        </w:rPr>
        <w:t>Integrovaný regionální OP (MMR, cíle politiky 1, 2, 3, 4 a 5)</w:t>
      </w:r>
    </w:p>
    <w:p w:rsidR="00D76706" w:rsidRPr="0057160A" w:rsidRDefault="00D76706" w:rsidP="00D76706">
      <w:pPr>
        <w:rPr>
          <w:rFonts w:cs="Arial"/>
          <w:szCs w:val="20"/>
        </w:rPr>
      </w:pPr>
      <w:r w:rsidRPr="0057160A">
        <w:rPr>
          <w:rFonts w:cs="Arial"/>
          <w:szCs w:val="20"/>
        </w:rPr>
        <w:t>OP Technická pomoc (MMR)</w:t>
      </w:r>
    </w:p>
    <w:p w:rsidR="00D76706" w:rsidRPr="0057160A" w:rsidRDefault="00D76706" w:rsidP="00D76706">
      <w:pPr>
        <w:rPr>
          <w:rFonts w:cs="Arial"/>
          <w:szCs w:val="20"/>
        </w:rPr>
      </w:pPr>
      <w:r w:rsidRPr="0057160A">
        <w:rPr>
          <w:rFonts w:cs="Arial"/>
          <w:szCs w:val="20"/>
        </w:rPr>
        <w:t>OP Rybářství (</w:t>
      </w:r>
      <w:proofErr w:type="spellStart"/>
      <w:r w:rsidRPr="0057160A">
        <w:rPr>
          <w:rFonts w:cs="Arial"/>
          <w:szCs w:val="20"/>
        </w:rPr>
        <w:t>MZem</w:t>
      </w:r>
      <w:proofErr w:type="spellEnd"/>
      <w:r w:rsidRPr="0057160A">
        <w:rPr>
          <w:rFonts w:cs="Arial"/>
          <w:szCs w:val="20"/>
        </w:rPr>
        <w:t>, cíl politiky 2)</w:t>
      </w:r>
    </w:p>
    <w:p w:rsidR="00D76706" w:rsidRPr="0057160A" w:rsidRDefault="00D76706" w:rsidP="00D76706">
      <w:pPr>
        <w:rPr>
          <w:rFonts w:cs="Arial"/>
          <w:szCs w:val="20"/>
        </w:rPr>
      </w:pPr>
      <w:r w:rsidRPr="0057160A">
        <w:rPr>
          <w:rFonts w:cs="Arial"/>
          <w:szCs w:val="20"/>
        </w:rPr>
        <w:t xml:space="preserve">Programy přeshraniční spolupráce </w:t>
      </w:r>
      <w:proofErr w:type="spellStart"/>
      <w:r w:rsidRPr="0057160A">
        <w:rPr>
          <w:rFonts w:cs="Arial"/>
          <w:szCs w:val="20"/>
        </w:rPr>
        <w:t>Interreg</w:t>
      </w:r>
      <w:proofErr w:type="spellEnd"/>
      <w:r w:rsidRPr="0057160A">
        <w:rPr>
          <w:rFonts w:cs="Arial"/>
          <w:szCs w:val="20"/>
        </w:rPr>
        <w:t xml:space="preserve"> (MMR řídí Česko – Polsko; další programy: Česko – Bavorsko, Česko – Sasko, Česko – Rakousko a Česko – Slovensko). </w:t>
      </w:r>
    </w:p>
    <w:p w:rsidR="00D76706" w:rsidRPr="0057160A" w:rsidRDefault="00D76706" w:rsidP="00D76706">
      <w:pPr>
        <w:rPr>
          <w:rFonts w:cs="Arial"/>
          <w:szCs w:val="20"/>
        </w:rPr>
      </w:pPr>
      <w:r w:rsidRPr="0057160A">
        <w:rPr>
          <w:rFonts w:cs="Arial"/>
          <w:szCs w:val="20"/>
        </w:rPr>
        <w:t>Operační programy, jejichž prostřednictvím se cíle politiky soudržnosti v ČR implementují do praxe, musí určovat strategické směřování k cílům, které chce členský stát s pomocí EU fondů dosáhnout. Budou podrobněji rozpracovávat, které fondy budou využívat k podpoře specifikovaných témat a oblastí. Operační programy musí být sladěny s Dohodou o partnerství, proto celý proces přípravy operačních programů probíhá v úzké spolupráci s přípravou Dohody o partnerství, mimo jiné též z důvodu prakticky shodného termínu předložení Dohody o partnerství a operačních programů Evropské komisi.</w:t>
      </w:r>
    </w:p>
    <w:p w:rsidR="00D76706" w:rsidRDefault="00D76706" w:rsidP="00D76706">
      <w:pPr>
        <w:rPr>
          <w:rFonts w:cs="Arial"/>
          <w:szCs w:val="20"/>
        </w:rPr>
      </w:pPr>
      <w:r w:rsidRPr="0057160A">
        <w:rPr>
          <w:rFonts w:cs="Arial"/>
          <w:szCs w:val="20"/>
        </w:rPr>
        <w:t xml:space="preserve">Struktura, obsah i rozsah operačních programů je závazně stanoven </w:t>
      </w:r>
      <w:hyperlink r:id="rId4" w:history="1">
        <w:r w:rsidRPr="00D76706">
          <w:rPr>
            <w:rStyle w:val="Hypertextovodkaz"/>
            <w:rFonts w:cs="Arial"/>
            <w:b/>
            <w:bCs/>
            <w:szCs w:val="20"/>
          </w:rPr>
          <w:t>v příloze V ON</w:t>
        </w:r>
      </w:hyperlink>
      <w:r w:rsidRPr="0057160A">
        <w:rPr>
          <w:rFonts w:cs="Arial"/>
          <w:szCs w:val="20"/>
        </w:rPr>
        <w:t>).</w:t>
      </w:r>
      <w:r>
        <w:rPr>
          <w:rFonts w:cs="Arial"/>
          <w:szCs w:val="20"/>
        </w:rPr>
        <w:t xml:space="preserve"> </w:t>
      </w:r>
    </w:p>
    <w:p w:rsidR="00D76706" w:rsidRPr="0057160A" w:rsidRDefault="00D76706" w:rsidP="00D76706">
      <w:pPr>
        <w:rPr>
          <w:rFonts w:cs="Arial"/>
          <w:b/>
          <w:bCs/>
          <w:szCs w:val="20"/>
          <w:u w:val="single"/>
        </w:rPr>
      </w:pPr>
      <w:r w:rsidRPr="0057160A">
        <w:rPr>
          <w:rFonts w:cs="Arial"/>
          <w:b/>
          <w:bCs/>
          <w:szCs w:val="20"/>
          <w:u w:val="single"/>
        </w:rPr>
        <w:t>Postup přípravy Dohody  o partnerství  2021 – 2027</w:t>
      </w:r>
    </w:p>
    <w:p w:rsidR="00D76706" w:rsidRPr="0057160A" w:rsidRDefault="00D76706" w:rsidP="00D76706">
      <w:pPr>
        <w:rPr>
          <w:rFonts w:cs="Arial"/>
          <w:szCs w:val="20"/>
        </w:rPr>
      </w:pPr>
      <w:r w:rsidRPr="0057160A">
        <w:rPr>
          <w:rFonts w:cs="Arial"/>
          <w:szCs w:val="20"/>
        </w:rPr>
        <w:t xml:space="preserve">Dne 30. července 2019 vláda schválila </w:t>
      </w:r>
      <w:hyperlink r:id="rId5" w:history="1">
        <w:r w:rsidRPr="00D76706">
          <w:rPr>
            <w:rStyle w:val="Hypertextovodkaz"/>
            <w:rFonts w:cs="Arial"/>
            <w:b/>
            <w:szCs w:val="20"/>
          </w:rPr>
          <w:t>Národní koncepci realizace politiky soudržnosti v České republice po roce 2020</w:t>
        </w:r>
      </w:hyperlink>
      <w:r w:rsidRPr="0057160A">
        <w:rPr>
          <w:rFonts w:cs="Arial"/>
          <w:szCs w:val="20"/>
        </w:rPr>
        <w:t>,  a Informaci o přípravě Dohody o partnerství a operačních programů, které byly připraveny a projednány v širokém partnerství.</w:t>
      </w:r>
    </w:p>
    <w:p w:rsidR="00D76706" w:rsidRPr="0057160A" w:rsidRDefault="00D76706" w:rsidP="00D76706">
      <w:pPr>
        <w:rPr>
          <w:rFonts w:cs="Arial"/>
          <w:szCs w:val="20"/>
        </w:rPr>
      </w:pPr>
      <w:r w:rsidRPr="0057160A">
        <w:rPr>
          <w:rFonts w:cs="Arial"/>
          <w:szCs w:val="20"/>
        </w:rPr>
        <w:t xml:space="preserve">Následně byly zpracovány kapitoly 1 a 2 </w:t>
      </w:r>
      <w:proofErr w:type="spellStart"/>
      <w:r w:rsidRPr="0057160A">
        <w:rPr>
          <w:rFonts w:cs="Arial"/>
          <w:szCs w:val="20"/>
        </w:rPr>
        <w:t>DoP</w:t>
      </w:r>
      <w:proofErr w:type="spellEnd"/>
      <w:r w:rsidRPr="0057160A">
        <w:rPr>
          <w:rFonts w:cs="Arial"/>
          <w:szCs w:val="20"/>
        </w:rPr>
        <w:t>, které po prodiskutování s řídicími orgány zaslal MMR-NOK jako podkladový dokument na pracovní úrovni Evropské komisi a dalším partnerům.</w:t>
      </w:r>
    </w:p>
    <w:p w:rsidR="00D76706" w:rsidRPr="0057160A" w:rsidRDefault="00D76706" w:rsidP="00D76706">
      <w:pPr>
        <w:rPr>
          <w:rFonts w:cs="Arial"/>
          <w:szCs w:val="20"/>
        </w:rPr>
      </w:pPr>
      <w:r w:rsidRPr="0057160A">
        <w:rPr>
          <w:rFonts w:cs="Arial"/>
          <w:szCs w:val="20"/>
        </w:rPr>
        <w:t xml:space="preserve">V listopadu 2019 probíhaly diskuse s partnery na relevantních platformách, na jejichž základě bude dále návrh </w:t>
      </w:r>
      <w:proofErr w:type="spellStart"/>
      <w:r w:rsidRPr="0057160A">
        <w:rPr>
          <w:rFonts w:cs="Arial"/>
          <w:szCs w:val="20"/>
        </w:rPr>
        <w:t>DoP</w:t>
      </w:r>
      <w:proofErr w:type="spellEnd"/>
      <w:r w:rsidRPr="0057160A">
        <w:rPr>
          <w:rFonts w:cs="Arial"/>
          <w:szCs w:val="20"/>
        </w:rPr>
        <w:t xml:space="preserve"> upraven a d předložen na jednání </w:t>
      </w:r>
      <w:hyperlink r:id="rId6" w:history="1">
        <w:r w:rsidRPr="00D76706">
          <w:rPr>
            <w:rStyle w:val="Hypertextovodkaz"/>
            <w:rFonts w:cs="Arial"/>
            <w:b/>
            <w:szCs w:val="20"/>
          </w:rPr>
          <w:t>7. Kulatého stolu</w:t>
        </w:r>
      </w:hyperlink>
      <w:bookmarkStart w:id="0" w:name="_GoBack"/>
      <w:bookmarkEnd w:id="0"/>
      <w:r w:rsidRPr="0057160A">
        <w:rPr>
          <w:rFonts w:cs="Arial"/>
          <w:szCs w:val="20"/>
        </w:rPr>
        <w:t>, kterého se zúčastní partneři z regionů i zainteresovaných sdružení a organizací.</w:t>
      </w:r>
    </w:p>
    <w:p w:rsidR="00D76706" w:rsidRPr="0057160A" w:rsidRDefault="00D76706" w:rsidP="00D76706">
      <w:pPr>
        <w:rPr>
          <w:rFonts w:cs="Arial"/>
          <w:szCs w:val="20"/>
        </w:rPr>
      </w:pPr>
      <w:r w:rsidRPr="0057160A">
        <w:rPr>
          <w:rFonts w:cs="Arial"/>
          <w:szCs w:val="20"/>
        </w:rPr>
        <w:t>Finální předložení Dohody o partnerství i operačních programů je plánováno na březen 2020, avšak v závislosti na stavu vyjednávání legislativy k politice soudržnosti může být termín ještě změněn.</w:t>
      </w:r>
    </w:p>
    <w:p w:rsidR="00B76045" w:rsidRDefault="00B76045"/>
    <w:sectPr w:rsidR="00B76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706"/>
    <w:rsid w:val="00B76045"/>
    <w:rsid w:val="00D7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65195"/>
  <w15:chartTrackingRefBased/>
  <w15:docId w15:val="{999086C7-C02D-4EF0-BE59-8378CD38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6706"/>
    <w:rPr>
      <w:rFonts w:ascii="Arial" w:hAnsi="Arial"/>
      <w:sz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7670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otaceeu.cz/cs/Evropske-fondy-v-CR/KOHEZNI-POLITIKA-PO-ROCE-2020/Kulaty-stul/7-Kulaty-stul-k-budoucnosti-politiky-soudrznos-(1" TargetMode="External"/><Relationship Id="rId5" Type="http://schemas.openxmlformats.org/officeDocument/2006/relationships/hyperlink" Target="https://www.dotaceeu.cz/getmedia/2b17829c-0fba-4077-8e3c-faac0689a9dc/NKR-schvalena-verze.pdf.aspx?ext=.pdf" TargetMode="External"/><Relationship Id="rId4" Type="http://schemas.openxmlformats.org/officeDocument/2006/relationships/hyperlink" Target="https://www.dotaceeu.cz/cs/Evropske-fondy-v-CR/KOHEZNI-POLITIKA-PO-ROCE-2020/Navrhy-legislativniho-narizen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Grygarová Šárka</dc:creator>
  <cp:keywords/>
  <dc:description/>
  <cp:lastModifiedBy>Grygarová Šárka</cp:lastModifiedBy>
  <cp:revision>1</cp:revision>
  <dcterms:created xsi:type="dcterms:W3CDTF">2019-11-28T10:09:00Z</dcterms:created>
  <dcterms:modified xsi:type="dcterms:W3CDTF">2019-11-28T10:10:00Z</dcterms:modified>
</cp:coreProperties>
</file>